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900" w:bottom="1000" w:left="90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color w:val="7fa6f5"/>
        </w:rPr>
        <w:t xml:space="preserve">LIVE DEMONSTRATION SCRIPT</w:t>
      </w:r>
    </w:p>
    <w:p>
      <w:pPr>
        <w:pStyle w:val="Heading1"/>
        <w:spacing w:lineRule="auto"/>
      </w:pPr>
      <w:r>
        <w:rPr>
          <w:sz w:val="60"/>
        </w:rPr>
        <w:t xml:space="preserve">HORIZON GRID</w:t>
      </w:r>
    </w:p>
    <w:p>
      <w:pPr>
        <w:spacing w:lineRule="auto"/>
      </w:pPr>
      <w:r>
        <w:rPr>
          <w:sz w:val="26"/>
        </w:rPr>
        <w:t xml:space="preserve">Hackathon Demo Guide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Version:</w:t>
      </w:r>
      <w:r>
        <w:rPr/>
        <w:t xml:space="preserve"> 0.2.4</w:t>
      </w:r>
    </w:p>
    <w:p>
      <w:pPr>
        <w:spacing w:lineRule="auto"/>
      </w:pPr>
      <w:r>
        <w:rPr>
          <w:b/>
        </w:rPr>
        <w:t xml:space="preserve">Documentation prepared:</w:t>
      </w:r>
      <w:r>
        <w:rPr/>
        <w:t xml:space="preserve"> 2026-08-21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PREPARED FOR EVALUATION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Table of Contents</w:t>
      </w:r>
    </w:p>
    <w:sdt>
      <w:sdtPr>
        <w:docPartObj>
          <w:docPartGallery w:val="Table of Contents"/>
        </w:docPartObj>
      </w:sdtPr>
      <w:sdtContent>
        <w:p>
          <w:r>
            <w:fldChar w:fldCharType="begin" w:dirty="true"/>
          </w:r>
          <w:r>
            <w:instrText xml:space="preserve"> TOC \o "1-1" \h \z \u </w:instrText>
          </w:r>
          <w:r>
            <w:fldChar w:fldCharType="separate"/>
          </w:r>
          <w:r>
            <w:t>Right-click here and choose "Update Field" (or press F9) to generate the Table of Contents.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lineRule="auto"/>
      </w:pPr>
      <w:r>
        <w:rPr/>
        <w:t xml:space="preserve">HORIZON GRID — Hackathon Demo Guide</w:t>
      </w:r>
    </w:p>
    <w:p>
      <w:pPr>
        <w:spacing w:lineRule="auto"/>
      </w:pPr>
      <w:r>
        <w:rPr>
          <w:b/>
        </w:rPr>
        <w:t xml:space="preserve">Every Signal. One Operational Picture.</w:t>
      </w:r>
    </w:p>
    <w:p>
      <w:pPr>
        <w:spacing w:lineRule="auto"/>
      </w:pPr>
      <w:r>
        <w:rPr/>
        <w:t xml:space="preserve">A suggested 7–10 minute live-demo sequence, built around what the product actually does today (v0.2.4). Every step below drives a real feature — nothing here is scripted around a mockup or a canned response.</w:t>
      </w:r>
    </w:p>
    <w:p>
      <w:pPr>
        <w:pStyle w:val="Heading2"/>
        <w:spacing w:lineRule="auto"/>
      </w:pPr>
      <w:r>
        <w:rPr/>
        <w:t xml:space="preserve">0. Before You Start</w:t>
      </w:r>
    </w:p>
    <w:p>
      <w:pPr>
        <w:numPr>
          <w:ilvl w:val="0"/>
          <w:numId w:val="1"/>
        </w:numPr>
        <w:spacing w:lineRule="auto"/>
      </w:pPr>
      <w:r>
        <w:rPr/>
        <w:t xml:space="preserve">The stack should already be running (</w:t>
      </w:r>
      <w:r>
        <w:rPr/>
        <w:t xml:space="preserve">docker compose ... up -d</w:t>
      </w:r>
      <w:r>
        <w:rPr/>
        <w:t xml:space="preserve"> against the installed copy, or via the Windows/Linux installer). Confirm the Executive Dashboard loads real numbers (not zeros-because-nothing-ran) by having at least one completed investigation in the database beforehand.</w:t>
      </w:r>
    </w:p>
    <w:p>
      <w:pPr>
        <w:numPr>
          <w:ilvl w:val="0"/>
          <w:numId w:val="1"/>
        </w:numPr>
        <w:spacing w:lineRule="auto"/>
      </w:pPr>
      <w:r>
        <w:rPr/>
        <w:t xml:space="preserve">Have one AI backend configured and live-tested (Ollama if you want a fully offline demo with no API key, or any of the ten cloud backends if you want faster responses).</w:t>
      </w:r>
    </w:p>
    <w:p>
      <w:pPr>
        <w:numPr>
          <w:ilvl w:val="0"/>
          <w:numId w:val="1"/>
        </w:numPr>
        <w:spacing w:lineRule="auto"/>
      </w:pPr>
      <w:r>
        <w:rPr/>
        <w:t xml:space="preserve">Have at least one IOC provider credential configured beyond the no-key providers, so the demo shows real provider diversity rather than only the six providers that need no key at all (crt.sh, CISA KEV, MITRE ATT&amp;CK, WHOIS/RDAP, Spamhaus, Internet Intelligence Collector).</w:t>
      </w:r>
    </w:p>
    <w:p>
      <w:pPr>
        <w:pStyle w:val="Heading2"/>
        <w:spacing w:lineRule="auto"/>
      </w:pPr>
      <w:r>
        <w:rPr/>
        <w:t xml:space="preserve">1. The Problem, in One Sentence (30 seconds)</w:t>
      </w:r>
    </w:p>
    <w:p>
      <w:pPr>
        <w:spacing w:lineRule="auto"/>
      </w:pPr>
      <w:r>
        <w:rPr/>
        <w:t xml:space="preserve">"No single threat-intel source sees everything, so analysts manually cross-reference five or six of them per indicator — and that manual cross-referencing is the first thing that gets skipped when the queue is long."</w:t>
      </w:r>
    </w:p>
    <w:p>
      <w:pPr>
        <w:pStyle w:val="Heading2"/>
        <w:spacing w:lineRule="auto"/>
      </w:pPr>
      <w:r>
        <w:rPr/>
        <w:t xml:space="preserve">2. Executive Dashboard First, Not the Search Box (1 minute)</w:t>
      </w:r>
    </w:p>
    <w:p>
      <w:pPr>
        <w:spacing w:lineRule="auto"/>
      </w:pPr>
      <w:r>
        <w:rPr/>
        <w:t xml:space="preserve">Open the dashboard before running anything new. Point at the seven live KPI tiles (active investigations, critical/high-risk IOC count, open case counts, average threat score, provider health percentage, 30-day AI success rate) and the Provider Health summary widget. Say explicitly: </w:t>
      </w:r>
      <w:r>
        <w:rPr>
          <w:b/>
        </w:rPr>
        <w:t xml:space="preserve">every number on this screen is a real query result, not a hardcoded demo value</w:t>
      </w:r>
      <w:r>
        <w:rPr/>
        <w:t xml:space="preserve"> — that's a deliberate design constraint, not an accident, and it's worth saying out loud because judges have seen dashboards that fake this.</w:t>
      </w:r>
    </w:p>
    <w:p>
      <w:pPr>
        <w:pStyle w:val="Heading2"/>
        <w:spacing w:lineRule="auto"/>
      </w:pPr>
      <w:r>
        <w:rPr/>
        <w:t xml:space="preserve">3. Run a Live Investigation (2–3 minutes)</w:t>
      </w:r>
    </w:p>
    <w:p>
      <w:pPr>
        <w:spacing w:lineRule="auto"/>
      </w:pPr>
      <w:r>
        <w:rPr/>
        <w:t xml:space="preserve">Submit a real IOC from the global search bar — a known-benign IP (e.g. </w:t>
      </w:r>
      <w:r>
        <w:rPr/>
        <w:t xml:space="preserve">8.8.8.8</w:t>
      </w:r>
      <w:r>
        <w:rPr/>
        <w:t xml:space="preserve">) for a clean demo, or a known-malicious sample hash if you want the more dramatic result. Narrate what's happening as it streams in:</w:t>
      </w:r>
    </w:p>
    <w:p>
      <w:pPr>
        <w:numPr>
          <w:ilvl w:val="0"/>
          <w:numId w:val="2"/>
        </w:numPr>
        <w:spacing w:lineRule="auto"/>
      </w:pPr>
      <w:r>
        <w:rPr/>
        <w:t xml:space="preserve">Results arrive per-provider over Server-Sent Events, not all at once — the page doesn't block waiting for the slowest provider.</w:t>
      </w:r>
    </w:p>
    <w:p>
      <w:pPr>
        <w:numPr>
          <w:ilvl w:val="0"/>
          <w:numId w:val="2"/>
        </w:numPr>
        <w:spacing w:lineRule="auto"/>
      </w:pPr>
      <w:r>
        <w:rPr/>
        <w:t xml:space="preserve">Each provider result gets its own short AI summary as it lands, grounded only in that provider's data.</w:t>
      </w:r>
    </w:p>
    <w:p>
      <w:pPr>
        <w:numPr>
          <w:ilvl w:val="0"/>
          <w:numId w:val="2"/>
        </w:numPr>
        <w:spacing w:lineRule="auto"/>
      </w:pPr>
      <w:r>
        <w:rPr/>
        <w:t xml:space="preserve">Once every provider has reported, point out the two things that happen </w:t>
      </w:r>
      <w:r>
        <w:rPr/>
        <w:t xml:space="preserve">before</w:t>
      </w:r>
      <w:r>
        <w:rPr/>
        <w:t xml:space="preserve"> the AI's final verdict: correlation (shared infrastructure, related hashes, MITRE ATT&amp;CK techniques) and the deterministic scoring engine computing </w:t>
      </w:r>
      <w:r>
        <w:rPr/>
        <w:t xml:space="preserve">overall_risk_score</w:t>
      </w:r>
      <w:r>
        <w:rPr/>
        <w:t xml:space="preserve"> / </w:t>
      </w:r>
      <w:r>
        <w:rPr/>
        <w:t xml:space="preserve">confidence_score</w:t>
      </w:r>
      <w:r>
        <w:rPr/>
        <w:t xml:space="preserve"> / </w:t>
      </w:r>
      <w:r>
        <w:rPr/>
        <w:t xml:space="preserve">malicious_probability</w:t>
      </w:r>
      <w:r>
        <w:rPr/>
        <w:t xml:space="preserve"> / severity from that evidence.</w:t>
      </w:r>
    </w:p>
    <w:p>
      <w:pPr>
        <w:numPr>
          <w:ilvl w:val="0"/>
          <w:numId w:val="2"/>
        </w:numPr>
        <w:spacing w:lineRule="auto"/>
      </w:pPr>
      <w:r>
        <w:rPr/>
        <w:t xml:space="preserve">Only then does the AI's consolidated Final Assessment appear — narrating the score it was handed, not inventing one.</w:t>
      </w:r>
    </w:p>
    <w:p>
      <w:pPr>
        <w:pStyle w:val="Heading2"/>
        <w:spacing w:lineRule="auto"/>
      </w:pPr>
      <w:r>
        <w:rPr/>
        <w:t xml:space="preserve">4. Prove the AI Isn't the Source of Truth (1–2 minutes)</w:t>
      </w:r>
    </w:p>
    <w:p>
      <w:pPr>
        <w:spacing w:lineRule="auto"/>
      </w:pPr>
      <w:r>
        <w:rPr/>
        <w:t xml:space="preserve">This is the single most differentiating moment in the demo. Open the Evidence Ledger and one of the verdict-interrogation tools ("Why?", "Challenge This Verdict", "Score Explanation", or "Intelligence Conflicts") and show that every AI claim traces back to a concrete, non-AI-generated fact. Then switch the active AI backend (AI Quickswitch, top of the home page) to a different provider and re-run the same investigation's assessment — the threat score stays identical because it was never computed by the AI in the first place; only the narration changes.</w:t>
      </w:r>
    </w:p>
    <w:p>
      <w:pPr>
        <w:pStyle w:val="Heading2"/>
        <w:spacing w:lineRule="auto"/>
      </w:pPr>
      <w:r>
        <w:rPr/>
        <w:t xml:space="preserve">5. Provider Health (1 minute)</w:t>
      </w:r>
    </w:p>
    <w:p>
      <w:pPr>
        <w:spacing w:lineRule="auto"/>
      </w:pPr>
      <w:r>
        <w:rPr/>
        <w:t xml:space="preserve">Navigate to the full Provider Health page. Show the four rolling windows (1h/24h/7d/30d) and point out the honesty rule that matters most here: a provider with zero real attempts in a window shows </w:t>
      </w:r>
      <w:r>
        <w:rPr>
          <w:b/>
        </w:rPr>
        <w:t xml:space="preserve">Unknown</w:t>
      </w:r>
      <w:r>
        <w:rPr/>
        <w:t xml:space="preserve">, never a false "Healthy" — and a provider correctly returning "nothing found" counts as a healthy outcome, not a failure. This is the page that would catch a Safe-Browsing failure being silently misread as "safe," which is exactly the kind of dashboard lie this design is built to prevent.</w:t>
      </w:r>
    </w:p>
    <w:p>
      <w:pPr>
        <w:pStyle w:val="Heading2"/>
        <w:spacing w:lineRule="auto"/>
      </w:pPr>
      <w:r>
        <w:rPr/>
        <w:t xml:space="preserve">6. Security Assessment Toolkit (1–2 minutes, optional but strong)</w:t>
      </w:r>
    </w:p>
    <w:p>
      <w:pPr>
        <w:spacing w:lineRule="auto"/>
      </w:pPr>
      <w:r>
        <w:rPr/>
        <w:t xml:space="preserve">From a completed investigation, trigger the Security Assessment Toolkit against a target you're explicitly authorized to scan (your own demo host is safest). Show the two required confirmations (retype the target, confirm authorization) before anything runs — call out that this is the one feature in the product that sends real active traffic, unlike every passive provider lookup, and that it's gated accordingly. Show a finding feeding back into the investigation's risk/confidence floor without inflating </w:t>
      </w:r>
      <w:r>
        <w:rPr/>
        <w:t xml:space="preserve">malicious_probability</w:t>
      </w:r>
      <w:r>
        <w:rPr/>
        <w:t xml:space="preserve"> on its own.</w:t>
      </w:r>
    </w:p>
    <w:p>
      <w:pPr>
        <w:pStyle w:val="Heading2"/>
        <w:spacing w:lineRule="auto"/>
      </w:pPr>
      <w:r>
        <w:rPr/>
        <w:t xml:space="preserve">7. Administration and RBAC (1 minute)</w:t>
      </w:r>
    </w:p>
    <w:p>
      <w:pPr>
        <w:spacing w:lineRule="auto"/>
      </w:pPr>
      <w:r>
        <w:rPr/>
        <w:t xml:space="preserve">Open the Admin console. Show the three fixed roles (Admin/Analyst/Viewer) and that permission checks are enforced server-side on every route, not just hidden in the UI — a Viewer can see the dashboard and provider health but cannot run a scan or export. If more than one admin account exists, mention that multi-admin support is real, not a single hardcoded superuser.</w:t>
      </w:r>
    </w:p>
    <w:p>
      <w:pPr>
        <w:pStyle w:val="Heading2"/>
        <w:spacing w:lineRule="auto"/>
      </w:pPr>
      <w:r>
        <w:rPr/>
        <w:t xml:space="preserve">8. Export and Close (30 seconds)</w:t>
      </w:r>
    </w:p>
    <w:p>
      <w:pPr>
        <w:spacing w:lineRule="auto"/>
      </w:pPr>
      <w:r>
        <w:rPr/>
        <w:t xml:space="preserve">Export the investigation you ran (PDF or Markdown) and point out the HORIZON GRID branding, generation timestamp, and Investigation ID baked into the export — every report carries provenance, so a downstream reader can trace it back to a specific run.</w:t>
      </w:r>
    </w:p>
    <w:p>
      <w:pPr>
        <w:pStyle w:val="Heading2"/>
        <w:spacing w:lineRule="auto"/>
      </w:pPr>
      <w:r>
        <w:rPr/>
        <w:t xml:space="preserve">Closing Line</w:t>
      </w:r>
    </w:p>
    <w:p>
      <w:pPr>
        <w:spacing w:lineRule="auto"/>
      </w:pPr>
      <w:r>
        <w:rPr/>
        <w:t xml:space="preserve">"Every number you saw today — the dashboard KPIs, the threat score, the provider health page — was computed live from real evidence, and every AI statement was checkable against that evidence. That auditability, not the AI itself, is the actual product."</w:t>
      </w:r>
    </w:p>
    <w:p>
      <w:pPr>
        <w:pStyle w:val="Heading2"/>
        <w:spacing w:lineRule="auto"/>
      </w:pPr>
      <w:r>
        <w:rPr/>
        <w:t xml:space="preserve">If Something Goes Wrong Live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 provider is down/rate-limited mid-demo:</w:t>
      </w:r>
      <w:r>
        <w:rPr/>
        <w:t xml:space="preserve"> that's fine — say so, and point at Provider Health showing the same thing honestly. It's a better demo moment than a fake all-green dashboard would be.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The configured AI backend fails:</w:t>
      </w:r>
      <w:r>
        <w:rPr/>
        <w:t xml:space="preserve"> the platform is designed to distinguish a real AI failure from a correct "no evidence to reason over" skip, with a disclosed fallback either way — narrate that distinction live if it happens rather than treating it as a demo failure.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updateFields w:val="true"/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 GRID -- Hackathon Demo Guide</dc:title>
  <dc:subject/>
  <dc:creator>HORIZON GRID Documentation</dc:creator>
  <cp:keywords>html-to-docx</cp:keywords>
  <dc:description/>
  <cp:lastModifiedBy>html-to-docx</cp:lastModifiedBy>
  <cp:revision>1</cp:revision>
  <dcterms:created xsi:type="dcterms:W3CDTF">2026-08-22T12:44:33.545Z</dcterms:created>
  <dcterms:modified xsi:type="dcterms:W3CDTF">2026-08-22T12:44:33.545Z</dcterms:modified>
</cp:coreProperties>
</file>