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Evaluación Final del Documento de Proyecto de Grado</w:t>
      </w:r>
    </w:p>
    <w:p>
      <w:pPr>
        <w:spacing w:after="120"/>
      </w:pPr>
      <w:r>
        <w:rPr>
          <w:b w:val="false"/>
          <w:bCs w:val="false"/>
          <w:i w:val="false"/>
          <w:iCs w:val="false"/>
          <w:sz w:val="22"/>
          <w:szCs w:val="22"/>
        </w:rPr>
        <w:t xml:space="preserve">Documento evaluado: Diseño web de guía interactiva de sitios turísticos y atractivos locales para habitantes y/o visitantes de la región del Alto Magdalena — Juan Pablo Abarca Silva y José Mauricio Isaza Guevara, Ingeniería de Sistemas, UNAD (Girardot, 2025).</w:t>
      </w:r>
    </w:p>
    <w:p>
      <w:pPr>
        <w:spacing w:after="120"/>
      </w:pPr>
      <w:r>
        <w:rPr>
          <w:b w:val="false"/>
          <w:bCs w:val="false"/>
          <w:i w:val="false"/>
          <w:iCs w:val="false"/>
          <w:sz w:val="22"/>
          <w:szCs w:val="22"/>
        </w:rPr>
        <w:t xml:space="preserve">Instrumento: Rúbrica de Evaluación Documento Final Proyecto de Grado UNAD.</w:t>
      </w:r>
    </w:p>
    <w:p>
      <w:pPr>
        <w:spacing w:after="120"/>
      </w:pPr>
      <w:r>
        <w:rPr>
          <w:b w:val="false"/>
          <w:bCs w:val="false"/>
          <w:i w:val="false"/>
          <w:iCs w:val="false"/>
          <w:sz w:val="22"/>
          <w:szCs w:val="22"/>
        </w:rPr>
        <w:t xml:space="preserve">Fecha de evaluación: 17/09/2026. Evaluación generada con el Protocolo de Asesoría Académica Multimodal v2.2.0 (Fase Final).</w:t>
      </w:r>
    </w:p>
    <w:p>
      <w:pPr>
        <w:pStyle w:val="Heading1"/>
      </w:pPr>
      <w:r>
        <w:rPr>
          <w:sz w:val="26"/>
          <w:szCs w:val="26"/>
        </w:rPr>
        <w:t xml:space="preserve">1. Resultado por criterio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000"/>
        <w:gridCol w:w="4560"/>
      </w:tblGrid>
      <w:tr>
        <w:tc>
          <w:tcPr>
            <w:tcW w:type="dxa" w:w="3000"/>
            <w:shd w:fill="D9E2F3" w:color="auto" w:val="clear"/>
            <w:tcMar>
              <w:top w:type="dxa" w:w="80"/>
              <w:left w:type="dxa" w:w="100"/>
              <w:bottom w:type="dxa" w:w="80"/>
              <w:right w:type="dxa" w:w="100"/>
            </w:tcMar>
          </w:tcPr>
          <w:p>
            <w:pPr>
              <w:jc w:val="left"/>
            </w:pPr>
            <w:r>
              <w:rPr>
                <w:b/>
                <w:bCs/>
                <w:sz w:val="20"/>
                <w:szCs w:val="20"/>
              </w:rPr>
              <w:t xml:space="preserve">Pregunta / Evaluación</w:t>
            </w:r>
          </w:p>
        </w:tc>
        <w:tc>
          <w:tcPr>
            <w:tcW w:type="dxa" w:w="800"/>
            <w:shd w:fill="D9E2F3" w:color="auto" w:val="clear"/>
            <w:tcMar>
              <w:top w:type="dxa" w:w="80"/>
              <w:left w:type="dxa" w:w="100"/>
              <w:bottom w:type="dxa" w:w="80"/>
              <w:right w:type="dxa" w:w="100"/>
            </w:tcMar>
          </w:tcPr>
          <w:p>
            <w:pPr>
              <w:jc w:val="left"/>
            </w:pPr>
            <w:r>
              <w:rPr>
                <w:b/>
                <w:bCs/>
                <w:sz w:val="20"/>
                <w:szCs w:val="20"/>
              </w:rPr>
              <w:t xml:space="preserve">Puntaje máximo</w:t>
            </w:r>
          </w:p>
        </w:tc>
        <w:tc>
          <w:tcPr>
            <w:tcW w:type="dxa" w:w="1000"/>
            <w:shd w:fill="D9E2F3" w:color="auto" w:val="clear"/>
            <w:tcMar>
              <w:top w:type="dxa" w:w="80"/>
              <w:left w:type="dxa" w:w="100"/>
              <w:bottom w:type="dxa" w:w="80"/>
              <w:right w:type="dxa" w:w="100"/>
            </w:tcMar>
          </w:tcPr>
          <w:p>
            <w:pPr>
              <w:jc w:val="left"/>
            </w:pPr>
            <w:r>
              <w:rPr>
                <w:b/>
                <w:bCs/>
                <w:sz w:val="20"/>
                <w:szCs w:val="20"/>
              </w:rPr>
              <w:t xml:space="preserve">Puntaje obtenido</w:t>
            </w:r>
          </w:p>
        </w:tc>
        <w:tc>
          <w:tcPr>
            <w:tcW w:type="dxa" w:w="4560"/>
            <w:shd w:fill="D9E2F3" w:color="auto" w:val="clear"/>
            <w:tcMar>
              <w:top w:type="dxa" w:w="80"/>
              <w:left w:type="dxa" w:w="100"/>
              <w:bottom w:type="dxa" w:w="80"/>
              <w:right w:type="dxa" w:w="100"/>
            </w:tcMar>
          </w:tcPr>
          <w:p>
            <w:pPr>
              <w:jc w:val="left"/>
            </w:pPr>
            <w:r>
              <w:rPr>
                <w:b/>
                <w:bCs/>
                <w:sz w:val="20"/>
                <w:szCs w:val="20"/>
              </w:rPr>
              <w:t xml:space="preserve">Observaciones</w:t>
            </w:r>
          </w:p>
        </w:tc>
      </w:tr>
      <w:tr>
        <w:tc>
          <w:tcPr>
            <w:tcW w:type="dxa" w:w="3000"/>
            <w:tcMar>
              <w:top w:type="dxa" w:w="80"/>
              <w:left w:type="dxa" w:w="100"/>
              <w:bottom w:type="dxa" w:w="80"/>
              <w:right w:type="dxa" w:w="100"/>
            </w:tcMar>
          </w:tcPr>
          <w:p>
            <w:pPr>
              <w:jc w:val="left"/>
            </w:pPr>
            <w:r>
              <w:rPr>
                <w:b w:val="false"/>
                <w:bCs w:val="false"/>
                <w:sz w:val="20"/>
                <w:szCs w:val="20"/>
              </w:rPr>
              <w:t xml:space="preserve">Coherencia entre los objetivos propuestos y los resultados y conclusiones</w:t>
            </w:r>
          </w:p>
        </w:tc>
        <w:tc>
          <w:tcPr>
            <w:tcW w:type="dxa" w:w="800"/>
            <w:tcMar>
              <w:top w:type="dxa" w:w="80"/>
              <w:left w:type="dxa" w:w="100"/>
              <w:bottom w:type="dxa" w:w="80"/>
              <w:right w:type="dxa" w:w="100"/>
            </w:tcMar>
          </w:tcPr>
          <w:p>
            <w:pPr>
              <w:jc w:val="center"/>
            </w:pPr>
            <w:r>
              <w:rPr>
                <w:b w:val="false"/>
                <w:bCs w:val="false"/>
                <w:sz w:val="20"/>
                <w:szCs w:val="20"/>
              </w:rPr>
              <w:t xml:space="preserve">25</w:t>
            </w:r>
          </w:p>
        </w:tc>
        <w:tc>
          <w:tcPr>
            <w:tcW w:type="dxa" w:w="1000"/>
            <w:tcMar>
              <w:top w:type="dxa" w:w="80"/>
              <w:left w:type="dxa" w:w="100"/>
              <w:bottom w:type="dxa" w:w="80"/>
              <w:right w:type="dxa" w:w="100"/>
            </w:tcMar>
          </w:tcPr>
          <w:p>
            <w:pPr>
              <w:jc w:val="center"/>
            </w:pPr>
            <w:r>
              <w:rPr>
                <w:b w:val="false"/>
                <w:bCs w:val="false"/>
                <w:sz w:val="20"/>
                <w:szCs w:val="20"/>
              </w:rPr>
              <w:t xml:space="preserve">19</w:t>
            </w:r>
          </w:p>
        </w:tc>
        <w:tc>
          <w:tcPr>
            <w:tcW w:type="dxa" w:w="4560"/>
            <w:tcMar>
              <w:top w:type="dxa" w:w="80"/>
              <w:left w:type="dxa" w:w="100"/>
              <w:bottom w:type="dxa" w:w="80"/>
              <w:right w:type="dxa" w:w="100"/>
            </w:tcMar>
          </w:tcPr>
          <w:p>
            <w:pPr>
              <w:jc w:val="left"/>
            </w:pPr>
            <w:r>
              <w:rPr>
                <w:b w:val="false"/>
                <w:bCs w:val="false"/>
                <w:sz w:val="20"/>
                <w:szCs w:val="20"/>
              </w:rPr>
              <w:t xml:space="preserve">El ciclo caracterizar → diseñar → verificar se cierra en los resultados, pero las conclusiones no responden de forma estructurada a cada objetivo específico ni declaran limitaciones.</w:t>
            </w:r>
          </w:p>
        </w:tc>
      </w:tr>
      <w:tr>
        <w:tc>
          <w:tcPr>
            <w:tcW w:type="dxa" w:w="3000"/>
            <w:tcMar>
              <w:top w:type="dxa" w:w="80"/>
              <w:left w:type="dxa" w:w="100"/>
              <w:bottom w:type="dxa" w:w="80"/>
              <w:right w:type="dxa" w:w="100"/>
            </w:tcMar>
          </w:tcPr>
          <w:p>
            <w:pPr>
              <w:jc w:val="left"/>
            </w:pPr>
            <w:r>
              <w:rPr>
                <w:b w:val="false"/>
                <w:bCs w:val="false"/>
                <w:sz w:val="20"/>
                <w:szCs w:val="20"/>
              </w:rPr>
              <w:t xml:space="preserve">Claridad y suficiencia en la contextualización, análisis y desarrollo temático</w:t>
            </w:r>
          </w:p>
        </w:tc>
        <w:tc>
          <w:tcPr>
            <w:tcW w:type="dxa" w:w="800"/>
            <w:tcMar>
              <w:top w:type="dxa" w:w="80"/>
              <w:left w:type="dxa" w:w="100"/>
              <w:bottom w:type="dxa" w:w="80"/>
              <w:right w:type="dxa" w:w="100"/>
            </w:tcMar>
          </w:tcPr>
          <w:p>
            <w:pPr>
              <w:jc w:val="center"/>
            </w:pPr>
            <w:r>
              <w:rPr>
                <w:b w:val="false"/>
                <w:bCs w:val="false"/>
                <w:sz w:val="20"/>
                <w:szCs w:val="20"/>
              </w:rPr>
              <w:t xml:space="preserve">25</w:t>
            </w:r>
          </w:p>
        </w:tc>
        <w:tc>
          <w:tcPr>
            <w:tcW w:type="dxa" w:w="1000"/>
            <w:tcMar>
              <w:top w:type="dxa" w:w="80"/>
              <w:left w:type="dxa" w:w="100"/>
              <w:bottom w:type="dxa" w:w="80"/>
              <w:right w:type="dxa" w:w="100"/>
            </w:tcMar>
          </w:tcPr>
          <w:p>
            <w:pPr>
              <w:jc w:val="center"/>
            </w:pPr>
            <w:r>
              <w:rPr>
                <w:b w:val="false"/>
                <w:bCs w:val="false"/>
                <w:sz w:val="20"/>
                <w:szCs w:val="20"/>
              </w:rPr>
              <w:t xml:space="preserve">15</w:t>
            </w:r>
          </w:p>
        </w:tc>
        <w:tc>
          <w:tcPr>
            <w:tcW w:type="dxa" w:w="4560"/>
            <w:tcMar>
              <w:top w:type="dxa" w:w="80"/>
              <w:left w:type="dxa" w:w="100"/>
              <w:bottom w:type="dxa" w:w="80"/>
              <w:right w:type="dxa" w:w="100"/>
            </w:tcMar>
          </w:tcPr>
          <w:p>
            <w:pPr>
              <w:jc w:val="left"/>
            </w:pPr>
            <w:r>
              <w:rPr>
                <w:b w:val="false"/>
                <w:bCs w:val="false"/>
                <w:sz w:val="20"/>
                <w:szCs w:val="20"/>
              </w:rPr>
              <w:t xml:space="preserve">Contextualización sólida con datos oficiales y análisis propio de base de datos; sin embargo, PESTEL, DAFO y las figuras de encuestas carecen de análisis textual y el marco conceptual presenta definiciones inadecuadas.</w:t>
            </w:r>
          </w:p>
        </w:tc>
      </w:tr>
      <w:tr>
        <w:tc>
          <w:tcPr>
            <w:tcW w:type="dxa" w:w="3000"/>
            <w:tcMar>
              <w:top w:type="dxa" w:w="80"/>
              <w:left w:type="dxa" w:w="100"/>
              <w:bottom w:type="dxa" w:w="80"/>
              <w:right w:type="dxa" w:w="100"/>
            </w:tcMar>
          </w:tcPr>
          <w:p>
            <w:pPr>
              <w:jc w:val="left"/>
            </w:pPr>
            <w:r>
              <w:rPr>
                <w:b w:val="false"/>
                <w:bCs w:val="false"/>
                <w:sz w:val="20"/>
                <w:szCs w:val="20"/>
              </w:rPr>
              <w:t xml:space="preserve">Pertinencia de las técnicas y metodologías empleadas de acuerdo con la disciplina, tipo de opción de trabajo de grado y objetivos propuestos</w:t>
            </w:r>
          </w:p>
        </w:tc>
        <w:tc>
          <w:tcPr>
            <w:tcW w:type="dxa" w:w="800"/>
            <w:tcMar>
              <w:top w:type="dxa" w:w="80"/>
              <w:left w:type="dxa" w:w="100"/>
              <w:bottom w:type="dxa" w:w="80"/>
              <w:right w:type="dxa" w:w="100"/>
            </w:tcMar>
          </w:tcPr>
          <w:p>
            <w:pPr>
              <w:jc w:val="center"/>
            </w:pPr>
            <w:r>
              <w:rPr>
                <w:b w:val="false"/>
                <w:bCs w:val="false"/>
                <w:sz w:val="20"/>
                <w:szCs w:val="20"/>
              </w:rPr>
              <w:t xml:space="preserve">25</w:t>
            </w:r>
          </w:p>
        </w:tc>
        <w:tc>
          <w:tcPr>
            <w:tcW w:type="dxa" w:w="1000"/>
            <w:tcMar>
              <w:top w:type="dxa" w:w="80"/>
              <w:left w:type="dxa" w:w="100"/>
              <w:bottom w:type="dxa" w:w="80"/>
              <w:right w:type="dxa" w:w="100"/>
            </w:tcMar>
          </w:tcPr>
          <w:p>
            <w:pPr>
              <w:jc w:val="center"/>
            </w:pPr>
            <w:r>
              <w:rPr>
                <w:b w:val="false"/>
                <w:bCs w:val="false"/>
                <w:sz w:val="20"/>
                <w:szCs w:val="20"/>
              </w:rPr>
              <w:t xml:space="preserve">16</w:t>
            </w:r>
          </w:p>
        </w:tc>
        <w:tc>
          <w:tcPr>
            <w:tcW w:type="dxa" w:w="4560"/>
            <w:tcMar>
              <w:top w:type="dxa" w:w="80"/>
              <w:left w:type="dxa" w:w="100"/>
              <w:bottom w:type="dxa" w:w="80"/>
              <w:right w:type="dxa" w:w="100"/>
            </w:tcMar>
          </w:tcPr>
          <w:p>
            <w:pPr>
              <w:jc w:val="left"/>
            </w:pPr>
            <w:r>
              <w:rPr>
                <w:b w:val="false"/>
                <w:bCs w:val="false"/>
                <w:sz w:val="20"/>
                <w:szCs w:val="20"/>
              </w:rPr>
              <w:t xml:space="preserve">Enfoque mixto y muestreo por conglomerados pertinentes y justificados con citas; pruebas UX bien diseñadas. Inconsistencias en la referencia del instrumento, la ficha técnica y el área de cobertura; pruebas UX sin fundamento teórico.</w:t>
            </w:r>
          </w:p>
        </w:tc>
      </w:tr>
      <w:tr>
        <w:tc>
          <w:tcPr>
            <w:tcW w:type="dxa" w:w="3000"/>
            <w:tcMar>
              <w:top w:type="dxa" w:w="80"/>
              <w:left w:type="dxa" w:w="100"/>
              <w:bottom w:type="dxa" w:w="80"/>
              <w:right w:type="dxa" w:w="100"/>
            </w:tcMar>
          </w:tcPr>
          <w:p>
            <w:pPr>
              <w:jc w:val="left"/>
            </w:pPr>
            <w:r>
              <w:rPr>
                <w:b w:val="false"/>
                <w:bCs w:val="false"/>
                <w:sz w:val="20"/>
                <w:szCs w:val="20"/>
              </w:rPr>
              <w:t xml:space="preserve">Uso adecuado de las fuentes de información y referencias bibliográficas</w:t>
            </w:r>
          </w:p>
        </w:tc>
        <w:tc>
          <w:tcPr>
            <w:tcW w:type="dxa" w:w="800"/>
            <w:tcMar>
              <w:top w:type="dxa" w:w="80"/>
              <w:left w:type="dxa" w:w="100"/>
              <w:bottom w:type="dxa" w:w="80"/>
              <w:right w:type="dxa" w:w="100"/>
            </w:tcMar>
          </w:tcPr>
          <w:p>
            <w:pPr>
              <w:jc w:val="center"/>
            </w:pPr>
            <w:r>
              <w:rPr>
                <w:b w:val="false"/>
                <w:bCs w:val="false"/>
                <w:sz w:val="20"/>
                <w:szCs w:val="20"/>
              </w:rPr>
              <w:t xml:space="preserve">15</w:t>
            </w:r>
          </w:p>
        </w:tc>
        <w:tc>
          <w:tcPr>
            <w:tcW w:type="dxa" w:w="1000"/>
            <w:tcMar>
              <w:top w:type="dxa" w:w="80"/>
              <w:left w:type="dxa" w:w="100"/>
              <w:bottom w:type="dxa" w:w="80"/>
              <w:right w:type="dxa" w:w="100"/>
            </w:tcMar>
          </w:tcPr>
          <w:p>
            <w:pPr>
              <w:jc w:val="center"/>
            </w:pPr>
            <w:r>
              <w:rPr>
                <w:b w:val="false"/>
                <w:bCs w:val="false"/>
                <w:sz w:val="20"/>
                <w:szCs w:val="20"/>
              </w:rPr>
              <w:t xml:space="preserve">8</w:t>
            </w:r>
          </w:p>
        </w:tc>
        <w:tc>
          <w:tcPr>
            <w:tcW w:type="dxa" w:w="4560"/>
            <w:tcMar>
              <w:top w:type="dxa" w:w="80"/>
              <w:left w:type="dxa" w:w="100"/>
              <w:bottom w:type="dxa" w:w="80"/>
              <w:right w:type="dxa" w:w="100"/>
            </w:tcMar>
          </w:tcPr>
          <w:p>
            <w:pPr>
              <w:jc w:val="left"/>
            </w:pPr>
            <w:r>
              <w:rPr>
                <w:b w:val="false"/>
                <w:bCs w:val="false"/>
                <w:sz w:val="20"/>
                <w:szCs w:val="20"/>
              </w:rPr>
              <w:t xml:space="preserve">Mayoría de fuentes vigentes y citas con página; sin embargo, DANE, Gobernación de Cundinamarca, FONTUR y Cámara de Comercio se citan sin entrada en Bibliografía y persisten fuentes de existencia dudosa.</w:t>
            </w:r>
          </w:p>
        </w:tc>
      </w:tr>
      <w:tr>
        <w:tc>
          <w:tcPr>
            <w:tcW w:type="dxa" w:w="3000"/>
            <w:tcMar>
              <w:top w:type="dxa" w:w="80"/>
              <w:left w:type="dxa" w:w="100"/>
              <w:bottom w:type="dxa" w:w="80"/>
              <w:right w:type="dxa" w:w="100"/>
            </w:tcMar>
          </w:tcPr>
          <w:p>
            <w:pPr>
              <w:jc w:val="left"/>
            </w:pPr>
            <w:r>
              <w:rPr>
                <w:b w:val="false"/>
                <w:bCs w:val="false"/>
                <w:sz w:val="20"/>
                <w:szCs w:val="20"/>
              </w:rPr>
              <w:t xml:space="preserve">Calidad y redacción del documento escrito</w:t>
            </w:r>
          </w:p>
        </w:tc>
        <w:tc>
          <w:tcPr>
            <w:tcW w:type="dxa" w:w="800"/>
            <w:tcMar>
              <w:top w:type="dxa" w:w="80"/>
              <w:left w:type="dxa" w:w="100"/>
              <w:bottom w:type="dxa" w:w="80"/>
              <w:right w:type="dxa" w:w="100"/>
            </w:tcMar>
          </w:tcPr>
          <w:p>
            <w:pPr>
              <w:jc w:val="center"/>
            </w:pPr>
            <w:r>
              <w:rPr>
                <w:b w:val="false"/>
                <w:bCs w:val="false"/>
                <w:sz w:val="20"/>
                <w:szCs w:val="20"/>
              </w:rPr>
              <w:t xml:space="preserve">10</w:t>
            </w:r>
          </w:p>
        </w:tc>
        <w:tc>
          <w:tcPr>
            <w:tcW w:type="dxa" w:w="1000"/>
            <w:tcMar>
              <w:top w:type="dxa" w:w="80"/>
              <w:left w:type="dxa" w:w="100"/>
              <w:bottom w:type="dxa" w:w="80"/>
              <w:right w:type="dxa" w:w="100"/>
            </w:tcMar>
          </w:tcPr>
          <w:p>
            <w:pPr>
              <w:jc w:val="center"/>
            </w:pPr>
            <w:r>
              <w:rPr>
                <w:b w:val="false"/>
                <w:bCs w:val="false"/>
                <w:sz w:val="20"/>
                <w:szCs w:val="20"/>
              </w:rPr>
              <w:t xml:space="preserve">5</w:t>
            </w:r>
          </w:p>
        </w:tc>
        <w:tc>
          <w:tcPr>
            <w:tcW w:type="dxa" w:w="4560"/>
            <w:tcMar>
              <w:top w:type="dxa" w:w="80"/>
              <w:left w:type="dxa" w:w="100"/>
              <w:bottom w:type="dxa" w:w="80"/>
              <w:right w:type="dxa" w:w="100"/>
            </w:tcMar>
          </w:tcPr>
          <w:p>
            <w:pPr>
              <w:jc w:val="left"/>
            </w:pPr>
            <w:r>
              <w:rPr>
                <w:b w:val="false"/>
                <w:bCs w:val="false"/>
                <w:sz w:val="20"/>
                <w:szCs w:val="20"/>
              </w:rPr>
              <w:t xml:space="preserve">Errores recurrentes de ortografía, concordancia, mayúsculas y formato numérico a lo largo del documento; nombre del producto y numeración de la encuesta inconsistentes.</w:t>
            </w:r>
          </w:p>
        </w:tc>
      </w:tr>
      <w:tr>
        <w:tc>
          <w:tcPr>
            <w:tcW w:type="dxa" w:w="3000"/>
            <w:shd w:fill="F2F2F2" w:color="auto" w:val="clear"/>
            <w:tcMar>
              <w:top w:type="dxa" w:w="80"/>
              <w:left w:type="dxa" w:w="100"/>
              <w:bottom w:type="dxa" w:w="80"/>
              <w:right w:type="dxa" w:w="100"/>
            </w:tcMar>
          </w:tcPr>
          <w:p>
            <w:pPr>
              <w:jc w:val="left"/>
            </w:pPr>
            <w:r>
              <w:rPr>
                <w:b/>
                <w:bCs/>
                <w:sz w:val="20"/>
                <w:szCs w:val="20"/>
              </w:rPr>
              <w:t xml:space="preserve">TOTAL</w:t>
            </w:r>
          </w:p>
        </w:tc>
        <w:tc>
          <w:tcPr>
            <w:tcW w:type="dxa" w:w="800"/>
            <w:shd w:fill="F2F2F2" w:color="auto" w:val="clear"/>
            <w:tcMar>
              <w:top w:type="dxa" w:w="80"/>
              <w:left w:type="dxa" w:w="100"/>
              <w:bottom w:type="dxa" w:w="80"/>
              <w:right w:type="dxa" w:w="100"/>
            </w:tcMar>
          </w:tcPr>
          <w:p>
            <w:pPr>
              <w:jc w:val="center"/>
            </w:pPr>
            <w:r>
              <w:rPr>
                <w:b/>
                <w:bCs/>
                <w:sz w:val="20"/>
                <w:szCs w:val="20"/>
              </w:rPr>
              <w:t xml:space="preserve">100</w:t>
            </w:r>
          </w:p>
        </w:tc>
        <w:tc>
          <w:tcPr>
            <w:tcW w:type="dxa" w:w="1000"/>
            <w:shd w:fill="F2F2F2" w:color="auto" w:val="clear"/>
            <w:tcMar>
              <w:top w:type="dxa" w:w="80"/>
              <w:left w:type="dxa" w:w="100"/>
              <w:bottom w:type="dxa" w:w="80"/>
              <w:right w:type="dxa" w:w="100"/>
            </w:tcMar>
          </w:tcPr>
          <w:p>
            <w:pPr>
              <w:jc w:val="center"/>
            </w:pPr>
            <w:r>
              <w:rPr>
                <w:b/>
                <w:bCs/>
                <w:sz w:val="20"/>
                <w:szCs w:val="20"/>
              </w:rPr>
              <w:t xml:space="preserve">63</w:t>
            </w:r>
          </w:p>
        </w:tc>
        <w:tc>
          <w:tcPr>
            <w:tcW w:type="dxa" w:w="4560"/>
            <w:shd w:fill="F2F2F2" w:color="auto" w:val="clear"/>
            <w:tcMar>
              <w:top w:type="dxa" w:w="80"/>
              <w:left w:type="dxa" w:w="100"/>
              <w:bottom w:type="dxa" w:w="80"/>
              <w:right w:type="dxa" w:w="100"/>
            </w:tcMar>
          </w:tcPr>
          <w:p>
            <w:pPr>
              <w:jc w:val="left"/>
            </w:pPr>
            <w:r>
              <w:rPr>
                <w:b/>
                <w:bCs/>
                <w:sz w:val="20"/>
                <w:szCs w:val="20"/>
              </w:rPr>
              <w:t xml:space="preserve">Puntaje total del documento: 63/100.</w:t>
            </w:r>
          </w:p>
        </w:tc>
      </w:tr>
    </w:tbl>
    <w:p>
      <w:pPr>
        <w:pStyle w:val="Heading1"/>
        <w:spacing w:before="240"/>
      </w:pPr>
      <w:r>
        <w:rPr>
          <w:sz w:val="26"/>
          <w:szCs w:val="26"/>
        </w:rPr>
        <w:t xml:space="preserve">2. Revisión detallada por criterio</w:t>
      </w:r>
    </w:p>
    <w:p>
      <w:pPr>
        <w:pStyle w:val="Heading2"/>
      </w:pPr>
      <w:r>
        <w:rPr>
          <w:sz w:val="24"/>
          <w:szCs w:val="24"/>
        </w:rPr>
        <w:t xml:space="preserve">2.1 Coherencia entre objetivos, resultados y conclusiones — 19/25</w:t>
      </w:r>
    </w:p>
    <w:p>
      <w:pPr>
        <w:spacing w:after="120"/>
      </w:pPr>
      <w:r>
        <w:rPr>
          <w:b w:val="false"/>
          <w:bCs w:val="false"/>
          <w:i/>
          <w:iCs/>
          <w:sz w:val="22"/>
          <w:szCs w:val="22"/>
        </w:rPr>
        <w:t xml:space="preserve">Evidencia: el objetivo general plantea "Diseñar guía web interactiva que fomente y difunda los sitios turísticos locales de la región del alto magdalena" y las conclusiones afirman: "la plataforma alcanzó métricas sobresalientes: una satisfacción general de 4,6 sobre 5 y una claridad informativa de 4,5 sobre 5".</w:t>
      </w:r>
    </w:p>
    <w:p>
      <w:pPr>
        <w:spacing w:after="120"/>
      </w:pPr>
      <w:r>
        <w:rPr>
          <w:b w:val="false"/>
          <w:bCs w:val="false"/>
          <w:i w:val="false"/>
          <w:iCs w:val="false"/>
          <w:sz w:val="22"/>
          <w:szCs w:val="22"/>
        </w:rPr>
        <w:t xml:space="preserve">Observación: los tres objetivos específicos (caracterizar, diseñar, verificar) tienen contraparte clara en los resultados — estudio de mercado y análisis de base de datos, prototipo funcional y pruebas UX —. Sin embargo, las conclusiones no responden de manera estructurada y explícita a cada objetivo específico, ni declaran las limitaciones del estudio, lo que resta trazabilidad al cierre del documento.</w:t>
      </w:r>
    </w:p>
    <w:p>
      <w:pPr>
        <w:pStyle w:val="Heading2"/>
      </w:pPr>
      <w:r>
        <w:rPr>
          <w:sz w:val="24"/>
          <w:szCs w:val="24"/>
        </w:rPr>
        <w:t xml:space="preserve">2.2 Claridad y suficiencia en la contextualización, análisis y desarrollo temático — 15/25</w:t>
      </w:r>
    </w:p>
    <w:p>
      <w:pPr>
        <w:spacing w:after="120"/>
      </w:pPr>
      <w:r>
        <w:rPr>
          <w:b w:val="false"/>
          <w:bCs w:val="false"/>
          <w:i/>
          <w:iCs/>
          <w:sz w:val="22"/>
          <w:szCs w:val="22"/>
        </w:rPr>
        <w:t xml:space="preserve">Evidencia: "La base de datos cuenta con un total de 2399 registros referentes al departamento de Cundinamarca, de los cuales 1488 registros, el 62%, pertenecen a los municipios que conforman la región del Alto magdalena" (Análisis de Base de Datos). En contraste, la Figura 19 (Análisis PESTEL) se presenta únicamente con su nota de elaboración, sin párrafo interpretativo.</w:t>
      </w:r>
    </w:p>
    <w:p>
      <w:pPr>
        <w:spacing w:after="120"/>
      </w:pPr>
      <w:r>
        <w:rPr>
          <w:b w:val="false"/>
          <w:bCs w:val="false"/>
          <w:i w:val="false"/>
          <w:iCs w:val="false"/>
          <w:sz w:val="22"/>
          <w:szCs w:val="22"/>
        </w:rPr>
        <w:t xml:space="preserve">Observación: la contextualización territorial y el análisis propio de datos son fortalezas centrales, con cifras concretas y figuras de elaboración propia. Sin embargo, el PESTEL y el DAFO (Figs. 19 y 20) y las respuestas de la encuesta (Figs. 23 a 28) carecen de análisis textual que los articule con el proyecto; el marco conceptual define "Guía Interactiva" con el texto de "Agencia de viajes" y respalda definiciones técnicas en la RAE, fuente inadecuada para términos de desarrollo web.</w:t>
      </w:r>
    </w:p>
    <w:p>
      <w:pPr>
        <w:pStyle w:val="Heading2"/>
      </w:pPr>
      <w:r>
        <w:rPr>
          <w:sz w:val="24"/>
          <w:szCs w:val="24"/>
        </w:rPr>
        <w:t xml:space="preserve">2.3 Pertinencia de las técnicas y metodologías empleadas — 16/25</w:t>
      </w:r>
    </w:p>
    <w:p>
      <w:pPr>
        <w:spacing w:after="120"/>
      </w:pPr>
      <w:r>
        <w:rPr>
          <w:b w:val="false"/>
          <w:bCs w:val="false"/>
          <w:i/>
          <w:iCs/>
          <w:sz w:val="22"/>
          <w:szCs w:val="22"/>
        </w:rPr>
        <w:t xml:space="preserve">Evidencia: "Según Juan A. Mercado Piedra y Juan M. Coronado (2021) el muestreo de conglomerados “consiste en la identificación de grupos de unidades de estudio, de conglomerados llamados también clústeres donde cada grupo presenta toda la variabilidad que se observa en la población” (p. 88)".</w:t>
      </w:r>
    </w:p>
    <w:p>
      <w:pPr>
        <w:spacing w:after="120"/>
      </w:pPr>
      <w:r>
        <w:rPr>
          <w:b w:val="false"/>
          <w:bCs w:val="false"/>
          <w:i w:val="false"/>
          <w:iCs w:val="false"/>
          <w:sz w:val="22"/>
          <w:szCs w:val="22"/>
        </w:rPr>
        <w:t xml:space="preserve">Observación: el enfoque mixto, el muestreo por conglomerados y el diseño no experimental aplicado son coherentes con un proyecto aplicado de ingeniería; las pruebas UX moderadas con cinco perfiles, tareas y encuesta de satisfacción son una técnica adecuada para verificar el producto. No obstante, persisten inconsistencias: la encuesta se referencia al "segundo apéndice" cuando figura en Anexos; la ficha técnica indica "Office 360" y el texto "Encuestas de Google"; el área de cobertura "Nacional e Internacional" no corresponde a una encuesta provincial (n=17); y las pruebas UX carecen de fundamento teórico de usabilidad (ISO 9241-11 o Nielsen, 1993).</w:t>
      </w:r>
    </w:p>
    <w:p>
      <w:pPr>
        <w:pStyle w:val="Heading2"/>
      </w:pPr>
      <w:r>
        <w:rPr>
          <w:sz w:val="24"/>
          <w:szCs w:val="24"/>
        </w:rPr>
        <w:t xml:space="preserve">2.4 Uso adecuado de las fuentes de información y referencias bibliográficas — 8/15</w:t>
      </w:r>
    </w:p>
    <w:p>
      <w:pPr>
        <w:spacing w:after="120"/>
      </w:pPr>
      <w:r>
        <w:rPr>
          <w:b w:val="false"/>
          <w:bCs w:val="false"/>
          <w:i/>
          <w:iCs/>
          <w:sz w:val="22"/>
          <w:szCs w:val="22"/>
        </w:rPr>
        <w:t xml:space="preserve">Evidencia: "De acuerdo con el Censo del 2018 elaborado por el Departamento Administrativo Nacional de Estadística, la provincia del alto magdalena cuenta con un total aproximado de 159.600 habitantes (...) (DANE, 2018)" — cita sin entrada correspondiente en la Bibliografía.</w:t>
      </w:r>
    </w:p>
    <w:p>
      <w:pPr>
        <w:spacing w:after="120"/>
      </w:pPr>
      <w:r>
        <w:rPr>
          <w:b w:val="false"/>
          <w:bCs w:val="false"/>
          <w:i w:val="false"/>
          <w:iCs w:val="false"/>
          <w:sz w:val="22"/>
          <w:szCs w:val="22"/>
        </w:rPr>
        <w:t xml:space="preserve">Observación: la mayoría de las fuentes técnicas son vigentes y pertinentes (AWS, 2022; Sommerville, 2016; Pressman y Maxim, 2020; Beck et al., 2001; Schwaber y Sutherland, 2020; OMT, 2023) y varias citas incluyen página. Sin embargo, DANE (2018), Gobernación de Cundinamarca (2021), FONTUR (2024) y la Cámara de Comercio de Girardot se citan en el texto sin entrada en la Bibliografía; González (2021) y Smith (2020) son fuentes de existencia dudosa sin verificación; la entrada de Yauri Condor (2018) aparece fusionada con la de Smith (2020); y Chanchí et al. (2020) duplica los autores dentro de una misma referencia.</w:t>
      </w:r>
    </w:p>
    <w:p>
      <w:pPr>
        <w:pStyle w:val="Heading2"/>
      </w:pPr>
      <w:r>
        <w:rPr>
          <w:sz w:val="24"/>
          <w:szCs w:val="24"/>
        </w:rPr>
        <w:t xml:space="preserve">2.5 Calidad y redacción del documento escrito — 5/10</w:t>
      </w:r>
    </w:p>
    <w:p>
      <w:pPr>
        <w:spacing w:after="120"/>
      </w:pPr>
      <w:r>
        <w:rPr>
          <w:b w:val="false"/>
          <w:bCs w:val="false"/>
          <w:i/>
          <w:iCs/>
          <w:sz w:val="22"/>
          <w:szCs w:val="22"/>
        </w:rPr>
        <w:t xml:space="preserve">Evidencia: "no, por ende, para inicios del año 2023 el sector turismo represento un aumento del 21.3% en PIB del país" (Descripción del problema).</w:t>
      </w:r>
    </w:p>
    <w:p>
      <w:pPr>
        <w:spacing w:after="120"/>
      </w:pPr>
      <w:r>
        <w:rPr>
          <w:b w:val="false"/>
          <w:bCs w:val="false"/>
          <w:i w:val="false"/>
          <w:iCs w:val="false"/>
          <w:sz w:val="22"/>
          <w:szCs w:val="22"/>
        </w:rPr>
        <w:t xml:space="preserve">Observación: persisten errores de redacción a lo largo del documento: "no, por ende", "esto en base a", "si no que", "perdidas", "Republica Dominicana", "alto magdalena" en minúsculas, "se hayan", "fauna, floja", "adsorbido", "Enginners", "Normalizacion", "racional", "Exel"; decimales con punto en lugar de coma ("21.3%", "5.14", "4.4"); el nombre del producto es inconsistente ("Vive Alto Magdalena" en prototipo y conclusiones vs. "Explora Alto Magdalena" en pruebas UX); la numeración de las preguntas de la encuesta en Resultados (3 a 8) no coincide con la del Anexo (1 a 6); y las descripciones de las Figuras 33 y 34 están desplazadas respecto de su imagen.</w:t>
      </w:r>
    </w:p>
    <w:p>
      <w:pPr>
        <w:pStyle w:val="Heading1"/>
        <w:spacing w:before="240"/>
      </w:pPr>
      <w:r>
        <w:rPr>
          <w:sz w:val="26"/>
          <w:szCs w:val="26"/>
        </w:rPr>
        <w:t xml:space="preserve">3. Criterios con mayor margen de mejora</w:t>
      </w:r>
    </w:p>
    <w:p>
      <w:pPr>
        <w:spacing w:after="120"/>
      </w:pPr>
      <w:r>
        <w:rPr>
          <w:b w:val="false"/>
          <w:bCs w:val="false"/>
          <w:i w:val="false"/>
          <w:iCs w:val="false"/>
          <w:sz w:val="22"/>
          <w:szCs w:val="22"/>
        </w:rPr>
        <w:t xml:space="preserve">1. Calidad y redacción (5/10): corrección integral de ortografía, concordancia, mayúsculas propias, formato numérico y unificación del nombre del producto.</w:t>
      </w:r>
    </w:p>
    <w:p>
      <w:pPr>
        <w:spacing w:after="120"/>
      </w:pPr>
      <w:r>
        <w:rPr>
          <w:b w:val="false"/>
          <w:bCs w:val="false"/>
          <w:i w:val="false"/>
          <w:iCs w:val="false"/>
          <w:sz w:val="22"/>
          <w:szCs w:val="22"/>
        </w:rPr>
        <w:t xml:space="preserve">2. Uso de fuentes y referencias (8/15): completar las entradas faltantes en la Bibliografía (DANE, Gobernación de Cundinamarca, FONTUR, Cámara de Comercio) y verificar o sustituir las fuentes de existencia dudosa.</w:t>
      </w:r>
    </w:p>
    <w:p>
      <w:pPr>
        <w:spacing w:after="120"/>
      </w:pPr>
      <w:r>
        <w:rPr>
          <w:b w:val="false"/>
          <w:bCs w:val="false"/>
          <w:i w:val="false"/>
          <w:iCs w:val="false"/>
          <w:sz w:val="22"/>
          <w:szCs w:val="22"/>
        </w:rPr>
        <w:t xml:space="preserve">3. Claridad y análisis (15/25): redactar el análisis textual de PESTEL, DAFO y de las figuras de la encuesta, y corregir las definiciones del marco conceptual con fuentes especializadas.</w:t>
      </w:r>
    </w:p>
    <w:p>
      <w:pPr>
        <w:spacing w:after="120"/>
      </w:pPr>
      <w:r>
        <w:rPr>
          <w:b w:val="false"/>
          <w:bCs w:val="false"/>
          <w:i/>
          <w:iCs/>
          <w:sz w:val="22"/>
          <w:szCs w:val="22"/>
        </w:rPr>
        <w:t xml:space="preserve">Informe generado con el Protocolo de Asesoría Académica Multimodal (Fase Final, v2.2.0). El puntaje es orientativo; la decisión de aprobación corresponde al asesor / comité.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2026-09-18T01:16:43.861Z</dcterms:created>
  <dcterms:modified xsi:type="dcterms:W3CDTF">2026-09-18T01:16:43.862Z</dcterms:modified>
</cp:coreProperties>
</file>

<file path=docProps/custom.xml><?xml version="1.0" encoding="utf-8"?>
<Properties xmlns="http://schemas.openxmlformats.org/officeDocument/2006/custom-properties" xmlns:vt="http://schemas.openxmlformats.org/officeDocument/2006/docPropsVTypes"/>
</file>