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Yellow-Paz Financial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Initial Investment</w:t>
            </w:r>
          </w:p>
        </w:tc>
        <w:tc>
          <w:tcPr>
            <w:tcW w:type="dxa" w:w="4320"/>
          </w:tcPr>
          <w:p>
            <w:r>
              <w:t>~₪200,000 - ₪500,000 (depending on location/size)</w:t>
            </w:r>
          </w:p>
        </w:tc>
      </w:tr>
      <w:tr>
        <w:tc>
          <w:tcPr>
            <w:tcW w:type="dxa" w:w="4320"/>
          </w:tcPr>
          <w:p>
            <w:r>
              <w:t>Agreement Term</w:t>
            </w:r>
          </w:p>
        </w:tc>
        <w:tc>
          <w:tcPr>
            <w:tcW w:type="dxa" w:w="4320"/>
          </w:tcPr>
          <w:p>
            <w:r>
              <w:t>1-3 years with renewal options</w:t>
            </w:r>
          </w:p>
        </w:tc>
      </w:tr>
      <w:tr>
        <w:tc>
          <w:tcPr>
            <w:tcW w:type="dxa" w:w="4320"/>
          </w:tcPr>
          <w:p>
            <w:r>
              <w:t>Primary Profit Source</w:t>
            </w:r>
          </w:p>
        </w:tc>
        <w:tc>
          <w:tcPr>
            <w:tcW w:type="dxa" w:w="4320"/>
          </w:tcPr>
          <w:p>
            <w:r>
              <w:t>Convenience store (high margins on food, coffee, snacks)</w:t>
            </w:r>
          </w:p>
        </w:tc>
      </w:tr>
      <w:tr>
        <w:tc>
          <w:tcPr>
            <w:tcW w:type="dxa" w:w="4320"/>
          </w:tcPr>
          <w:p>
            <w:r>
              <w:t>Key Risk Factor</w:t>
            </w:r>
          </w:p>
        </w:tc>
        <w:tc>
          <w:tcPr>
            <w:tcW w:type="dxa" w:w="4320"/>
          </w:tcPr>
          <w:p>
            <w:r>
              <w:t>High dependency on Paz (pricing, policies, contract terms)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