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350E" w14:textId="53F8891C" w:rsidR="004105C4" w:rsidRPr="004105C4" w:rsidRDefault="004105C4" w:rsidP="004105C4">
      <w:pPr>
        <w:spacing w:line="360" w:lineRule="auto"/>
        <w:jc w:val="center"/>
        <w:rPr>
          <w:rFonts w:ascii="Arial" w:hAnsi="Arial" w:cs="Arial"/>
          <w:b/>
          <w:bCs/>
          <w:color w:val="000000"/>
          <w:u w:val="single"/>
          <w:shd w:val="clear" w:color="auto" w:fill="FFFFFF"/>
        </w:rPr>
      </w:pPr>
      <w:r w:rsidRPr="004105C4">
        <w:rPr>
          <w:rFonts w:ascii="Arial" w:hAnsi="Arial" w:cs="Arial"/>
          <w:b/>
          <w:bCs/>
          <w:color w:val="000000"/>
          <w:u w:val="single"/>
          <w:shd w:val="clear" w:color="auto" w:fill="FFFFFF"/>
        </w:rPr>
        <w:t>Información complementaria</w:t>
      </w:r>
    </w:p>
    <w:p w14:paraId="08145D09" w14:textId="6E385FE8" w:rsidR="00573A77" w:rsidRPr="00573A77" w:rsidRDefault="00573A77" w:rsidP="00573A77">
      <w:pPr>
        <w:spacing w:line="360" w:lineRule="auto"/>
        <w:jc w:val="both"/>
        <w:rPr>
          <w:rFonts w:ascii="Arial" w:hAnsi="Arial" w:cs="Arial"/>
          <w:sz w:val="20"/>
          <w:szCs w:val="20"/>
        </w:rPr>
      </w:pPr>
      <w:r w:rsidRPr="00573A77">
        <w:rPr>
          <w:rFonts w:ascii="Arial" w:hAnsi="Arial" w:cs="Arial"/>
          <w:color w:val="000000"/>
          <w:sz w:val="20"/>
          <w:szCs w:val="20"/>
          <w:shd w:val="clear" w:color="auto" w:fill="FFFFFF"/>
        </w:rPr>
        <w:t xml:space="preserve">La definición de </w:t>
      </w:r>
      <w:r w:rsidRPr="00573A77">
        <w:rPr>
          <w:rFonts w:ascii="Arial" w:hAnsi="Arial" w:cs="Arial"/>
          <w:color w:val="000000"/>
          <w:sz w:val="20"/>
          <w:szCs w:val="20"/>
          <w:highlight w:val="yellow"/>
          <w:shd w:val="clear" w:color="auto" w:fill="FFFFFF"/>
        </w:rPr>
        <w:t>funcionarios encargados de hacer cumplir la ley</w:t>
      </w:r>
      <w:r w:rsidRPr="00573A77">
        <w:rPr>
          <w:rFonts w:ascii="Arial" w:hAnsi="Arial" w:cs="Arial"/>
          <w:color w:val="000000"/>
          <w:sz w:val="20"/>
          <w:szCs w:val="20"/>
          <w:shd w:val="clear" w:color="auto" w:fill="FFFFFF"/>
        </w:rPr>
        <w:t xml:space="preserve"> incluye agentes de policía, autoridades militares con funciones policiales y fuerzas de seguridad del Estado</w:t>
      </w:r>
      <w:r w:rsidRPr="00573A77">
        <w:rPr>
          <w:rFonts w:ascii="Arial" w:hAnsi="Arial" w:cs="Arial"/>
          <w:color w:val="000000"/>
          <w:sz w:val="20"/>
          <w:szCs w:val="20"/>
          <w:shd w:val="clear" w:color="auto" w:fill="FFFFFF"/>
        </w:rPr>
        <w:t>.</w:t>
      </w:r>
    </w:p>
    <w:p w14:paraId="5CC8D016" w14:textId="1EE3C1E6" w:rsidR="00573A77" w:rsidRPr="00573A77" w:rsidRDefault="00573A77" w:rsidP="00573A77">
      <w:pPr>
        <w:spacing w:line="360" w:lineRule="auto"/>
        <w:jc w:val="both"/>
        <w:rPr>
          <w:rFonts w:ascii="Arial" w:hAnsi="Arial" w:cs="Arial"/>
          <w:sz w:val="20"/>
          <w:szCs w:val="20"/>
        </w:rPr>
      </w:pPr>
      <w:r w:rsidRPr="00573A77">
        <w:rPr>
          <w:rFonts w:ascii="Arial" w:hAnsi="Arial" w:cs="Arial"/>
          <w:sz w:val="20"/>
          <w:szCs w:val="20"/>
        </w:rPr>
        <w:t xml:space="preserve">El código se basa en la </w:t>
      </w:r>
      <w:r w:rsidRPr="00573A77">
        <w:rPr>
          <w:rFonts w:ascii="Arial" w:hAnsi="Arial" w:cs="Arial"/>
          <w:sz w:val="20"/>
          <w:szCs w:val="20"/>
          <w:highlight w:val="yellow"/>
        </w:rPr>
        <w:t>resolución 34/169 de la Asamblea General de la ONU</w:t>
      </w:r>
      <w:r w:rsidRPr="00573A77">
        <w:rPr>
          <w:rFonts w:ascii="Arial" w:hAnsi="Arial" w:cs="Arial"/>
          <w:sz w:val="20"/>
          <w:szCs w:val="20"/>
        </w:rPr>
        <w:t>, adoptada el 17 de diciembre de 1979, y se complementa con normas internacionales como la Convención contra la Tortura, la Convención sobre la Eliminación de Todas las Formas de Discriminación Racial y las Reglas Mínimas para el Tratamiento de los Reclusos</w:t>
      </w:r>
      <w:r w:rsidRPr="00573A77">
        <w:rPr>
          <w:rFonts w:ascii="Arial" w:hAnsi="Arial" w:cs="Arial"/>
          <w:sz w:val="20"/>
          <w:szCs w:val="20"/>
        </w:rPr>
        <w:t>.</w:t>
      </w:r>
    </w:p>
    <w:p w14:paraId="5FB2CB18" w14:textId="1D122958" w:rsidR="00573A77" w:rsidRPr="00573A77" w:rsidRDefault="00573A77" w:rsidP="00573A77">
      <w:pPr>
        <w:spacing w:line="360" w:lineRule="auto"/>
        <w:jc w:val="both"/>
        <w:rPr>
          <w:rFonts w:ascii="Arial" w:hAnsi="Arial" w:cs="Arial"/>
          <w:sz w:val="20"/>
          <w:szCs w:val="20"/>
        </w:rPr>
      </w:pPr>
      <w:r w:rsidRPr="00573A77">
        <w:rPr>
          <w:rFonts w:ascii="Arial" w:eastAsia="Times New Roman" w:hAnsi="Arial" w:cs="Arial"/>
          <w:color w:val="000000"/>
          <w:kern w:val="0"/>
          <w:sz w:val="20"/>
          <w:szCs w:val="20"/>
          <w:lang w:eastAsia="es-AR"/>
          <w14:ligatures w14:val="none"/>
        </w:rPr>
        <w:t>El código abarca no solo actos violentos o ilegales, sino también toda conducta que pueda afectar los derechos humanos y la legalidad </w:t>
      </w:r>
    </w:p>
    <w:p w14:paraId="70501154" w14:textId="6F4FB3D4" w:rsidR="00573A77" w:rsidRDefault="00573A77" w:rsidP="00573A77">
      <w:pPr>
        <w:shd w:val="clear" w:color="auto" w:fill="FFFFFF"/>
        <w:spacing w:after="0" w:line="360" w:lineRule="auto"/>
        <w:jc w:val="both"/>
        <w:rPr>
          <w:rFonts w:ascii="Arial" w:eastAsia="Times New Roman" w:hAnsi="Arial" w:cs="Arial"/>
          <w:color w:val="000000"/>
          <w:kern w:val="0"/>
          <w:sz w:val="20"/>
          <w:szCs w:val="20"/>
          <w:lang w:eastAsia="es-AR"/>
          <w14:ligatures w14:val="none"/>
        </w:rPr>
      </w:pPr>
      <w:r w:rsidRPr="00573A77">
        <w:rPr>
          <w:rFonts w:ascii="Arial" w:eastAsia="Times New Roman" w:hAnsi="Arial" w:cs="Arial"/>
          <w:color w:val="000000"/>
          <w:kern w:val="0"/>
          <w:sz w:val="20"/>
          <w:szCs w:val="20"/>
          <w:lang w:eastAsia="es-AR"/>
          <w14:ligatures w14:val="none"/>
        </w:rPr>
        <w:t>Este código establece un marco ético y legal que guía la actuación de los funcionarios de la ley, asegurando que su labor se realice con responsabilidad, respeto a los derechos humanos y protección de la comunidad.</w:t>
      </w:r>
    </w:p>
    <w:p w14:paraId="7E3BDE7A" w14:textId="77777777" w:rsidR="00573A77" w:rsidRPr="00573A77" w:rsidRDefault="00573A77" w:rsidP="00573A77">
      <w:pPr>
        <w:shd w:val="clear" w:color="auto" w:fill="FFFFFF"/>
        <w:spacing w:after="0" w:line="360" w:lineRule="auto"/>
        <w:jc w:val="both"/>
        <w:rPr>
          <w:rFonts w:ascii="Arial" w:eastAsia="Times New Roman" w:hAnsi="Arial" w:cs="Arial"/>
          <w:color w:val="000000"/>
          <w:kern w:val="0"/>
          <w:sz w:val="20"/>
          <w:szCs w:val="20"/>
          <w:lang w:eastAsia="es-AR"/>
          <w14:ligatures w14:val="none"/>
        </w:rPr>
      </w:pPr>
    </w:p>
    <w:p w14:paraId="08D02BF3" w14:textId="3277A6FB" w:rsidR="00573A77" w:rsidRPr="00573A77" w:rsidRDefault="00573A77" w:rsidP="00573A77">
      <w:pPr>
        <w:spacing w:line="360" w:lineRule="auto"/>
        <w:jc w:val="both"/>
        <w:rPr>
          <w:rFonts w:ascii="Arial" w:hAnsi="Arial" w:cs="Arial"/>
          <w:sz w:val="20"/>
          <w:szCs w:val="20"/>
        </w:rPr>
      </w:pPr>
      <w:r w:rsidRPr="00573A77">
        <w:rPr>
          <w:rFonts w:ascii="Arial" w:hAnsi="Arial" w:cs="Arial"/>
          <w:sz w:val="20"/>
          <w:szCs w:val="20"/>
        </w:rPr>
        <w:t xml:space="preserve">En línea con lo anteriormente detallado, </w:t>
      </w:r>
      <w:r w:rsidRPr="00573A77">
        <w:rPr>
          <w:rFonts w:ascii="Arial" w:hAnsi="Arial" w:cs="Arial"/>
          <w:sz w:val="20"/>
          <w:szCs w:val="20"/>
          <w:highlight w:val="yellow"/>
        </w:rPr>
        <w:t>el personal policial encuadra su conducta sobre la Constitución Nacional, Tratados Internacionales sobre DDHH, Constituciones Provinciales, Códigos Procesales, Leyes Nacionales y Provinciales, Reglamentos y Disposiciones Internas, por su parte la Constitución Nacional en su artículo 75 inciso 22 enumera los instrumentos de DDHH que cuentan con jerarquía institucional y establece el procedimiento para igual rango a otros tratados del mismo carácter</w:t>
      </w:r>
      <w:r w:rsidRPr="00573A77">
        <w:rPr>
          <w:rFonts w:ascii="Arial" w:hAnsi="Arial" w:cs="Arial"/>
          <w:sz w:val="20"/>
          <w:szCs w:val="20"/>
        </w:rPr>
        <w:t>. En el año 1979 la ASAMBLEA GENERAL DE LA ORGANIZACIÓN DE LAS NACIONES UNIDAS en su sesión del 17 de diciembre aprobó el "CÓDIGO DE CONDUCTA PARA FUNCIONARIOS ENCARGADOS DE HACER CUMPLIR LA LEY". Que por la LEY DE SEGURIDAD INTERIOR N° 24.059, en su artículo 22, el ESTADO ARGENTINO adoptó expresamente el citado Código al disponer que los cuerpos policiales y fuerzas de seguridad que integran el sistema de seguridad interior "deberán incorporar a sus reglamentos el CÓDIGO DE ÉTICA PROFESIONAL establecido por la ASAMBLEA GENERAL DE LA ORGANIZACIÓN DE LAS NACIONES UNIDAS".</w:t>
      </w:r>
    </w:p>
    <w:sectPr w:rsidR="00573A77" w:rsidRPr="00573A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67D"/>
    <w:multiLevelType w:val="multilevel"/>
    <w:tmpl w:val="F61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9239E"/>
    <w:multiLevelType w:val="multilevel"/>
    <w:tmpl w:val="A27A8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1C3410"/>
    <w:multiLevelType w:val="multilevel"/>
    <w:tmpl w:val="F268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40910">
    <w:abstractNumId w:val="1"/>
  </w:num>
  <w:num w:numId="2" w16cid:durableId="296837961">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789012067">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722682924">
    <w:abstractNumId w:val="2"/>
  </w:num>
  <w:num w:numId="5" w16cid:durableId="177701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4A"/>
    <w:rsid w:val="00164E09"/>
    <w:rsid w:val="004105C4"/>
    <w:rsid w:val="0057014A"/>
    <w:rsid w:val="00573A77"/>
    <w:rsid w:val="005C1EB6"/>
    <w:rsid w:val="00AD11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1AA1"/>
  <w15:chartTrackingRefBased/>
  <w15:docId w15:val="{A8536C98-D7A8-4609-A89C-F18E680D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0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0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01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01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01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01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01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01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01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1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01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01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01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01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01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01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01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014A"/>
    <w:rPr>
      <w:rFonts w:eastAsiaTheme="majorEastAsia" w:cstheme="majorBidi"/>
      <w:color w:val="272727" w:themeColor="text1" w:themeTint="D8"/>
    </w:rPr>
  </w:style>
  <w:style w:type="paragraph" w:styleId="Ttulo">
    <w:name w:val="Title"/>
    <w:basedOn w:val="Normal"/>
    <w:next w:val="Normal"/>
    <w:link w:val="TtuloCar"/>
    <w:uiPriority w:val="10"/>
    <w:qFormat/>
    <w:rsid w:val="00570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01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01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01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014A"/>
    <w:pPr>
      <w:spacing w:before="160"/>
      <w:jc w:val="center"/>
    </w:pPr>
    <w:rPr>
      <w:i/>
      <w:iCs/>
      <w:color w:val="404040" w:themeColor="text1" w:themeTint="BF"/>
    </w:rPr>
  </w:style>
  <w:style w:type="character" w:customStyle="1" w:styleId="CitaCar">
    <w:name w:val="Cita Car"/>
    <w:basedOn w:val="Fuentedeprrafopredeter"/>
    <w:link w:val="Cita"/>
    <w:uiPriority w:val="29"/>
    <w:rsid w:val="0057014A"/>
    <w:rPr>
      <w:i/>
      <w:iCs/>
      <w:color w:val="404040" w:themeColor="text1" w:themeTint="BF"/>
    </w:rPr>
  </w:style>
  <w:style w:type="paragraph" w:styleId="Prrafodelista">
    <w:name w:val="List Paragraph"/>
    <w:basedOn w:val="Normal"/>
    <w:uiPriority w:val="34"/>
    <w:qFormat/>
    <w:rsid w:val="0057014A"/>
    <w:pPr>
      <w:ind w:left="720"/>
      <w:contextualSpacing/>
    </w:pPr>
  </w:style>
  <w:style w:type="character" w:styleId="nfasisintenso">
    <w:name w:val="Intense Emphasis"/>
    <w:basedOn w:val="Fuentedeprrafopredeter"/>
    <w:uiPriority w:val="21"/>
    <w:qFormat/>
    <w:rsid w:val="0057014A"/>
    <w:rPr>
      <w:i/>
      <w:iCs/>
      <w:color w:val="0F4761" w:themeColor="accent1" w:themeShade="BF"/>
    </w:rPr>
  </w:style>
  <w:style w:type="paragraph" w:styleId="Citadestacada">
    <w:name w:val="Intense Quote"/>
    <w:basedOn w:val="Normal"/>
    <w:next w:val="Normal"/>
    <w:link w:val="CitadestacadaCar"/>
    <w:uiPriority w:val="30"/>
    <w:qFormat/>
    <w:rsid w:val="00570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014A"/>
    <w:rPr>
      <w:i/>
      <w:iCs/>
      <w:color w:val="0F4761" w:themeColor="accent1" w:themeShade="BF"/>
    </w:rPr>
  </w:style>
  <w:style w:type="character" w:styleId="Referenciaintensa">
    <w:name w:val="Intense Reference"/>
    <w:basedOn w:val="Fuentedeprrafopredeter"/>
    <w:uiPriority w:val="32"/>
    <w:qFormat/>
    <w:rsid w:val="0057014A"/>
    <w:rPr>
      <w:b/>
      <w:bCs/>
      <w:smallCaps/>
      <w:color w:val="0F4761" w:themeColor="accent1" w:themeShade="BF"/>
      <w:spacing w:val="5"/>
    </w:rPr>
  </w:style>
  <w:style w:type="character" w:styleId="Hipervnculo">
    <w:name w:val="Hyperlink"/>
    <w:basedOn w:val="Fuentedeprrafopredeter"/>
    <w:uiPriority w:val="99"/>
    <w:unhideWhenUsed/>
    <w:rsid w:val="00573A77"/>
    <w:rPr>
      <w:color w:val="467886" w:themeColor="hyperlink"/>
      <w:u w:val="single"/>
    </w:rPr>
  </w:style>
  <w:style w:type="character" w:styleId="Mencinsinresolver">
    <w:name w:val="Unresolved Mention"/>
    <w:basedOn w:val="Fuentedeprrafopredeter"/>
    <w:uiPriority w:val="99"/>
    <w:semiHidden/>
    <w:unhideWhenUsed/>
    <w:rsid w:val="00573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300</Words>
  <Characters>1656</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Alonso</dc:creator>
  <cp:keywords/>
  <dc:description/>
  <cp:lastModifiedBy>juan Alonso</cp:lastModifiedBy>
  <cp:revision>3</cp:revision>
  <dcterms:created xsi:type="dcterms:W3CDTF">2026-08-07T21:52:00Z</dcterms:created>
  <dcterms:modified xsi:type="dcterms:W3CDTF">2026-08-07T21:52:00Z</dcterms:modified>
</cp:coreProperties>
</file>