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bottom w:color="00000a" w:space="1" w:sz="4" w:val="single"/>
        </w:pBd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-156209</wp:posOffset>
            </wp:positionH>
            <wp:positionV relativeFrom="paragraph">
              <wp:posOffset>0</wp:posOffset>
            </wp:positionV>
            <wp:extent cx="5715000" cy="1534160"/>
            <wp:effectExtent b="0" l="0" r="0" t="0"/>
            <wp:wrapTopAndBottom distB="0" distT="0"/>
            <wp:docPr id="1" name="image1.jpg"/>
            <a:graphic>
              <a:graphicData uri="http://schemas.openxmlformats.org/drawingml/2006/picture">
                <pic:pic>
                  <pic:nvPicPr>
                    <pic:cNvPr id="0" name="image1.jpg"/>
                    <pic:cNvPicPr preferRelativeResize="0"/>
                  </pic:nvPicPr>
                  <pic:blipFill>
                    <a:blip r:embed="rId7"/>
                    <a:srcRect b="-7" l="-2" r="-2" t="-7"/>
                    <a:stretch>
                      <a:fillRect/>
                    </a:stretch>
                  </pic:blipFill>
                  <pic:spPr>
                    <a:xfrm>
                      <a:off x="0" y="0"/>
                      <a:ext cx="5715000" cy="1534160"/>
                    </a:xfrm>
                    <a:prstGeom prst="rect"/>
                    <a:ln/>
                  </pic:spPr>
                </pic:pic>
              </a:graphicData>
            </a:graphic>
          </wp:anchor>
        </w:drawing>
      </w:r>
    </w:p>
    <w:p w:rsidR="00000000" w:rsidDel="00000000" w:rsidP="00000000" w:rsidRDefault="00000000" w:rsidRPr="00000000" w14:paraId="00000002">
      <w:pPr>
        <w:pageBreakBefore w:val="0"/>
        <w:pBdr>
          <w:bottom w:color="00000a" w:space="1" w:sz="4" w:val="single"/>
        </w:pBdr>
        <w:spacing w:line="360" w:lineRule="auto"/>
        <w:jc w:val="center"/>
        <w:rPr/>
      </w:pPr>
      <w:r w:rsidDel="00000000" w:rsidR="00000000" w:rsidRPr="00000000">
        <w:rPr>
          <w:rtl w:val="0"/>
        </w:rPr>
      </w:r>
    </w:p>
    <w:p w:rsidR="00000000" w:rsidDel="00000000" w:rsidP="00000000" w:rsidRDefault="00000000" w:rsidRPr="00000000" w14:paraId="00000003">
      <w:pPr>
        <w:pageBreakBefore w:val="0"/>
        <w:pBdr>
          <w:bottom w:color="00000a" w:space="1" w:sz="4" w:val="single"/>
        </w:pBd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3. MEDIDAS DE INVESTIGACIÓN EN GENERAL</w:t>
      </w:r>
    </w:p>
    <w:p w:rsidR="00000000" w:rsidDel="00000000" w:rsidP="00000000" w:rsidRDefault="00000000" w:rsidRPr="00000000" w14:paraId="00000004">
      <w:pPr>
        <w:pageBreakBefore w:val="0"/>
        <w:spacing w:line="360" w:lineRule="auto"/>
        <w:rPr/>
      </w:pPr>
      <w:r w:rsidDel="00000000" w:rsidR="00000000" w:rsidRPr="00000000">
        <w:rPr>
          <w:rtl w:val="0"/>
        </w:rPr>
      </w:r>
    </w:p>
    <w:p w:rsidR="00000000" w:rsidDel="00000000" w:rsidP="00000000" w:rsidRDefault="00000000" w:rsidRPr="00000000" w14:paraId="00000005">
      <w:pPr>
        <w:pageBreakBefore w:val="0"/>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En este capítulo se describirá el modo de gestión y ejecución de las evidencias en general que son mayormente utilizadas en la investigación penal preparatoria.</w:t>
      </w:r>
    </w:p>
    <w:p w:rsidR="00000000" w:rsidDel="00000000" w:rsidP="00000000" w:rsidRDefault="00000000" w:rsidRPr="00000000" w14:paraId="00000006">
      <w:pPr>
        <w:pageBreakBefore w:val="0"/>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Sin perjuicio de las aristas que presente particularmente cada caso y como complemento al título destinado a los delitos en general donde se enuncian las medidas de investigación para cada tipo de ilícito penal, a continuación se reseñarán cuestiones prácticas a tener en cuenta para los allanamientos, reconocimientos, intervenciones telefónicas y búsqueda de datos en internet destinando el siguiente capítulo a las entrevistas testimoniales dada su complejidad.</w:t>
      </w:r>
    </w:p>
    <w:p w:rsidR="00000000" w:rsidDel="00000000" w:rsidP="00000000" w:rsidRDefault="00000000" w:rsidRPr="00000000" w14:paraId="00000007">
      <w:pPr>
        <w:pageBreakBefore w:val="0"/>
        <w:spacing w:after="0" w:before="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CAPITULO I </w:t>
      </w:r>
    </w:p>
    <w:p w:rsidR="00000000" w:rsidDel="00000000" w:rsidP="00000000" w:rsidRDefault="00000000" w:rsidRPr="00000000" w14:paraId="0000000A">
      <w:pPr>
        <w:pageBreakBefore w:val="0"/>
        <w:pBdr>
          <w:bottom w:color="000000" w:space="1" w:sz="4" w:val="single"/>
        </w:pBdr>
        <w:jc w:val="center"/>
        <w:rPr>
          <w:rFonts w:ascii="Arial" w:cs="Arial" w:eastAsia="Arial" w:hAnsi="Arial"/>
          <w:b w:val="1"/>
          <w:bCs w:val="1"/>
          <w:sz w:val="28"/>
          <w:szCs w:val="28"/>
          <w:u w:val="none"/>
        </w:rPr>
      </w:pPr>
      <w:r w:rsidDel="00000000" w:rsidR="00000000" w:rsidRPr="00000000">
        <w:rPr>
          <w:rFonts w:ascii="Arial" w:cs="Arial" w:eastAsia="Arial" w:hAnsi="Arial"/>
          <w:b w:val="1"/>
          <w:bCs w:val="1"/>
          <w:sz w:val="28"/>
          <w:szCs w:val="28"/>
          <w:u w:val="none"/>
          <w:rtl w:val="0"/>
        </w:rPr>
        <w:t xml:space="preserve">ALLANAMIENTO DE MORADA</w:t>
      </w:r>
    </w:p>
    <w:p w:rsidR="00000000" w:rsidDel="00000000" w:rsidP="00000000" w:rsidRDefault="00000000" w:rsidRPr="00000000" w14:paraId="0000000B">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pageBreakBefore w:val="0"/>
        <w:spacing w:after="0" w:before="0" w:line="360" w:lineRule="auto"/>
        <w:jc w:val="both"/>
        <w:rPr/>
      </w:pPr>
      <w:r w:rsidDel="00000000" w:rsidR="00000000" w:rsidRPr="00000000">
        <w:rPr>
          <w:rFonts w:ascii="Arial" w:cs="Arial" w:eastAsia="Arial" w:hAnsi="Arial"/>
          <w:sz w:val="24"/>
          <w:szCs w:val="24"/>
          <w:rtl w:val="0"/>
        </w:rPr>
        <w:tab/>
        <w:t xml:space="preserve">La importancia de esta medida de investigación radica en la efectividad que arroja el resultado respecto a la identificación o confirmación de la participación de sujetos.</w:t>
      </w:r>
      <w:r w:rsidDel="00000000" w:rsidR="00000000" w:rsidRPr="00000000">
        <w:rPr>
          <w:rtl w:val="0"/>
        </w:rPr>
      </w:r>
    </w:p>
    <w:p w:rsidR="00000000" w:rsidDel="00000000" w:rsidP="00000000" w:rsidRDefault="00000000" w:rsidRPr="00000000" w14:paraId="0000000D">
      <w:pPr>
        <w:pageBreakBefore w:val="0"/>
        <w:spacing w:after="0" w:before="0" w:line="360" w:lineRule="auto"/>
        <w:jc w:val="both"/>
        <w:rPr/>
      </w:pPr>
      <w:r w:rsidDel="00000000" w:rsidR="00000000" w:rsidRPr="00000000">
        <w:rPr>
          <w:rFonts w:ascii="Arial" w:cs="Arial" w:eastAsia="Arial" w:hAnsi="Arial"/>
          <w:sz w:val="24"/>
          <w:szCs w:val="24"/>
          <w:rtl w:val="0"/>
        </w:rPr>
        <w:tab/>
        <w:t xml:space="preserve">Está contemplado en los artículos 169 y 170 CPP.</w:t>
      </w:r>
      <w:r w:rsidDel="00000000" w:rsidR="00000000" w:rsidRPr="00000000">
        <w:rPr>
          <w:rtl w:val="0"/>
        </w:rPr>
      </w:r>
    </w:p>
    <w:p w:rsidR="00000000" w:rsidDel="00000000" w:rsidP="00000000" w:rsidRDefault="00000000" w:rsidRPr="00000000" w14:paraId="0000000E">
      <w:pPr>
        <w:pageBreakBefore w:val="0"/>
        <w:spacing w:after="0" w:before="0" w:line="360" w:lineRule="auto"/>
        <w:jc w:val="both"/>
        <w:rPr/>
      </w:pPr>
      <w:r w:rsidDel="00000000" w:rsidR="00000000" w:rsidRPr="00000000">
        <w:rPr>
          <w:rFonts w:ascii="Arial" w:cs="Arial" w:eastAsia="Arial" w:hAnsi="Arial"/>
          <w:sz w:val="24"/>
          <w:szCs w:val="24"/>
          <w:rtl w:val="0"/>
        </w:rPr>
        <w:tab/>
        <w:t xml:space="preserve">Para que el representante del MPA solicite al juez de la IPP un allanamiento debe contar con elementos objetivos idóneos para fundar una mínima sospecha razonable de la existencia de un posible ilícito y de la autoría y/o participación en el mismo de una persona. </w:t>
      </w:r>
      <w:r w:rsidDel="00000000" w:rsidR="00000000" w:rsidRPr="00000000">
        <w:rPr>
          <w:rtl w:val="0"/>
        </w:rPr>
      </w:r>
    </w:p>
    <w:p w:rsidR="00000000" w:rsidDel="00000000" w:rsidP="00000000" w:rsidRDefault="00000000" w:rsidRPr="00000000" w14:paraId="0000000F">
      <w:pPr>
        <w:pageBreakBefore w:val="0"/>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pageBreakBefore w:val="0"/>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I</w:t>
      </w:r>
      <w:r w:rsidDel="00000000" w:rsidR="00000000" w:rsidRPr="00000000">
        <w:rPr>
          <w:rFonts w:ascii="Arial" w:cs="Arial" w:eastAsia="Arial" w:hAnsi="Arial"/>
          <w:b w:val="1"/>
          <w:bCs w:val="1"/>
          <w:i w:val="0"/>
          <w:iCs w:val="0"/>
          <w:sz w:val="24"/>
          <w:szCs w:val="24"/>
          <w:u w:val="none"/>
          <w:rtl w:val="0"/>
        </w:rPr>
        <w:t xml:space="preserve">ngreso y registro de allanamientos</w:t>
      </w:r>
      <w:r w:rsidDel="00000000" w:rsidR="00000000" w:rsidRPr="00000000">
        <w:rPr>
          <w:rtl w:val="0"/>
        </w:rPr>
      </w:r>
    </w:p>
    <w:p w:rsidR="00000000" w:rsidDel="00000000" w:rsidP="00000000" w:rsidRDefault="00000000" w:rsidRPr="00000000" w14:paraId="00000011">
      <w:pPr>
        <w:pageBreakBefore w:val="0"/>
        <w:spacing w:line="360" w:lineRule="auto"/>
        <w:jc w:val="both"/>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ab/>
        <w:t xml:space="preserve">1.1. </w:t>
      </w:r>
      <w:r w:rsidDel="00000000" w:rsidR="00000000" w:rsidRPr="00000000">
        <w:rPr>
          <w:rFonts w:ascii="Arial" w:cs="Arial" w:eastAsia="Arial" w:hAnsi="Arial"/>
          <w:b w:val="0"/>
          <w:bCs w:val="0"/>
          <w:i w:val="0"/>
          <w:iCs w:val="0"/>
          <w:u w:val="single"/>
          <w:rtl w:val="0"/>
        </w:rPr>
        <w:t xml:space="preserve">Recepción y registro</w:t>
      </w:r>
      <w:r w:rsidDel="00000000" w:rsidR="00000000" w:rsidRPr="00000000">
        <w:rPr>
          <w:rFonts w:ascii="Arial" w:cs="Arial" w:eastAsia="Arial" w:hAnsi="Arial"/>
          <w:b w:val="0"/>
          <w:bCs w:val="0"/>
          <w:i w:val="0"/>
          <w:iCs w:val="0"/>
          <w:u w:val="none"/>
          <w:rtl w:val="0"/>
        </w:rPr>
        <w:t xml:space="preserve">: Todas las órdenes de registro policial ingresarán por la Mesa de Entradas de la </w:t>
      </w:r>
      <w:r w:rsidDel="00000000" w:rsidR="00000000" w:rsidRPr="00000000">
        <w:rPr>
          <w:rFonts w:ascii="Arial" w:cs="Arial" w:eastAsia="Arial" w:hAnsi="Arial"/>
          <w:rtl w:val="0"/>
        </w:rPr>
        <w:t xml:space="preserve">Secretaría</w:t>
      </w:r>
      <w:r w:rsidDel="00000000" w:rsidR="00000000" w:rsidRPr="00000000">
        <w:rPr>
          <w:rFonts w:ascii="Arial" w:cs="Arial" w:eastAsia="Arial" w:hAnsi="Arial"/>
          <w:b w:val="0"/>
          <w:bCs w:val="0"/>
          <w:i w:val="0"/>
          <w:iCs w:val="0"/>
          <w:u w:val="none"/>
          <w:rtl w:val="0"/>
        </w:rPr>
        <w:t xml:space="preserve"> de Gestión Administrativa y Procesal de la Fiscalía Regional y/o Unidad Fiscal respectiva, en el horario de atención al público.</w:t>
      </w:r>
    </w:p>
    <w:p w:rsidR="00000000" w:rsidDel="00000000" w:rsidP="00000000" w:rsidRDefault="00000000" w:rsidRPr="00000000" w14:paraId="00000012">
      <w:pPr>
        <w:pageBreakBefore w:val="0"/>
        <w:spacing w:line="360" w:lineRule="auto"/>
        <w:jc w:val="both"/>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ab/>
        <w:t xml:space="preserve">Inmediatamente se registrará al sistema informático junto con los datos necesarios para una correcta búsqueda posterior del legajo (detalle del hecho, nombre y apellido del imputado y la víctima, </w:t>
      </w:r>
      <w:r w:rsidDel="00000000" w:rsidR="00000000" w:rsidRPr="00000000">
        <w:rPr>
          <w:rFonts w:ascii="Arial" w:cs="Arial" w:eastAsia="Arial" w:hAnsi="Arial"/>
          <w:rtl w:val="0"/>
        </w:rPr>
        <w:t xml:space="preserve">comisaría</w:t>
      </w:r>
      <w:r w:rsidDel="00000000" w:rsidR="00000000" w:rsidRPr="00000000">
        <w:rPr>
          <w:rFonts w:ascii="Arial" w:cs="Arial" w:eastAsia="Arial" w:hAnsi="Arial"/>
          <w:b w:val="0"/>
          <w:bCs w:val="0"/>
          <w:i w:val="0"/>
          <w:iCs w:val="0"/>
          <w:u w:val="none"/>
          <w:rtl w:val="0"/>
        </w:rPr>
        <w:t xml:space="preserve"> interviniente, fecha del hecho), se consignará al fiscal en turno de flagrancia (o a quien corresponda de acuerdo al sistema de asignaciones fiscal de la Fiscalía Regional).</w:t>
      </w:r>
    </w:p>
    <w:p w:rsidR="00000000" w:rsidDel="00000000" w:rsidP="00000000" w:rsidRDefault="00000000" w:rsidRPr="00000000" w14:paraId="00000013">
      <w:pPr>
        <w:pageBreakBefore w:val="0"/>
        <w:spacing w:line="360" w:lineRule="auto"/>
        <w:jc w:val="both"/>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ab/>
        <w:t xml:space="preserve">1.2. </w:t>
      </w:r>
      <w:r w:rsidDel="00000000" w:rsidR="00000000" w:rsidRPr="00000000">
        <w:rPr>
          <w:rFonts w:ascii="Arial" w:cs="Arial" w:eastAsia="Arial" w:hAnsi="Arial"/>
          <w:b w:val="0"/>
          <w:bCs w:val="0"/>
          <w:i w:val="0"/>
          <w:iCs w:val="0"/>
          <w:u w:val="single"/>
          <w:rtl w:val="0"/>
        </w:rPr>
        <w:t xml:space="preserve">Excepciones</w:t>
      </w:r>
      <w:r w:rsidDel="00000000" w:rsidR="00000000" w:rsidRPr="00000000">
        <w:rPr>
          <w:rFonts w:ascii="Arial" w:cs="Arial" w:eastAsia="Arial" w:hAnsi="Arial"/>
          <w:b w:val="0"/>
          <w:bCs w:val="0"/>
          <w:i w:val="0"/>
          <w:iCs w:val="0"/>
          <w:u w:val="none"/>
          <w:rtl w:val="0"/>
        </w:rPr>
        <w:t xml:space="preserve">:</w:t>
      </w:r>
    </w:p>
    <w:p w:rsidR="00000000" w:rsidDel="00000000" w:rsidP="00000000" w:rsidRDefault="00000000" w:rsidRPr="00000000" w14:paraId="00000014">
      <w:pPr>
        <w:pageBreakBefore w:val="0"/>
        <w:spacing w:line="360" w:lineRule="auto"/>
        <w:jc w:val="both"/>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ab/>
        <w:t xml:space="preserve">a) Las solicitudes policiales elevadas fuera del horario de atención al público serán recepcionadas por la Unidad Fiscal y desde allí se cargará en el sistema informático la solicitud respectiva; </w:t>
      </w:r>
    </w:p>
    <w:p w:rsidR="00000000" w:rsidDel="00000000" w:rsidP="00000000" w:rsidRDefault="00000000" w:rsidRPr="00000000" w14:paraId="00000015">
      <w:pPr>
        <w:pageBreakBefore w:val="0"/>
        <w:spacing w:line="360" w:lineRule="auto"/>
        <w:jc w:val="both"/>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ab/>
        <w:t xml:space="preserve">b) Además se excepciona el ingreso de la solicitud para aquellas órdenes de allanamiento que sean a estricto requerimiento fiscal sin perjuicio de que la modalidad de registro en el sistema informático es unificada.</w:t>
      </w:r>
    </w:p>
    <w:p w:rsidR="00000000" w:rsidDel="00000000" w:rsidP="00000000" w:rsidRDefault="00000000" w:rsidRPr="00000000" w14:paraId="00000016">
      <w:pPr>
        <w:pageBreakBefore w:val="0"/>
        <w:spacing w:line="360" w:lineRule="auto"/>
        <w:jc w:val="both"/>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ab/>
        <w:t xml:space="preserve">1.3. </w:t>
      </w:r>
      <w:r w:rsidDel="00000000" w:rsidR="00000000" w:rsidRPr="00000000">
        <w:rPr>
          <w:rFonts w:ascii="Arial" w:cs="Arial" w:eastAsia="Arial" w:hAnsi="Arial"/>
          <w:b w:val="0"/>
          <w:bCs w:val="0"/>
          <w:i w:val="0"/>
          <w:iCs w:val="0"/>
          <w:u w:val="single"/>
          <w:rtl w:val="0"/>
        </w:rPr>
        <w:t xml:space="preserve">Denegación de la solicitud policial</w:t>
      </w:r>
      <w:r w:rsidDel="00000000" w:rsidR="00000000" w:rsidRPr="00000000">
        <w:rPr>
          <w:rFonts w:ascii="Arial" w:cs="Arial" w:eastAsia="Arial" w:hAnsi="Arial"/>
          <w:b w:val="0"/>
          <w:bCs w:val="0"/>
          <w:i w:val="0"/>
          <w:iCs w:val="0"/>
          <w:u w:val="none"/>
          <w:rtl w:val="0"/>
        </w:rPr>
        <w:t xml:space="preserve">: se registrará en el sistema informático con un breve fundamento en las observaciones, dejando constancia del fiscal que la denegó tanto en el legajo material como digital.</w:t>
      </w:r>
    </w:p>
    <w:p w:rsidR="00000000" w:rsidDel="00000000" w:rsidP="00000000" w:rsidRDefault="00000000" w:rsidRPr="00000000" w14:paraId="00000017">
      <w:pPr>
        <w:pageBreakBefore w:val="0"/>
        <w:spacing w:line="360" w:lineRule="auto"/>
        <w:jc w:val="both"/>
        <w:rPr>
          <w:rFonts w:ascii="Arial" w:cs="Arial" w:eastAsia="Arial" w:hAnsi="Arial"/>
          <w:b w:val="1"/>
          <w:bCs w:val="1"/>
          <w:i w:val="0"/>
          <w:iCs w:val="0"/>
          <w:sz w:val="24"/>
          <w:szCs w:val="24"/>
          <w:u w:val="none"/>
        </w:rPr>
      </w:pPr>
      <w:r w:rsidDel="00000000" w:rsidR="00000000" w:rsidRPr="00000000">
        <w:rPr>
          <w:rtl w:val="0"/>
        </w:rPr>
      </w:r>
    </w:p>
    <w:p w:rsidR="00000000" w:rsidDel="00000000" w:rsidP="00000000" w:rsidRDefault="00000000" w:rsidRPr="00000000" w14:paraId="00000018">
      <w:pPr>
        <w:pageBreakBefore w:val="0"/>
        <w:spacing w:after="0" w:before="0" w:line="360" w:lineRule="auto"/>
        <w:rPr/>
      </w:pPr>
      <w:r w:rsidDel="00000000" w:rsidR="00000000" w:rsidRPr="00000000">
        <w:rPr>
          <w:rFonts w:ascii="Arial" w:cs="Arial" w:eastAsia="Arial" w:hAnsi="Arial"/>
          <w:b w:val="1"/>
          <w:bCs w:val="1"/>
          <w:sz w:val="24"/>
          <w:szCs w:val="24"/>
          <w:rtl w:val="0"/>
        </w:rPr>
        <w:t xml:space="preserve">2. Evaluación de la solicitud con contralor fiscal</w:t>
      </w:r>
      <w:r w:rsidDel="00000000" w:rsidR="00000000" w:rsidRPr="00000000">
        <w:rPr>
          <w:rtl w:val="0"/>
        </w:rPr>
      </w:r>
    </w:p>
    <w:p w:rsidR="00000000" w:rsidDel="00000000" w:rsidP="00000000" w:rsidRDefault="00000000" w:rsidRPr="00000000" w14:paraId="00000019">
      <w:pPr>
        <w:pageBreakBefore w:val="0"/>
        <w:spacing w:after="0" w:before="0" w:line="360" w:lineRule="auto"/>
        <w:jc w:val="both"/>
        <w:rPr/>
      </w:pPr>
      <w:r w:rsidDel="00000000" w:rsidR="00000000" w:rsidRPr="00000000">
        <w:rPr>
          <w:rFonts w:ascii="Arial" w:cs="Arial" w:eastAsia="Arial" w:hAnsi="Arial"/>
          <w:b w:val="1"/>
          <w:bCs w:val="1"/>
          <w:sz w:val="24"/>
          <w:szCs w:val="24"/>
          <w:rtl w:val="0"/>
        </w:rPr>
        <w:tab/>
      </w:r>
      <w:r w:rsidDel="00000000" w:rsidR="00000000" w:rsidRPr="00000000">
        <w:rPr>
          <w:rFonts w:ascii="Arial" w:cs="Arial" w:eastAsia="Arial" w:hAnsi="Arial"/>
          <w:b w:val="0"/>
          <w:bCs w:val="0"/>
          <w:color w:val="000000"/>
          <w:sz w:val="24"/>
          <w:szCs w:val="24"/>
          <w:rtl w:val="0"/>
        </w:rPr>
        <w:t xml:space="preserve">El registro de morada es una medida de investigación cuya evaluación, utilidad y necesidad debe ser impulsada y valorada por el fiscal del caso. </w:t>
      </w:r>
      <w:r w:rsidDel="00000000" w:rsidR="00000000" w:rsidRPr="00000000">
        <w:rPr>
          <w:rtl w:val="0"/>
        </w:rPr>
      </w:r>
    </w:p>
    <w:p w:rsidR="00000000" w:rsidDel="00000000" w:rsidP="00000000" w:rsidRDefault="00000000" w:rsidRPr="00000000" w14:paraId="0000001A">
      <w:pPr>
        <w:pageBreakBefore w:val="0"/>
        <w:spacing w:after="0" w:before="0" w:line="360" w:lineRule="auto"/>
        <w:jc w:val="both"/>
        <w:rPr/>
      </w:pPr>
      <w:r w:rsidDel="00000000" w:rsidR="00000000" w:rsidRPr="00000000">
        <w:rPr>
          <w:rFonts w:ascii="Arial" w:cs="Arial" w:eastAsia="Arial" w:hAnsi="Arial"/>
          <w:b w:val="0"/>
          <w:bCs w:val="0"/>
          <w:color w:val="ff6600"/>
          <w:sz w:val="24"/>
          <w:szCs w:val="24"/>
          <w:rtl w:val="0"/>
        </w:rPr>
        <w:tab/>
      </w:r>
      <w:r w:rsidDel="00000000" w:rsidR="00000000" w:rsidRPr="00000000">
        <w:rPr>
          <w:rFonts w:ascii="Arial" w:cs="Arial" w:eastAsia="Arial" w:hAnsi="Arial"/>
          <w:b w:val="0"/>
          <w:bCs w:val="0"/>
          <w:color w:val="000000"/>
          <w:sz w:val="24"/>
          <w:szCs w:val="24"/>
          <w:rtl w:val="0"/>
        </w:rPr>
        <w:t xml:space="preserve">Es habitual que quien</w:t>
      </w:r>
      <w:r w:rsidDel="00000000" w:rsidR="00000000" w:rsidRPr="00000000">
        <w:rPr>
          <w:rFonts w:ascii="Arial" w:cs="Arial" w:eastAsia="Arial" w:hAnsi="Arial"/>
          <w:b w:val="1"/>
          <w:bCs w:val="1"/>
          <w:color w:val="ff6600"/>
          <w:sz w:val="24"/>
          <w:szCs w:val="24"/>
          <w:rtl w:val="0"/>
        </w:rPr>
        <w:t xml:space="preserve"> </w:t>
      </w:r>
      <w:r w:rsidDel="00000000" w:rsidR="00000000" w:rsidRPr="00000000">
        <w:rPr>
          <w:rFonts w:ascii="Arial" w:cs="Arial" w:eastAsia="Arial" w:hAnsi="Arial"/>
          <w:b w:val="0"/>
          <w:bCs w:val="0"/>
          <w:color w:val="000000"/>
          <w:sz w:val="24"/>
          <w:szCs w:val="24"/>
          <w:rtl w:val="0"/>
        </w:rPr>
        <w:t xml:space="preserve">tenga a su cargo la pesquisa (personal PDI, organismo de investigaciones, comisaria, etc.) solicite la autorización al fiscal en turno o bien, a quien tenga a cargo la IPP si ya estuviera en curso. En estos casos, nuevamente, es importante considerar que los órganos policiales, en función judicial, sólo tienen la pesquisa por delegación del fiscal y en consecuencia es una responsabilidad del MPA la decisión de llevar a cabo un procedimiento de allanamiento, o no. Por ello, no es buena práctica concebir al allanamiento como una tarea policial sobre la que la fiscalía cumple un control más o menos burocrático.</w:t>
      </w:r>
      <w:r w:rsidDel="00000000" w:rsidR="00000000" w:rsidRPr="00000000">
        <w:rPr>
          <w:rtl w:val="0"/>
        </w:rPr>
      </w:r>
    </w:p>
    <w:p w:rsidR="00000000" w:rsidDel="00000000" w:rsidP="00000000" w:rsidRDefault="00000000" w:rsidRPr="00000000" w14:paraId="0000001B">
      <w:pPr>
        <w:pageBreakBefore w:val="0"/>
        <w:spacing w:after="0" w:before="0" w:line="360" w:lineRule="auto"/>
        <w:jc w:val="both"/>
        <w:rPr/>
      </w:pPr>
      <w:r w:rsidDel="00000000" w:rsidR="00000000" w:rsidRPr="00000000">
        <w:rPr>
          <w:rFonts w:ascii="Arial" w:cs="Arial" w:eastAsia="Arial" w:hAnsi="Arial"/>
          <w:b w:val="0"/>
          <w:bCs w:val="0"/>
          <w:color w:val="000000"/>
          <w:sz w:val="24"/>
          <w:szCs w:val="24"/>
          <w:rtl w:val="0"/>
        </w:rPr>
        <w:tab/>
        <w:t xml:space="preserve">Es importante que el fiscal requiera la información necesaria para evaluar el caso en su conjunto y en todo caso requerir información extra a los investigadores (personal policial) sobre las circunstancias en torno a las cuáles se está requiriendo la medida. </w:t>
      </w:r>
      <w:r w:rsidDel="00000000" w:rsidR="00000000" w:rsidRPr="00000000">
        <w:rPr>
          <w:rtl w:val="0"/>
        </w:rPr>
      </w:r>
    </w:p>
    <w:p w:rsidR="00000000" w:rsidDel="00000000" w:rsidP="00000000" w:rsidRDefault="00000000" w:rsidRPr="00000000" w14:paraId="0000001C">
      <w:pPr>
        <w:pageBreakBefore w:val="0"/>
        <w:spacing w:after="0" w:before="0" w:line="360" w:lineRule="auto"/>
        <w:jc w:val="both"/>
        <w:rPr/>
      </w:pPr>
      <w:r w:rsidDel="00000000" w:rsidR="00000000" w:rsidRPr="00000000">
        <w:rPr>
          <w:rFonts w:ascii="Arial" w:cs="Arial" w:eastAsia="Arial" w:hAnsi="Arial"/>
          <w:sz w:val="24"/>
          <w:szCs w:val="24"/>
          <w:rtl w:val="0"/>
        </w:rPr>
        <w:tab/>
        <w:t xml:space="preserve">Una vez recepcionada la solicitud, </w:t>
      </w:r>
      <w:r w:rsidDel="00000000" w:rsidR="00000000" w:rsidRPr="00000000">
        <w:rPr>
          <w:rFonts w:ascii="Arial" w:cs="Arial" w:eastAsia="Arial" w:hAnsi="Arial"/>
          <w:color w:val="000000"/>
          <w:sz w:val="24"/>
          <w:szCs w:val="24"/>
          <w:rtl w:val="0"/>
        </w:rPr>
        <w:t xml:space="preserve">la fiscalía</w:t>
      </w:r>
      <w:r w:rsidDel="00000000" w:rsidR="00000000" w:rsidRPr="00000000">
        <w:rPr>
          <w:rFonts w:ascii="Arial" w:cs="Arial" w:eastAsia="Arial" w:hAnsi="Arial"/>
          <w:sz w:val="24"/>
          <w:szCs w:val="24"/>
          <w:rtl w:val="0"/>
        </w:rPr>
        <w:t xml:space="preserve"> efectuará un primer análisis para valorar si la petición es fundada y en base a ello determinará si solicita o no judicialmente la autorización de allanamiento: es decir, se evaluará la entidad de la denuncia, el testimonio de la víctima y testigos junto con la vinculación con otras evidencias y con el/los imputados si estuvieran identificados; la acreditación o respaldo documental cuando se trata de objetos que pertenecen a la víctima; además, si el pedido está referido al secuestro de objetos vinculados al ilícito o al recupero de efectos sustraídos en relación a la investigación o la detención de una persona, etcétera.</w:t>
      </w:r>
      <w:r w:rsidDel="00000000" w:rsidR="00000000" w:rsidRPr="00000000">
        <w:rPr>
          <w:rtl w:val="0"/>
        </w:rPr>
      </w:r>
    </w:p>
    <w:p w:rsidR="00000000" w:rsidDel="00000000" w:rsidP="00000000" w:rsidRDefault="00000000" w:rsidRPr="00000000" w14:paraId="0000001D">
      <w:pPr>
        <w:pageBreakBefore w:val="0"/>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En caso positivo, solicitará al juez de turno mediante petición fundada la solicitud de autorización de allanamiento. </w:t>
      </w:r>
    </w:p>
    <w:p w:rsidR="00000000" w:rsidDel="00000000" w:rsidP="00000000" w:rsidRDefault="00000000" w:rsidRPr="00000000" w14:paraId="0000001E">
      <w:pPr>
        <w:pageBreakBefore w:val="0"/>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Si el juez la emite se le dará curso para su ejecución. Si la rechaza se le pedirá que lo haga por escrito y se verificará si corresponde, o no, apelarlo o bien completar la investigación y solicitarlo nuevamente. </w:t>
      </w:r>
    </w:p>
    <w:p w:rsidR="00000000" w:rsidDel="00000000" w:rsidP="00000000" w:rsidRDefault="00000000" w:rsidRPr="00000000" w14:paraId="0000001F">
      <w:pPr>
        <w:pageBreakBefore w:val="0"/>
        <w:spacing w:after="0" w:before="0" w:line="360" w:lineRule="auto"/>
        <w:jc w:val="both"/>
        <w:rPr>
          <w:rFonts w:ascii="Arial" w:cs="Arial" w:eastAsia="Arial" w:hAnsi="Arial"/>
          <w:sz w:val="24"/>
          <w:szCs w:val="24"/>
        </w:rPr>
      </w:pPr>
      <w:r w:rsidDel="00000000" w:rsidR="00000000" w:rsidRPr="00000000">
        <w:rPr>
          <w:rFonts w:ascii="Arial" w:cs="Arial" w:eastAsia="Arial" w:hAnsi="Arial"/>
          <w:color w:val="ff6600"/>
          <w:sz w:val="24"/>
          <w:szCs w:val="24"/>
          <w:rtl w:val="0"/>
        </w:rPr>
        <w:tab/>
      </w:r>
      <w:r w:rsidDel="00000000" w:rsidR="00000000" w:rsidRPr="00000000">
        <w:rPr>
          <w:rFonts w:ascii="Arial" w:cs="Arial" w:eastAsia="Arial" w:hAnsi="Arial"/>
          <w:color w:val="000000"/>
          <w:sz w:val="24"/>
          <w:szCs w:val="24"/>
          <w:rtl w:val="0"/>
        </w:rPr>
        <w:t xml:space="preserve">La fiscalía debe dar seguimiento al modo en que se ejecuta la medida, el momento y el resultado resultando importante que la misma sea o no efectiva, en la medida que ello servirá, entre otras cosas, para evaluar la confiabilidad de la información aportada por el personal policial.</w:t>
      </w:r>
      <w:r w:rsidDel="00000000" w:rsidR="00000000" w:rsidRPr="00000000">
        <w:rPr>
          <w:rtl w:val="0"/>
        </w:rPr>
      </w:r>
    </w:p>
    <w:p w:rsidR="00000000" w:rsidDel="00000000" w:rsidP="00000000" w:rsidRDefault="00000000" w:rsidRPr="00000000" w14:paraId="00000020">
      <w:pPr>
        <w:pageBreakBefore w:val="0"/>
        <w:spacing w:after="0" w:before="0" w:line="360" w:lineRule="auto"/>
        <w:jc w:val="both"/>
        <w:rPr>
          <w:rFonts w:ascii="Arial" w:cs="Arial" w:eastAsia="Arial" w:hAnsi="Arial"/>
          <w:color w:val="ff6600"/>
          <w:sz w:val="24"/>
          <w:szCs w:val="24"/>
        </w:rPr>
      </w:pPr>
      <w:r w:rsidDel="00000000" w:rsidR="00000000" w:rsidRPr="00000000">
        <w:rPr>
          <w:rtl w:val="0"/>
        </w:rPr>
      </w:r>
    </w:p>
    <w:p w:rsidR="00000000" w:rsidDel="00000000" w:rsidP="00000000" w:rsidRDefault="00000000" w:rsidRPr="00000000" w14:paraId="00000021">
      <w:pPr>
        <w:pageBreakBefore w:val="0"/>
        <w:spacing w:after="0" w:before="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Presupuestos mínimos y fundamentos para solicitar un allanamiento </w:t>
      </w:r>
    </w:p>
    <w:p w:rsidR="00000000" w:rsidDel="00000000" w:rsidP="00000000" w:rsidRDefault="00000000" w:rsidRPr="00000000" w14:paraId="00000022">
      <w:pPr>
        <w:pageBreakBefore w:val="0"/>
        <w:spacing w:after="0" w:before="0" w:line="360" w:lineRule="auto"/>
        <w:jc w:val="both"/>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Debe tratarse de un hecho con apariencia delictiva: </w:t>
      </w:r>
    </w:p>
    <w:p w:rsidR="00000000" w:rsidDel="00000000" w:rsidP="00000000" w:rsidRDefault="00000000" w:rsidRPr="00000000" w14:paraId="00000023">
      <w:pPr>
        <w:pageBreakBefore w:val="0"/>
        <w:spacing w:after="0" w:before="0" w:line="360" w:lineRule="auto"/>
        <w:jc w:val="both"/>
        <w:rPr>
          <w:rFonts w:ascii="Arial" w:cs="Arial" w:eastAsia="Arial" w:hAnsi="Arial"/>
        </w:rPr>
      </w:pPr>
      <w:r w:rsidDel="00000000" w:rsidR="00000000" w:rsidRPr="00000000">
        <w:rPr>
          <w:rFonts w:ascii="Arial" w:cs="Arial" w:eastAsia="Arial" w:hAnsi="Arial"/>
          <w:rtl w:val="0"/>
        </w:rPr>
        <w:tab/>
        <w:t xml:space="preserve">Las denuncias y/o llamados telefónicos anónimos en principio por sí solos no son idóneos para solicitar la medida. </w:t>
      </w:r>
    </w:p>
    <w:p w:rsidR="00000000" w:rsidDel="00000000" w:rsidP="00000000" w:rsidRDefault="00000000" w:rsidRPr="00000000" w14:paraId="00000024">
      <w:pPr>
        <w:pageBreakBefore w:val="0"/>
        <w:spacing w:after="0" w:before="0" w:line="360" w:lineRule="auto"/>
        <w:jc w:val="both"/>
        <w:rPr>
          <w:rFonts w:ascii="Arial" w:cs="Arial" w:eastAsia="Arial" w:hAnsi="Arial"/>
        </w:rPr>
      </w:pPr>
      <w:r w:rsidDel="00000000" w:rsidR="00000000" w:rsidRPr="00000000">
        <w:rPr>
          <w:rFonts w:ascii="Arial" w:cs="Arial" w:eastAsia="Arial" w:hAnsi="Arial"/>
          <w:rtl w:val="0"/>
        </w:rPr>
        <w:tab/>
        <w:t xml:space="preserve">Se descartarán los datos aislados, afirmaciones infundadas y todos aquellos que no tengan respaldo en ninguna evidencia. </w:t>
      </w:r>
      <w:r w:rsidDel="00000000" w:rsidR="00000000" w:rsidRPr="00000000">
        <w:rPr>
          <w:rFonts w:ascii="Arial" w:cs="Arial" w:eastAsia="Arial" w:hAnsi="Arial"/>
          <w:color w:val="000000"/>
          <w:rtl w:val="0"/>
        </w:rPr>
        <w:t xml:space="preserve">Es común que se procure fundamentar los presupuestos de una orden en elementos tales como “tareas de investigación de calle”, “dichos de testigos que no quisieron identificarse”, etc. Debe actuarse con mucha cautela, en la medida que es deber de la fiscalía garantizar que la información que da lugar a las medidas de este tipo tenga un soporte objetivo suficiente. También es importante evitar que se califique como “urgente” algo que en realidad no lo es (típicamente, un pedido de allanamiento con base en información que tiene dos, tres o más días de antigüedad y que es presentada como “urgente”).</w:t>
      </w:r>
      <w:r w:rsidDel="00000000" w:rsidR="00000000" w:rsidRPr="00000000">
        <w:rPr>
          <w:rtl w:val="0"/>
        </w:rPr>
      </w:r>
    </w:p>
    <w:p w:rsidR="00000000" w:rsidDel="00000000" w:rsidP="00000000" w:rsidRDefault="00000000" w:rsidRPr="00000000" w14:paraId="00000025">
      <w:pPr>
        <w:pageBreakBefore w:val="0"/>
        <w:spacing w:after="0" w:before="0" w:line="360" w:lineRule="auto"/>
        <w:jc w:val="both"/>
        <w:rPr>
          <w:rFonts w:ascii="Arial" w:cs="Arial" w:eastAsia="Arial" w:hAnsi="Arial"/>
        </w:rPr>
      </w:pPr>
      <w:r w:rsidDel="00000000" w:rsidR="00000000" w:rsidRPr="00000000">
        <w:rPr>
          <w:rFonts w:ascii="Arial" w:cs="Arial" w:eastAsia="Arial" w:hAnsi="Arial"/>
          <w:rtl w:val="0"/>
        </w:rPr>
        <w:tab/>
        <w:t xml:space="preserve">En los casos en que se informen hechos con cierta gravedad podrán ser tomados como </w:t>
      </w:r>
      <w:r w:rsidDel="00000000" w:rsidR="00000000" w:rsidRPr="00000000">
        <w:rPr>
          <w:rFonts w:ascii="Arial" w:cs="Arial" w:eastAsia="Arial" w:hAnsi="Arial"/>
          <w:i w:val="1"/>
          <w:iCs w:val="1"/>
          <w:rtl w:val="0"/>
        </w:rPr>
        <w:t xml:space="preserve">notitia criminis</w:t>
      </w:r>
      <w:r w:rsidDel="00000000" w:rsidR="00000000" w:rsidRPr="00000000">
        <w:rPr>
          <w:rFonts w:ascii="Arial" w:cs="Arial" w:eastAsia="Arial" w:hAnsi="Arial"/>
          <w:rtl w:val="0"/>
        </w:rPr>
        <w:t xml:space="preserve"> y, </w:t>
      </w:r>
      <w:r w:rsidDel="00000000" w:rsidR="00000000" w:rsidRPr="00000000">
        <w:rPr>
          <w:rFonts w:ascii="Arial" w:cs="Arial" w:eastAsia="Arial" w:hAnsi="Arial"/>
          <w:u w:val="none"/>
          <w:rtl w:val="0"/>
        </w:rPr>
        <w:t xml:space="preserve">en base a ello, se exigirá al personal policial que intensifique la investigación, realizando tareas de inteligencia que permitan obtener datos objetivos a fin de poder fundar debidamente la solicitud de allanamiento.</w:t>
      </w:r>
      <w:r w:rsidDel="00000000" w:rsidR="00000000" w:rsidRPr="00000000">
        <w:rPr>
          <w:rtl w:val="0"/>
        </w:rPr>
      </w:r>
    </w:p>
    <w:p w:rsidR="00000000" w:rsidDel="00000000" w:rsidP="00000000" w:rsidRDefault="00000000" w:rsidRPr="00000000" w14:paraId="00000026">
      <w:pPr>
        <w:pageBreakBefore w:val="0"/>
        <w:spacing w:after="0" w:before="0" w:line="360" w:lineRule="auto"/>
        <w:jc w:val="both"/>
        <w:rPr>
          <w:rFonts w:ascii="Arial" w:cs="Arial" w:eastAsia="Arial" w:hAnsi="Arial"/>
          <w:u w:val="none"/>
        </w:rPr>
      </w:pPr>
      <w:r w:rsidDel="00000000" w:rsidR="00000000" w:rsidRPr="00000000">
        <w:rPr>
          <w:rFonts w:ascii="Arial" w:cs="Arial" w:eastAsia="Arial" w:hAnsi="Arial"/>
          <w:u w:val="none"/>
          <w:rtl w:val="0"/>
        </w:rPr>
        <w:tab/>
      </w:r>
      <w:r w:rsidDel="00000000" w:rsidR="00000000" w:rsidRPr="00000000">
        <w:rPr>
          <w:rFonts w:ascii="Arial" w:cs="Arial" w:eastAsia="Arial" w:hAnsi="Arial"/>
          <w:b w:val="1"/>
          <w:bCs w:val="1"/>
          <w:u w:val="none"/>
          <w:rtl w:val="0"/>
        </w:rPr>
        <w:t xml:space="preserve">b. </w:t>
      </w:r>
      <w:r w:rsidDel="00000000" w:rsidR="00000000" w:rsidRPr="00000000">
        <w:rPr>
          <w:rFonts w:ascii="Arial" w:cs="Arial" w:eastAsia="Arial" w:hAnsi="Arial"/>
          <w:b w:val="0"/>
          <w:bCs w:val="0"/>
          <w:u w:val="none"/>
          <w:rtl w:val="0"/>
        </w:rPr>
        <w:t xml:space="preserve">Identificación de la víctima en caso de ser posible y teniéndose en cuenta la declaración de la misma, de los testigos e incluso del imputado y toda otra evidencia útil .</w:t>
      </w:r>
      <w:r w:rsidDel="00000000" w:rsidR="00000000" w:rsidRPr="00000000">
        <w:rPr>
          <w:rtl w:val="0"/>
        </w:rPr>
      </w:r>
    </w:p>
    <w:p w:rsidR="00000000" w:rsidDel="00000000" w:rsidP="00000000" w:rsidRDefault="00000000" w:rsidRPr="00000000" w14:paraId="00000027">
      <w:pPr>
        <w:pageBreakBefore w:val="0"/>
        <w:spacing w:after="0" w:before="0" w:line="360" w:lineRule="auto"/>
        <w:jc w:val="both"/>
        <w:rPr>
          <w:rFonts w:ascii="Arial" w:cs="Arial" w:eastAsia="Arial" w:hAnsi="Arial"/>
          <w:u w:val="none"/>
        </w:rPr>
      </w:pPr>
      <w:r w:rsidDel="00000000" w:rsidR="00000000" w:rsidRPr="00000000">
        <w:rPr>
          <w:rFonts w:ascii="Arial" w:cs="Arial" w:eastAsia="Arial" w:hAnsi="Arial"/>
          <w:b w:val="0"/>
          <w:bCs w:val="0"/>
          <w:u w:val="none"/>
          <w:rtl w:val="0"/>
        </w:rPr>
        <w:tab/>
      </w:r>
      <w:r w:rsidDel="00000000" w:rsidR="00000000" w:rsidRPr="00000000">
        <w:rPr>
          <w:rFonts w:ascii="Arial" w:cs="Arial" w:eastAsia="Arial" w:hAnsi="Arial"/>
          <w:b w:val="1"/>
          <w:bCs w:val="1"/>
          <w:u w:val="none"/>
          <w:rtl w:val="0"/>
        </w:rPr>
        <w:t xml:space="preserve">c.</w:t>
      </w:r>
      <w:r w:rsidDel="00000000" w:rsidR="00000000" w:rsidRPr="00000000">
        <w:rPr>
          <w:rFonts w:ascii="Arial" w:cs="Arial" w:eastAsia="Arial" w:hAnsi="Arial"/>
          <w:b w:val="0"/>
          <w:bCs w:val="0"/>
          <w:u w:val="none"/>
          <w:rtl w:val="0"/>
        </w:rPr>
        <w:t xml:space="preserve"> Contar con el informe policial correspondiente, en donde consten las tareas investigativas llevadas a cabo por el personal policial, el cual debe estar debidamente fundado en datos objetivos, si es posible documentado con fotos y/o filmaciones.</w:t>
      </w:r>
      <w:r w:rsidDel="00000000" w:rsidR="00000000" w:rsidRPr="00000000">
        <w:rPr>
          <w:rtl w:val="0"/>
        </w:rPr>
      </w:r>
    </w:p>
    <w:p w:rsidR="00000000" w:rsidDel="00000000" w:rsidP="00000000" w:rsidRDefault="00000000" w:rsidRPr="00000000" w14:paraId="00000028">
      <w:pPr>
        <w:pageBreakBefore w:val="0"/>
        <w:spacing w:after="0" w:before="0" w:line="360" w:lineRule="auto"/>
        <w:jc w:val="both"/>
        <w:rPr>
          <w:rFonts w:ascii="Arial" w:cs="Arial" w:eastAsia="Arial" w:hAnsi="Arial"/>
          <w:sz w:val="24"/>
          <w:szCs w:val="24"/>
          <w:u w:val="none"/>
        </w:rPr>
      </w:pPr>
      <w:r w:rsidDel="00000000" w:rsidR="00000000" w:rsidRPr="00000000">
        <w:rPr>
          <w:rFonts w:ascii="Arial" w:cs="Arial" w:eastAsia="Arial" w:hAnsi="Arial"/>
          <w:b w:val="1"/>
          <w:bCs w:val="1"/>
          <w:sz w:val="24"/>
          <w:szCs w:val="24"/>
          <w:u w:val="none"/>
          <w:rtl w:val="0"/>
        </w:rPr>
        <w:tab/>
        <w:t xml:space="preserve">d. </w:t>
      </w:r>
      <w:r w:rsidDel="00000000" w:rsidR="00000000" w:rsidRPr="00000000">
        <w:rPr>
          <w:rFonts w:ascii="Arial" w:cs="Arial" w:eastAsia="Arial" w:hAnsi="Arial"/>
          <w:b w:val="0"/>
          <w:bCs w:val="0"/>
          <w:sz w:val="24"/>
          <w:szCs w:val="24"/>
          <w:u w:val="none"/>
          <w:rtl w:val="0"/>
        </w:rPr>
        <w:t xml:space="preserve">Lograr la correcta individualización </w:t>
      </w:r>
      <w:r w:rsidDel="00000000" w:rsidR="00000000" w:rsidRPr="00000000">
        <w:rPr>
          <w:rFonts w:ascii="Arial" w:cs="Arial" w:eastAsia="Arial" w:hAnsi="Arial"/>
          <w:sz w:val="24"/>
          <w:szCs w:val="24"/>
          <w:u w:val="none"/>
          <w:rtl w:val="0"/>
        </w:rPr>
        <w:t xml:space="preserve">y constatación del domicilio/s a allanar, como así también deben recabarse datos de las personas que allí residan y en qué carácter se lo vincula con la investigación o con una persona sindicada como autora y/o partícipe del hecho, acompañándose de ser posible, placas fotográficas. Asimismo indicar la relación de los objetos a secuestrar o personas a detener con el hecho. </w:t>
      </w:r>
    </w:p>
    <w:p w:rsidR="00000000" w:rsidDel="00000000" w:rsidP="00000000" w:rsidRDefault="00000000" w:rsidRPr="00000000" w14:paraId="00000029">
      <w:pPr>
        <w:pageBreakBefore w:val="0"/>
        <w:spacing w:after="0" w:before="0" w:line="360" w:lineRule="auto"/>
        <w:jc w:val="both"/>
        <w:rPr>
          <w:rFonts w:ascii="Arial" w:cs="Arial" w:eastAsia="Arial" w:hAnsi="Arial"/>
          <w:sz w:val="24"/>
          <w:szCs w:val="24"/>
          <w:u w:val="none"/>
        </w:rPr>
      </w:pPr>
      <w:r w:rsidDel="00000000" w:rsidR="00000000" w:rsidRPr="00000000">
        <w:rPr>
          <w:rFonts w:ascii="Arial" w:cs="Arial" w:eastAsia="Arial" w:hAnsi="Arial"/>
          <w:sz w:val="24"/>
          <w:szCs w:val="24"/>
          <w:u w:val="none"/>
          <w:rtl w:val="0"/>
        </w:rPr>
        <w:tab/>
      </w:r>
      <w:r w:rsidDel="00000000" w:rsidR="00000000" w:rsidRPr="00000000">
        <w:rPr>
          <w:rFonts w:ascii="Arial" w:cs="Arial" w:eastAsia="Arial" w:hAnsi="Arial"/>
          <w:b w:val="1"/>
          <w:bCs w:val="1"/>
          <w:sz w:val="24"/>
          <w:szCs w:val="24"/>
          <w:u w:val="none"/>
          <w:rtl w:val="0"/>
        </w:rPr>
        <w:t xml:space="preserve">e. </w:t>
      </w:r>
      <w:r w:rsidDel="00000000" w:rsidR="00000000" w:rsidRPr="00000000">
        <w:rPr>
          <w:rFonts w:ascii="Arial" w:cs="Arial" w:eastAsia="Arial" w:hAnsi="Arial"/>
          <w:b w:val="0"/>
          <w:bCs w:val="0"/>
          <w:sz w:val="24"/>
          <w:szCs w:val="24"/>
          <w:u w:val="none"/>
          <w:rtl w:val="0"/>
        </w:rPr>
        <w:t xml:space="preserve">En caso de haberse realizado constataciones o levantamiento de evidencias en el lugar del hecho, que permitan acreditar la existencia del ilícito acaecido y que sirvan de fundamento a la solicitud de allanamiento, se debe contar con dicho informe, siempre que no entorpezca la urgencia de la medida.</w:t>
      </w:r>
      <w:r w:rsidDel="00000000" w:rsidR="00000000" w:rsidRPr="00000000">
        <w:rPr>
          <w:rtl w:val="0"/>
        </w:rPr>
      </w:r>
    </w:p>
    <w:p w:rsidR="00000000" w:rsidDel="00000000" w:rsidP="00000000" w:rsidRDefault="00000000" w:rsidRPr="00000000" w14:paraId="0000002A">
      <w:pPr>
        <w:pageBreakBefore w:val="0"/>
        <w:spacing w:after="0" w:before="0" w:line="360" w:lineRule="auto"/>
        <w:jc w:val="both"/>
        <w:rPr>
          <w:rFonts w:ascii="Arial" w:cs="Arial" w:eastAsia="Arial" w:hAnsi="Arial"/>
          <w:sz w:val="24"/>
          <w:szCs w:val="24"/>
          <w:u w:val="none"/>
        </w:rPr>
      </w:pPr>
      <w:r w:rsidDel="00000000" w:rsidR="00000000" w:rsidRPr="00000000">
        <w:rPr>
          <w:rtl w:val="0"/>
        </w:rPr>
      </w:r>
    </w:p>
    <w:p w:rsidR="00000000" w:rsidDel="00000000" w:rsidP="00000000" w:rsidRDefault="00000000" w:rsidRPr="00000000" w14:paraId="0000002B">
      <w:pPr>
        <w:pageBreakBefore w:val="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Confección de la solicitud</w:t>
      </w:r>
    </w:p>
    <w:p w:rsidR="00000000" w:rsidDel="00000000" w:rsidP="00000000" w:rsidRDefault="00000000" w:rsidRPr="00000000" w14:paraId="0000002C">
      <w:pPr>
        <w:pageBreakBefore w:val="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D">
      <w:pPr>
        <w:pageBreakBefore w:val="0"/>
        <w:spacing w:after="0" w:before="0" w:line="360" w:lineRule="auto"/>
        <w:jc w:val="both"/>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b w:val="1"/>
          <w:bCs w:val="1"/>
          <w:color w:val="000000"/>
          <w:sz w:val="24"/>
          <w:szCs w:val="24"/>
          <w:rtl w:val="0"/>
        </w:rPr>
        <w:t xml:space="preserve">a. Autorizados para diligenciar la orden</w:t>
      </w:r>
      <w:r w:rsidDel="00000000" w:rsidR="00000000" w:rsidRPr="00000000">
        <w:rPr>
          <w:rFonts w:ascii="Arial" w:cs="Arial" w:eastAsia="Arial" w:hAnsi="Arial"/>
          <w:color w:val="000000"/>
          <w:sz w:val="24"/>
          <w:szCs w:val="24"/>
          <w:rtl w:val="0"/>
        </w:rPr>
        <w:t xml:space="preserve">: Para preparar el pedido en primer lugar se debe consignar que cuerpo policial llevará adelante la medida.</w:t>
      </w:r>
      <w:r w:rsidDel="00000000" w:rsidR="00000000" w:rsidRPr="00000000">
        <w:rPr>
          <w:rtl w:val="0"/>
        </w:rPr>
      </w:r>
    </w:p>
    <w:p w:rsidR="00000000" w:rsidDel="00000000" w:rsidP="00000000" w:rsidRDefault="00000000" w:rsidRPr="00000000" w14:paraId="0000002E">
      <w:pPr>
        <w:pageBreakBefore w:val="0"/>
        <w:spacing w:after="0" w:before="0" w:line="360" w:lineRule="auto"/>
        <w:jc w:val="both"/>
        <w:rPr/>
      </w:pPr>
      <w:r w:rsidDel="00000000" w:rsidR="00000000" w:rsidRPr="00000000">
        <w:rPr>
          <w:rFonts w:ascii="Arial" w:cs="Arial" w:eastAsia="Arial" w:hAnsi="Arial"/>
          <w:color w:val="000000"/>
          <w:sz w:val="24"/>
          <w:szCs w:val="24"/>
          <w:rtl w:val="0"/>
        </w:rPr>
        <w:tab/>
        <w:t xml:space="preserve">Es decir, al momento de solicitar el allanamiento se debe indicar al juez  cual es el órgano policial autorizado para llevar a cabo la diligencia. </w:t>
      </w:r>
      <w:r w:rsidDel="00000000" w:rsidR="00000000" w:rsidRPr="00000000">
        <w:rPr>
          <w:rtl w:val="0"/>
        </w:rPr>
      </w:r>
    </w:p>
    <w:p w:rsidR="00000000" w:rsidDel="00000000" w:rsidP="00000000" w:rsidRDefault="00000000" w:rsidRPr="00000000" w14:paraId="0000002F">
      <w:pPr>
        <w:pageBreakBefore w:val="0"/>
        <w:spacing w:after="0" w:before="0" w:line="360" w:lineRule="auto"/>
        <w:jc w:val="both"/>
        <w:rPr/>
      </w:pPr>
      <w:r w:rsidDel="00000000" w:rsidR="00000000" w:rsidRPr="00000000">
        <w:rPr>
          <w:rFonts w:ascii="Arial" w:cs="Arial" w:eastAsia="Arial" w:hAnsi="Arial"/>
          <w:color w:val="000000"/>
          <w:sz w:val="24"/>
          <w:szCs w:val="24"/>
          <w:rtl w:val="0"/>
        </w:rPr>
        <w:tab/>
        <w:t xml:space="preserve">Es recomendable que se requiera la autorización del diligenciamiento facultando al organismo policial que solicitó la medida, salvo que el fiscal/adjunto ordene facultar a otro organismo y/o realizarlo personalmente con las fuerzas que considere. </w:t>
      </w:r>
      <w:r w:rsidDel="00000000" w:rsidR="00000000" w:rsidRPr="00000000">
        <w:rPr>
          <w:rtl w:val="0"/>
        </w:rPr>
      </w:r>
    </w:p>
    <w:p w:rsidR="00000000" w:rsidDel="00000000" w:rsidP="00000000" w:rsidRDefault="00000000" w:rsidRPr="00000000" w14:paraId="00000030">
      <w:pPr>
        <w:pageBreakBefore w:val="0"/>
        <w:spacing w:after="0" w:before="0" w:line="360" w:lineRule="auto"/>
        <w:jc w:val="both"/>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b w:val="1"/>
          <w:bCs w:val="1"/>
          <w:color w:val="000000"/>
          <w:sz w:val="24"/>
          <w:szCs w:val="24"/>
          <w:rtl w:val="0"/>
        </w:rPr>
        <w:t xml:space="preserve">b.</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Fecha y horario</w:t>
      </w:r>
      <w:r w:rsidDel="00000000" w:rsidR="00000000" w:rsidRPr="00000000">
        <w:rPr>
          <w:rFonts w:ascii="Arial" w:cs="Arial" w:eastAsia="Arial" w:hAnsi="Arial"/>
          <w:color w:val="000000"/>
          <w:sz w:val="24"/>
          <w:szCs w:val="24"/>
          <w:rtl w:val="0"/>
        </w:rPr>
        <w:t xml:space="preserve"> en el cual se llevará a cabo indicando expresamente si son hábiles o inhábiles. El horario para diligenciar la medida será entre las 7 y 21 horas, a excepción de la autorización expresa para que sea proyectada en días y horas inhábiles (art. 169 CPP).</w:t>
      </w:r>
      <w:r w:rsidDel="00000000" w:rsidR="00000000" w:rsidRPr="00000000">
        <w:rPr>
          <w:rtl w:val="0"/>
        </w:rPr>
      </w:r>
    </w:p>
    <w:p w:rsidR="00000000" w:rsidDel="00000000" w:rsidP="00000000" w:rsidRDefault="00000000" w:rsidRPr="00000000" w14:paraId="00000031">
      <w:pPr>
        <w:pageBreakBefore w:val="0"/>
        <w:spacing w:after="0" w:before="0" w:line="360" w:lineRule="auto"/>
        <w:jc w:val="both"/>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b w:val="0"/>
          <w:bCs w:val="0"/>
          <w:color w:val="000000"/>
          <w:sz w:val="24"/>
          <w:szCs w:val="24"/>
          <w:rtl w:val="0"/>
        </w:rPr>
        <w:t xml:space="preserve">b.1.</w:t>
      </w:r>
      <w:r w:rsidDel="00000000" w:rsidR="00000000" w:rsidRPr="00000000">
        <w:rPr>
          <w:rFonts w:ascii="Arial" w:cs="Arial" w:eastAsia="Arial" w:hAnsi="Arial"/>
          <w:color w:val="000000"/>
          <w:sz w:val="24"/>
          <w:szCs w:val="24"/>
          <w:rtl w:val="0"/>
        </w:rPr>
        <w:t xml:space="preserve"> Plazo para diligenciar el allanamiento: De acuerdo a la gravedad del hecho y la importancia de los efectos a secuestrar podrá extenderse hasta 72 hs. Para ello se recomienda que sea redactada de la siguiente manera:</w:t>
      </w:r>
      <w:r w:rsidDel="00000000" w:rsidR="00000000" w:rsidRPr="00000000">
        <w:rPr>
          <w:rtl w:val="0"/>
        </w:rPr>
      </w:r>
    </w:p>
    <w:p w:rsidR="00000000" w:rsidDel="00000000" w:rsidP="00000000" w:rsidRDefault="00000000" w:rsidRPr="00000000" w14:paraId="00000032">
      <w:pPr>
        <w:pageBreakBefore w:val="0"/>
        <w:spacing w:after="0" w:before="0" w:line="360" w:lineRule="auto"/>
        <w:jc w:val="both"/>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i w:val="1"/>
          <w:iCs w:val="1"/>
          <w:color w:val="000000"/>
          <w:sz w:val="24"/>
          <w:szCs w:val="24"/>
          <w:rtl w:val="0"/>
        </w:rPr>
        <w:t xml:space="preserve">“a partir del día de la fecha dentro las 24 horas”</w:t>
      </w:r>
      <w:r w:rsidDel="00000000" w:rsidR="00000000" w:rsidRPr="00000000">
        <w:rPr>
          <w:rtl w:val="0"/>
        </w:rPr>
      </w:r>
    </w:p>
    <w:p w:rsidR="00000000" w:rsidDel="00000000" w:rsidP="00000000" w:rsidRDefault="00000000" w:rsidRPr="00000000" w14:paraId="00000033">
      <w:pPr>
        <w:pageBreakBefore w:val="0"/>
        <w:spacing w:after="0" w:before="0" w:line="360" w:lineRule="auto"/>
        <w:jc w:val="both"/>
        <w:rPr/>
      </w:pPr>
      <w:r w:rsidDel="00000000" w:rsidR="00000000" w:rsidRPr="00000000">
        <w:rPr>
          <w:rFonts w:ascii="Arial" w:cs="Arial" w:eastAsia="Arial" w:hAnsi="Arial"/>
          <w:i w:val="1"/>
          <w:iCs w:val="1"/>
          <w:color w:val="000000"/>
          <w:sz w:val="24"/>
          <w:szCs w:val="24"/>
          <w:rtl w:val="0"/>
        </w:rPr>
        <w:tab/>
        <w:t xml:space="preserve">“a partir del día de la fecha hasta 48 horas”</w:t>
      </w:r>
      <w:r w:rsidDel="00000000" w:rsidR="00000000" w:rsidRPr="00000000">
        <w:rPr>
          <w:rFonts w:ascii="Arial" w:cs="Arial" w:eastAsia="Arial" w:hAnsi="Arial"/>
          <w:color w:val="000000"/>
          <w:sz w:val="24"/>
          <w:szCs w:val="24"/>
          <w:rtl w:val="0"/>
        </w:rPr>
        <w:tab/>
      </w:r>
      <w:r w:rsidDel="00000000" w:rsidR="00000000" w:rsidRPr="00000000">
        <w:rPr>
          <w:rtl w:val="0"/>
        </w:rPr>
      </w:r>
    </w:p>
    <w:p w:rsidR="00000000" w:rsidDel="00000000" w:rsidP="00000000" w:rsidRDefault="00000000" w:rsidRPr="00000000" w14:paraId="00000034">
      <w:pPr>
        <w:pageBreakBefore w:val="0"/>
        <w:spacing w:after="0" w:before="0" w:line="360" w:lineRule="auto"/>
        <w:jc w:val="both"/>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b w:val="1"/>
          <w:bCs w:val="1"/>
          <w:color w:val="000000"/>
          <w:sz w:val="24"/>
          <w:szCs w:val="24"/>
          <w:rtl w:val="0"/>
        </w:rPr>
        <w:t xml:space="preserve">c.</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Lugar</w:t>
      </w:r>
      <w:r w:rsidDel="00000000" w:rsidR="00000000" w:rsidRPr="00000000">
        <w:rPr>
          <w:rFonts w:ascii="Arial" w:cs="Arial" w:eastAsia="Arial" w:hAnsi="Arial"/>
          <w:color w:val="000000"/>
          <w:sz w:val="24"/>
          <w:szCs w:val="24"/>
          <w:rtl w:val="0"/>
        </w:rPr>
        <w:t xml:space="preserve">: Se identificará en forma exacta el lugar a allanar indicando la calle y numeración catastral, como así las dos arterias entre la que se ubica.</w:t>
      </w:r>
      <w:r w:rsidDel="00000000" w:rsidR="00000000" w:rsidRPr="00000000">
        <w:rPr>
          <w:rtl w:val="0"/>
        </w:rPr>
      </w:r>
    </w:p>
    <w:p w:rsidR="00000000" w:rsidDel="00000000" w:rsidP="00000000" w:rsidRDefault="00000000" w:rsidRPr="00000000" w14:paraId="00000035">
      <w:pPr>
        <w:pageBreakBefore w:val="0"/>
        <w:spacing w:after="0" w:before="0" w:line="360" w:lineRule="auto"/>
        <w:jc w:val="both"/>
        <w:rPr/>
      </w:pPr>
      <w:r w:rsidDel="00000000" w:rsidR="00000000" w:rsidRPr="00000000">
        <w:rPr>
          <w:rFonts w:ascii="Arial" w:cs="Arial" w:eastAsia="Arial" w:hAnsi="Arial"/>
          <w:color w:val="000000"/>
          <w:sz w:val="24"/>
          <w:szCs w:val="24"/>
          <w:rtl w:val="0"/>
        </w:rPr>
        <w:tab/>
        <w:t xml:space="preserve">Cuando no fuera posible individualizarla se describirá con la mayor precisión posible indicando, cuando fuera factible, la calle y arterias en que la cruza y de poseerlo la numeración de viviendas linderas, si se encuentra en vereda par o impar, el material con que está construida, su color (pintura, o bien indicar si es mampostería, ladrillo a la vista, barro, chapa, cartón, etc), indicar los accesos, cantidad de puertas, ventanas, en su caso el techo y sus colores, ochavas, intersecciones de las calles y punto cardinal correspondiente y todo dato que sirva para individualizar el lugar.</w:t>
      </w:r>
      <w:r w:rsidDel="00000000" w:rsidR="00000000" w:rsidRPr="00000000">
        <w:rPr>
          <w:rtl w:val="0"/>
        </w:rPr>
      </w:r>
    </w:p>
    <w:p w:rsidR="00000000" w:rsidDel="00000000" w:rsidP="00000000" w:rsidRDefault="00000000" w:rsidRPr="00000000" w14:paraId="00000036">
      <w:pPr>
        <w:pageBreakBefore w:val="0"/>
        <w:spacing w:after="0" w:before="0" w:line="360" w:lineRule="auto"/>
        <w:jc w:val="both"/>
        <w:rPr/>
      </w:pPr>
      <w:r w:rsidDel="00000000" w:rsidR="00000000" w:rsidRPr="00000000">
        <w:rPr>
          <w:rFonts w:ascii="Arial" w:cs="Arial" w:eastAsia="Arial" w:hAnsi="Arial"/>
          <w:color w:val="000000"/>
          <w:sz w:val="24"/>
          <w:szCs w:val="24"/>
          <w:rtl w:val="0"/>
        </w:rPr>
        <w:tab/>
        <w:t xml:space="preserve">Si se encuentra fuera del ejido urbano deberá identificarse el modo de arribo junto con los caminos por los cuales se debe acceder. </w:t>
      </w:r>
      <w:r w:rsidDel="00000000" w:rsidR="00000000" w:rsidRPr="00000000">
        <w:rPr>
          <w:rtl w:val="0"/>
        </w:rPr>
      </w:r>
    </w:p>
    <w:p w:rsidR="00000000" w:rsidDel="00000000" w:rsidP="00000000" w:rsidRDefault="00000000" w:rsidRPr="00000000" w14:paraId="00000037">
      <w:pPr>
        <w:pageBreakBefore w:val="0"/>
        <w:spacing w:after="0" w:before="0" w:line="360" w:lineRule="auto"/>
        <w:jc w:val="both"/>
        <w:rPr/>
      </w:pPr>
      <w:r w:rsidDel="00000000" w:rsidR="00000000" w:rsidRPr="00000000">
        <w:rPr>
          <w:rFonts w:ascii="Arial" w:cs="Arial" w:eastAsia="Arial" w:hAnsi="Arial"/>
          <w:color w:val="000000"/>
          <w:sz w:val="24"/>
          <w:szCs w:val="24"/>
          <w:rtl w:val="0"/>
        </w:rPr>
        <w:tab/>
        <w:t xml:space="preserve">Para facilitar la identificación es importante contar con el croquis, fotografías como así también un mapa del lugar como así también de coordenadas geográficas y fotografías de la vivienda o lugar a allanar. </w:t>
        <w:tab/>
      </w:r>
      <w:r w:rsidDel="00000000" w:rsidR="00000000" w:rsidRPr="00000000">
        <w:rPr>
          <w:rtl w:val="0"/>
        </w:rPr>
      </w:r>
    </w:p>
    <w:p w:rsidR="00000000" w:rsidDel="00000000" w:rsidP="00000000" w:rsidRDefault="00000000" w:rsidRPr="00000000" w14:paraId="00000038">
      <w:pPr>
        <w:pageBreakBefore w:val="0"/>
        <w:spacing w:after="0" w:before="0" w:line="360" w:lineRule="auto"/>
        <w:jc w:val="both"/>
        <w:rPr/>
      </w:pPr>
      <w:r w:rsidDel="00000000" w:rsidR="00000000" w:rsidRPr="00000000">
        <w:rPr>
          <w:rFonts w:ascii="Arial" w:cs="Arial" w:eastAsia="Arial" w:hAnsi="Arial"/>
          <w:b w:val="1"/>
          <w:bCs w:val="1"/>
          <w:color w:val="000000"/>
          <w:sz w:val="24"/>
          <w:szCs w:val="24"/>
          <w:rtl w:val="0"/>
        </w:rPr>
        <w:tab/>
        <w:t xml:space="preserve">d.</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Efectos a secuestrar</w:t>
      </w:r>
      <w:r w:rsidDel="00000000" w:rsidR="00000000" w:rsidRPr="00000000">
        <w:rPr>
          <w:rFonts w:ascii="Arial" w:cs="Arial" w:eastAsia="Arial" w:hAnsi="Arial"/>
          <w:color w:val="000000"/>
          <w:sz w:val="24"/>
          <w:szCs w:val="24"/>
          <w:rtl w:val="0"/>
        </w:rPr>
        <w:t xml:space="preserve">: se debe indicar de manera precisa y con la mayor descripción posible que sustente la petición y permita identificar el objeto a secuestrar. Por ejemplo: “</w:t>
      </w:r>
      <w:r w:rsidDel="00000000" w:rsidR="00000000" w:rsidRPr="00000000">
        <w:rPr>
          <w:rFonts w:ascii="Arial" w:cs="Arial" w:eastAsia="Arial" w:hAnsi="Arial"/>
          <w:i w:val="1"/>
          <w:iCs w:val="1"/>
          <w:color w:val="000000"/>
          <w:sz w:val="24"/>
          <w:szCs w:val="24"/>
          <w:rtl w:val="0"/>
        </w:rPr>
        <w:t xml:space="preserve">teléfono celular color negro marca Nokia pantalla tactil con chip correspondiente a la empresa Movistar con número de abonado XXX</w:t>
      </w:r>
      <w:r w:rsidDel="00000000" w:rsidR="00000000" w:rsidRPr="00000000">
        <w:rPr>
          <w:rFonts w:ascii="Arial" w:cs="Arial" w:eastAsia="Arial" w:hAnsi="Arial"/>
          <w:color w:val="000000"/>
          <w:sz w:val="24"/>
          <w:szCs w:val="24"/>
          <w:rtl w:val="0"/>
        </w:rPr>
        <w:t xml:space="preserve">”.</w:t>
      </w:r>
      <w:r w:rsidDel="00000000" w:rsidR="00000000" w:rsidRPr="00000000">
        <w:rPr>
          <w:rtl w:val="0"/>
        </w:rPr>
      </w:r>
    </w:p>
    <w:p w:rsidR="00000000" w:rsidDel="00000000" w:rsidP="00000000" w:rsidRDefault="00000000" w:rsidRPr="00000000" w14:paraId="00000039">
      <w:pPr>
        <w:pageBreakBefore w:val="0"/>
        <w:spacing w:after="0" w:before="0" w:line="360" w:lineRule="auto"/>
        <w:jc w:val="both"/>
        <w:rPr/>
      </w:pPr>
      <w:r w:rsidDel="00000000" w:rsidR="00000000" w:rsidRPr="00000000">
        <w:rPr>
          <w:rFonts w:ascii="Arial" w:cs="Arial" w:eastAsia="Arial" w:hAnsi="Arial"/>
          <w:color w:val="000000"/>
          <w:sz w:val="24"/>
          <w:szCs w:val="24"/>
          <w:rtl w:val="0"/>
        </w:rPr>
        <w:tab/>
        <w:t xml:space="preserve">En caso de tratarse de armas de fuego se podrá utilizar la frase “</w:t>
      </w:r>
      <w:r w:rsidDel="00000000" w:rsidR="00000000" w:rsidRPr="00000000">
        <w:rPr>
          <w:rFonts w:ascii="Arial" w:cs="Arial" w:eastAsia="Arial" w:hAnsi="Arial"/>
          <w:i w:val="1"/>
          <w:iCs w:val="1"/>
          <w:color w:val="000000"/>
          <w:sz w:val="24"/>
          <w:szCs w:val="24"/>
          <w:rtl w:val="0"/>
        </w:rPr>
        <w:t xml:space="preserve">todo tipo de armas de fuego</w:t>
      </w:r>
      <w:r w:rsidDel="00000000" w:rsidR="00000000" w:rsidRPr="00000000">
        <w:rPr>
          <w:rFonts w:ascii="Arial" w:cs="Arial" w:eastAsia="Arial" w:hAnsi="Arial"/>
          <w:color w:val="000000"/>
          <w:sz w:val="24"/>
          <w:szCs w:val="24"/>
          <w:rtl w:val="0"/>
        </w:rPr>
        <w:t xml:space="preserve">” siempre que no se conociera los datos de la misma.</w:t>
      </w:r>
      <w:r w:rsidDel="00000000" w:rsidR="00000000" w:rsidRPr="00000000">
        <w:rPr>
          <w:rtl w:val="0"/>
        </w:rPr>
      </w:r>
    </w:p>
    <w:p w:rsidR="00000000" w:rsidDel="00000000" w:rsidP="00000000" w:rsidRDefault="00000000" w:rsidRPr="00000000" w14:paraId="0000003A">
      <w:pPr>
        <w:pageBreakBefore w:val="0"/>
        <w:spacing w:after="0" w:before="0" w:line="360" w:lineRule="auto"/>
        <w:jc w:val="both"/>
        <w:rPr/>
      </w:pPr>
      <w:r w:rsidDel="00000000" w:rsidR="00000000" w:rsidRPr="00000000">
        <w:rPr>
          <w:rFonts w:ascii="Arial" w:cs="Arial" w:eastAsia="Arial" w:hAnsi="Arial"/>
          <w:color w:val="000000"/>
          <w:sz w:val="24"/>
          <w:szCs w:val="24"/>
          <w:rtl w:val="0"/>
        </w:rPr>
        <w:tab/>
        <w:t xml:space="preserve">Cuando en la orden se solicite la detención de personas se transcribirá el nombre y apellido del/ los imputados si se contara con ellos.</w:t>
      </w:r>
      <w:r w:rsidDel="00000000" w:rsidR="00000000" w:rsidRPr="00000000">
        <w:rPr>
          <w:rtl w:val="0"/>
        </w:rPr>
      </w:r>
    </w:p>
    <w:p w:rsidR="00000000" w:rsidDel="00000000" w:rsidP="00000000" w:rsidRDefault="00000000" w:rsidRPr="00000000" w14:paraId="0000003B">
      <w:pPr>
        <w:pageBreakBefore w:val="0"/>
        <w:spacing w:after="0" w:before="0" w:line="360" w:lineRule="auto"/>
        <w:jc w:val="both"/>
        <w:rPr/>
      </w:pPr>
      <w:r w:rsidDel="00000000" w:rsidR="00000000" w:rsidRPr="00000000">
        <w:rPr>
          <w:rFonts w:ascii="Arial" w:cs="Arial" w:eastAsia="Arial" w:hAnsi="Arial"/>
          <w:color w:val="000000"/>
          <w:sz w:val="24"/>
          <w:szCs w:val="24"/>
          <w:rtl w:val="0"/>
        </w:rPr>
        <w:tab/>
      </w:r>
      <w:r w:rsidDel="00000000" w:rsidR="00000000" w:rsidRPr="00000000">
        <w:rPr>
          <w:rFonts w:ascii="Arial" w:cs="Arial" w:eastAsia="Arial" w:hAnsi="Arial"/>
          <w:b w:val="1"/>
          <w:bCs w:val="1"/>
          <w:color w:val="000000"/>
          <w:sz w:val="24"/>
          <w:szCs w:val="24"/>
          <w:rtl w:val="0"/>
        </w:rPr>
        <w:t xml:space="preserve">e. Pedido de allanamiento escrito</w:t>
      </w:r>
      <w:r w:rsidDel="00000000" w:rsidR="00000000" w:rsidRPr="00000000">
        <w:rPr>
          <w:rFonts w:ascii="Arial" w:cs="Arial" w:eastAsia="Arial" w:hAnsi="Arial"/>
          <w:color w:val="000000"/>
          <w:sz w:val="24"/>
          <w:szCs w:val="24"/>
          <w:rtl w:val="0"/>
        </w:rPr>
        <w:t xml:space="preserve">: El pedido fiscal ante la OGJ será fundado y en la orden solicitará que el acto de allanamiento sea filmado desde el inicio del procedimiento, con la salvedad de aquellos casos en los que la policia manifieste no contar con elementos tecnológicos pertinentes para la filmación de la medida, o se trate de resguardar la privacidad de un particular o de algún secreto del Estado, o por razones de intimidad y protección de la víctima, en cuyo caso deberá explicitarse fundadamente</w:t>
      </w:r>
      <w:r w:rsidDel="00000000" w:rsidR="00000000" w:rsidRPr="00000000">
        <w:rPr>
          <w:rFonts w:ascii="Arial" w:cs="Arial" w:eastAsia="Arial" w:hAnsi="Arial"/>
          <w:color w:val="000000"/>
          <w:sz w:val="24"/>
          <w:szCs w:val="24"/>
          <w:vertAlign w:val="superscript"/>
        </w:rPr>
        <w:footnoteReference w:customMarkFollows="0" w:id="0"/>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3C">
      <w:pPr>
        <w:pageBreakBefore w:val="0"/>
        <w:spacing w:line="360" w:lineRule="auto"/>
        <w:jc w:val="both"/>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bCs w:val="1"/>
          <w:sz w:val="24"/>
          <w:szCs w:val="24"/>
          <w:rtl w:val="0"/>
        </w:rPr>
        <w:t xml:space="preserve">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Tareas encomendadas al personal policial</w:t>
      </w:r>
      <w:r w:rsidDel="00000000" w:rsidR="00000000" w:rsidRPr="00000000">
        <w:rPr>
          <w:rFonts w:ascii="Arial" w:cs="Arial" w:eastAsia="Arial" w:hAnsi="Arial"/>
          <w:sz w:val="24"/>
          <w:szCs w:val="24"/>
          <w:rtl w:val="0"/>
        </w:rPr>
        <w:t xml:space="preserve">: Dejará registro por escrito de nombre completo, DNI, dirección, teléfono y firma del testigo de actuación, a los fines de facilitar su ubicación a la hora de ser entrevistados.</w:t>
      </w:r>
      <w:r w:rsidDel="00000000" w:rsidR="00000000" w:rsidRPr="00000000">
        <w:rPr>
          <w:rtl w:val="0"/>
        </w:rPr>
      </w:r>
    </w:p>
    <w:p w:rsidR="00000000" w:rsidDel="00000000" w:rsidP="00000000" w:rsidRDefault="00000000" w:rsidRPr="00000000" w14:paraId="0000003D">
      <w:pPr>
        <w:pageBreakBefore w:val="0"/>
        <w:spacing w:line="360" w:lineRule="auto"/>
        <w:jc w:val="both"/>
        <w:rPr/>
      </w:pPr>
      <w:r w:rsidDel="00000000" w:rsidR="00000000" w:rsidRPr="00000000">
        <w:rPr>
          <w:rFonts w:ascii="Arial" w:cs="Arial" w:eastAsia="Arial" w:hAnsi="Arial"/>
          <w:sz w:val="24"/>
          <w:szCs w:val="24"/>
          <w:rtl w:val="0"/>
        </w:rPr>
        <w:tab/>
        <w:t xml:space="preserve">El acto deberá constar en acta escrita, sin perjuicio que debe ser filmado desde el inicio del procedimiento que solo podrá excepcionarse por el tribunal de manera fundada.</w:t>
      </w:r>
      <w:r w:rsidDel="00000000" w:rsidR="00000000" w:rsidRPr="00000000">
        <w:rPr>
          <w:rtl w:val="0"/>
        </w:rPr>
      </w:r>
    </w:p>
    <w:p w:rsidR="00000000" w:rsidDel="00000000" w:rsidP="00000000" w:rsidRDefault="00000000" w:rsidRPr="00000000" w14:paraId="0000003E">
      <w:pPr>
        <w:pageBreakBefore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F">
      <w:pPr>
        <w:pageBreakBefore w:val="0"/>
        <w:spacing w:line="360" w:lineRule="auto"/>
        <w:jc w:val="both"/>
        <w:rPr>
          <w:rFonts w:ascii="Arial" w:cs="Arial" w:eastAsia="Arial" w:hAnsi="Arial"/>
          <w:b w:val="1"/>
          <w:bCs w:val="1"/>
          <w:i w:val="0"/>
          <w:iCs w:val="0"/>
          <w:u w:val="none"/>
        </w:rPr>
      </w:pPr>
      <w:r w:rsidDel="00000000" w:rsidR="00000000" w:rsidRPr="00000000">
        <w:rPr>
          <w:rFonts w:ascii="Arial" w:cs="Arial" w:eastAsia="Arial" w:hAnsi="Arial"/>
          <w:b w:val="1"/>
          <w:bCs w:val="1"/>
          <w:i w:val="0"/>
          <w:iCs w:val="0"/>
          <w:u w:val="none"/>
          <w:rtl w:val="0"/>
        </w:rPr>
        <w:t xml:space="preserve">4. Documentación y protocolización</w:t>
      </w:r>
    </w:p>
    <w:p w:rsidR="00000000" w:rsidDel="00000000" w:rsidP="00000000" w:rsidRDefault="00000000" w:rsidRPr="00000000" w14:paraId="00000040">
      <w:pPr>
        <w:pageBreakBefore w:val="0"/>
        <w:spacing w:line="360" w:lineRule="auto"/>
        <w:jc w:val="both"/>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ab/>
        <w:t xml:space="preserve">a. Las solicitudes judiciales de allanamiento se confeccionarán en dos ejemplares (uno para la OGJ y otra para incorporar al legajo fiscal material).</w:t>
      </w:r>
    </w:p>
    <w:p w:rsidR="00000000" w:rsidDel="00000000" w:rsidP="00000000" w:rsidRDefault="00000000" w:rsidRPr="00000000" w14:paraId="00000041">
      <w:pPr>
        <w:pageBreakBefore w:val="0"/>
        <w:spacing w:line="360" w:lineRule="auto"/>
        <w:jc w:val="both"/>
        <w:rPr>
          <w:rFonts w:ascii="Arial" w:cs="Arial" w:eastAsia="Arial" w:hAnsi="Arial"/>
          <w:b w:val="0"/>
          <w:bCs w:val="0"/>
          <w:i w:val="0"/>
          <w:iCs w:val="0"/>
          <w:u w:val="none"/>
        </w:rPr>
      </w:pPr>
      <w:r w:rsidDel="00000000" w:rsidR="00000000" w:rsidRPr="00000000">
        <w:rPr>
          <w:rFonts w:ascii="Arial" w:cs="Arial" w:eastAsia="Arial" w:hAnsi="Arial"/>
          <w:b w:val="0"/>
          <w:bCs w:val="0"/>
          <w:i w:val="0"/>
          <w:iCs w:val="0"/>
          <w:u w:val="none"/>
          <w:rtl w:val="0"/>
        </w:rPr>
        <w:tab/>
        <w:t xml:space="preserve">b. Se confeccionarán en cuatro ejemplares que serán expedidos de la siguiente manera: una para la OGJ, una para el protocolo general, una para el legajo fiscal y una para el personal policial que efectuará la medida, la cual se entregará en sobre cerrado. </w:t>
      </w:r>
    </w:p>
    <w:p w:rsidR="00000000" w:rsidDel="00000000" w:rsidP="00000000" w:rsidRDefault="00000000" w:rsidRPr="00000000" w14:paraId="00000042">
      <w:pPr>
        <w:pageBreakBefore w:val="0"/>
        <w:spacing w:after="0" w:before="0" w:line="360" w:lineRule="auto"/>
        <w:jc w:val="both"/>
        <w:rPr>
          <w:rFonts w:ascii="Arial" w:cs="Arial" w:eastAsia="Arial" w:hAnsi="Arial"/>
          <w:b w:val="1"/>
          <w:bCs w:val="1"/>
          <w:i w:val="0"/>
          <w:iCs w:val="0"/>
          <w:sz w:val="24"/>
          <w:szCs w:val="24"/>
          <w:u w:val="none"/>
        </w:rPr>
      </w:pPr>
      <w:r w:rsidDel="00000000" w:rsidR="00000000" w:rsidRPr="00000000">
        <w:rPr>
          <w:rFonts w:ascii="Arial" w:cs="Arial" w:eastAsia="Arial" w:hAnsi="Arial"/>
          <w:b w:val="0"/>
          <w:bCs w:val="0"/>
          <w:i w:val="0"/>
          <w:iCs w:val="0"/>
          <w:sz w:val="24"/>
          <w:szCs w:val="24"/>
          <w:u w:val="none"/>
          <w:rtl w:val="0"/>
        </w:rPr>
        <w:tab/>
        <w:t xml:space="preserve">c. Control del registro:</w:t>
      </w:r>
      <w:r w:rsidDel="00000000" w:rsidR="00000000" w:rsidRPr="00000000">
        <w:rPr>
          <w:rFonts w:ascii="Arial" w:cs="Arial" w:eastAsia="Arial" w:hAnsi="Arial"/>
          <w:b w:val="1"/>
          <w:bCs w:val="1"/>
          <w:i w:val="0"/>
          <w:iCs w:val="0"/>
          <w:sz w:val="24"/>
          <w:szCs w:val="24"/>
          <w:u w:val="none"/>
          <w:rtl w:val="0"/>
        </w:rPr>
        <w:t xml:space="preserve"> </w:t>
      </w:r>
      <w:r w:rsidDel="00000000" w:rsidR="00000000" w:rsidRPr="00000000">
        <w:rPr>
          <w:rFonts w:ascii="Arial" w:cs="Arial" w:eastAsia="Arial" w:hAnsi="Arial"/>
          <w:b w:val="0"/>
          <w:bCs w:val="0"/>
          <w:i w:val="0"/>
          <w:iCs w:val="0"/>
          <w:sz w:val="24"/>
          <w:szCs w:val="24"/>
          <w:u w:val="none"/>
          <w:rtl w:val="0"/>
        </w:rPr>
        <w:t xml:space="preserve">Una vez suscripta la orden judicial se extenderá una copia al responsable de la Secretaria de Gestión de la Fiscalía Regional o la Unidad Fiscal respectiva a los fines de que se registre mediante numeración correlativa en un “Protocolo de Allanamientos” para un prolijo y correcto control de los registros domiciliarios.  </w:t>
      </w:r>
      <w:r w:rsidDel="00000000" w:rsidR="00000000" w:rsidRPr="00000000">
        <w:rPr>
          <w:rtl w:val="0"/>
        </w:rPr>
      </w:r>
    </w:p>
    <w:sectPr>
      <w:pgSz w:h="16838" w:w="11906" w:orient="portrait"/>
      <w:pgMar w:bottom="1134" w:top="2268" w:left="2268"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erif"/>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 w:right="0" w:hanging="339"/>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t xml:space="preserve">Deberá tenerse presente la instrucción 2/18 de la Fiscalía General sobre criterios interpretativos de la ley 13.746.</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