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1ABB" w14:textId="77777777" w:rsidR="00D315F6" w:rsidRDefault="00D315F6" w:rsidP="00D315F6">
      <w:pPr>
        <w:jc w:val="center"/>
      </w:pPr>
      <w:r>
        <w:t>Выполнено студентом группы ВМК-22 Александровым Данилом</w:t>
      </w:r>
    </w:p>
    <w:p w14:paraId="36404AE5" w14:textId="2AA63461" w:rsidR="00F12C76" w:rsidRDefault="00D315F6" w:rsidP="00D315F6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 xml:space="preserve">Оператор </w:t>
      </w:r>
      <w:r>
        <w:rPr>
          <w:b/>
          <w:bCs/>
          <w:lang w:val="en-US"/>
        </w:rPr>
        <w:t>switch case.</w:t>
      </w:r>
    </w:p>
    <w:p w14:paraId="7F4D3651" w14:textId="19DD8705" w:rsidR="00D315F6" w:rsidRPr="00D315F6" w:rsidRDefault="00D315F6" w:rsidP="00D315F6">
      <w:pPr>
        <w:spacing w:after="0"/>
      </w:pPr>
      <w:proofErr w:type="spellStart"/>
      <w:r w:rsidRPr="00D315F6">
        <w:rPr>
          <w:color w:val="5B9BD5" w:themeColor="accent1"/>
        </w:rPr>
        <w:t>switch</w:t>
      </w:r>
      <w:proofErr w:type="spellEnd"/>
      <w:r w:rsidRPr="00D315F6">
        <w:rPr>
          <w:color w:val="5B9BD5" w:themeColor="accent1"/>
        </w:rPr>
        <w:t xml:space="preserve"> </w:t>
      </w:r>
      <w:r w:rsidRPr="00D315F6">
        <w:t xml:space="preserve">— это </w:t>
      </w:r>
      <w:r w:rsidRPr="00D315F6">
        <w:rPr>
          <w:color w:val="5B9BD5" w:themeColor="accent1"/>
        </w:rPr>
        <w:t>оператор выбора</w:t>
      </w:r>
      <w:r w:rsidRPr="00D315F6">
        <w:t xml:space="preserve">, который позволяет выполнять разные участки кода в зависимости от значения некоторой </w:t>
      </w:r>
      <w:r w:rsidRPr="00D315F6">
        <w:rPr>
          <w:color w:val="5B9BD5" w:themeColor="accent1"/>
        </w:rPr>
        <w:t xml:space="preserve">переменной </w:t>
      </w:r>
      <w:r w:rsidRPr="00D315F6">
        <w:t xml:space="preserve">(обычно </w:t>
      </w:r>
      <w:r w:rsidRPr="00D315F6">
        <w:rPr>
          <w:color w:val="5B9BD5" w:themeColor="accent1"/>
        </w:rPr>
        <w:t xml:space="preserve">целочисленной </w:t>
      </w:r>
      <w:r w:rsidRPr="00D315F6">
        <w:t xml:space="preserve">или </w:t>
      </w:r>
      <w:r w:rsidRPr="00D315F6">
        <w:rPr>
          <w:color w:val="5B9BD5" w:themeColor="accent1"/>
        </w:rPr>
        <w:t>перечисляемой</w:t>
      </w:r>
      <w:r w:rsidRPr="00D315F6">
        <w:t>).</w:t>
      </w:r>
    </w:p>
    <w:p w14:paraId="034743E2" w14:textId="048A8C0B" w:rsidR="00D315F6" w:rsidRDefault="00D315F6" w:rsidP="00D315F6">
      <w:pPr>
        <w:spacing w:after="0"/>
      </w:pPr>
      <w:r w:rsidRPr="00D315F6">
        <w:t xml:space="preserve">Его </w:t>
      </w:r>
      <w:r w:rsidRPr="00D315F6">
        <w:t>используют,</w:t>
      </w:r>
      <w:r w:rsidRPr="00D315F6">
        <w:t xml:space="preserve"> когда нужно </w:t>
      </w:r>
      <w:r w:rsidRPr="00D315F6">
        <w:rPr>
          <w:color w:val="5B9BD5" w:themeColor="accent1"/>
        </w:rPr>
        <w:t xml:space="preserve">выбрать один вариант из нескольких </w:t>
      </w:r>
      <w:r w:rsidRPr="00D315F6">
        <w:t>на основе одного выражения.</w:t>
      </w:r>
    </w:p>
    <w:p w14:paraId="5F27EF32" w14:textId="4E5BF5E6" w:rsidR="00D315F6" w:rsidRDefault="00D315F6" w:rsidP="00D315F6">
      <w:pPr>
        <w:spacing w:after="0"/>
      </w:pPr>
      <w:r w:rsidRPr="00D315F6">
        <w:rPr>
          <w:color w:val="5B9BD5" w:themeColor="accent1"/>
        </w:rPr>
        <w:t xml:space="preserve">Синтаксис </w:t>
      </w:r>
      <w:proofErr w:type="spellStart"/>
      <w:r w:rsidRPr="00D315F6">
        <w:t>switch</w:t>
      </w:r>
      <w:proofErr w:type="spellEnd"/>
      <w:r w:rsidRPr="00D315F6">
        <w:t>–</w:t>
      </w:r>
      <w:proofErr w:type="spellStart"/>
      <w:r w:rsidRPr="00D315F6">
        <w:t>case</w:t>
      </w:r>
      <w:proofErr w:type="spellEnd"/>
      <w:r>
        <w:t>:</w:t>
      </w:r>
      <w:r>
        <w:br/>
      </w:r>
      <w:r w:rsidRPr="00D315F6">
        <w:drawing>
          <wp:inline distT="0" distB="0" distL="0" distR="0" wp14:anchorId="38F5523F" wp14:editId="3660FE9F">
            <wp:extent cx="3677163" cy="2543530"/>
            <wp:effectExtent l="0" t="0" r="0" b="9525"/>
            <wp:docPr id="1186843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43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1F2B" w14:textId="3363BBF1" w:rsidR="00D315F6" w:rsidRDefault="00D315F6" w:rsidP="00D315F6">
      <w:pPr>
        <w:spacing w:after="0"/>
      </w:pPr>
      <w:r w:rsidRPr="00D315F6">
        <w:rPr>
          <w:color w:val="5B9BD5" w:themeColor="accent1"/>
        </w:rPr>
        <w:t xml:space="preserve">Механизм </w:t>
      </w:r>
      <w:r>
        <w:t>работы:</w:t>
      </w:r>
    </w:p>
    <w:p w14:paraId="67E17303" w14:textId="40488B18" w:rsidR="00D315F6" w:rsidRPr="00D315F6" w:rsidRDefault="00D315F6" w:rsidP="00D315F6">
      <w:pPr>
        <w:pStyle w:val="a7"/>
        <w:numPr>
          <w:ilvl w:val="0"/>
          <w:numId w:val="1"/>
        </w:numPr>
      </w:pPr>
      <w:r w:rsidRPr="00D315F6">
        <w:t xml:space="preserve">Вычисляется </w:t>
      </w:r>
      <w:r w:rsidRPr="00D315F6">
        <w:rPr>
          <w:color w:val="5B9BD5" w:themeColor="accent1"/>
        </w:rPr>
        <w:t xml:space="preserve">выражение в скобках </w:t>
      </w:r>
      <w:proofErr w:type="spellStart"/>
      <w:r w:rsidRPr="00D315F6">
        <w:t>switch</w:t>
      </w:r>
      <w:proofErr w:type="spellEnd"/>
      <w:r w:rsidRPr="00D315F6">
        <w:t>(...).</w:t>
      </w:r>
    </w:p>
    <w:p w14:paraId="4F062383" w14:textId="49BFEAE3" w:rsidR="00D315F6" w:rsidRPr="00D315F6" w:rsidRDefault="00D315F6" w:rsidP="00D315F6">
      <w:pPr>
        <w:pStyle w:val="a7"/>
        <w:numPr>
          <w:ilvl w:val="0"/>
          <w:numId w:val="1"/>
        </w:numPr>
      </w:pPr>
      <w:r w:rsidRPr="00D315F6">
        <w:t xml:space="preserve">Программа </w:t>
      </w:r>
      <w:r w:rsidRPr="00D315F6">
        <w:rPr>
          <w:color w:val="5B9BD5" w:themeColor="accent1"/>
        </w:rPr>
        <w:t xml:space="preserve">сравнивает </w:t>
      </w:r>
      <w:r w:rsidRPr="00D315F6">
        <w:t xml:space="preserve">его со </w:t>
      </w:r>
      <w:r w:rsidRPr="00D315F6">
        <w:rPr>
          <w:color w:val="5B9BD5" w:themeColor="accent1"/>
        </w:rPr>
        <w:t xml:space="preserve">значениями в </w:t>
      </w:r>
      <w:proofErr w:type="spellStart"/>
      <w:r w:rsidRPr="00D315F6">
        <w:rPr>
          <w:color w:val="5B9BD5" w:themeColor="accent1"/>
        </w:rPr>
        <w:t>case</w:t>
      </w:r>
      <w:proofErr w:type="spellEnd"/>
      <w:r w:rsidRPr="00D315F6">
        <w:t>.</w:t>
      </w:r>
    </w:p>
    <w:p w14:paraId="398D483C" w14:textId="2282CBBF" w:rsidR="00D315F6" w:rsidRPr="00D315F6" w:rsidRDefault="00D315F6" w:rsidP="00D315F6">
      <w:pPr>
        <w:pStyle w:val="a7"/>
        <w:numPr>
          <w:ilvl w:val="0"/>
          <w:numId w:val="1"/>
        </w:numPr>
      </w:pPr>
      <w:r w:rsidRPr="00D315F6">
        <w:t xml:space="preserve">Если </w:t>
      </w:r>
      <w:r w:rsidRPr="00D315F6">
        <w:rPr>
          <w:color w:val="5B9BD5" w:themeColor="accent1"/>
        </w:rPr>
        <w:t xml:space="preserve">совпадение найдено </w:t>
      </w:r>
      <w:r w:rsidRPr="00D315F6">
        <w:t xml:space="preserve">— выполняется код начиная с </w:t>
      </w:r>
      <w:r w:rsidRPr="00D315F6">
        <w:rPr>
          <w:color w:val="5B9BD5" w:themeColor="accent1"/>
        </w:rPr>
        <w:t xml:space="preserve">соответствующего </w:t>
      </w:r>
      <w:proofErr w:type="spellStart"/>
      <w:r w:rsidRPr="00D315F6">
        <w:rPr>
          <w:color w:val="5B9BD5" w:themeColor="accent1"/>
        </w:rPr>
        <w:t>case</w:t>
      </w:r>
      <w:proofErr w:type="spellEnd"/>
      <w:r w:rsidRPr="00D315F6">
        <w:t>.</w:t>
      </w:r>
    </w:p>
    <w:p w14:paraId="7C18F1FF" w14:textId="5DDD5979" w:rsidR="00D315F6" w:rsidRPr="00D315F6" w:rsidRDefault="00D315F6" w:rsidP="00D315F6">
      <w:pPr>
        <w:pStyle w:val="a7"/>
        <w:numPr>
          <w:ilvl w:val="0"/>
          <w:numId w:val="1"/>
        </w:numPr>
      </w:pPr>
      <w:r w:rsidRPr="00D315F6">
        <w:t xml:space="preserve">Команда </w:t>
      </w:r>
      <w:proofErr w:type="spellStart"/>
      <w:r w:rsidRPr="00D315F6">
        <w:rPr>
          <w:color w:val="5B9BD5" w:themeColor="accent1"/>
        </w:rPr>
        <w:t>break</w:t>
      </w:r>
      <w:proofErr w:type="spellEnd"/>
      <w:r w:rsidRPr="00D315F6">
        <w:rPr>
          <w:color w:val="5B9BD5" w:themeColor="accent1"/>
        </w:rPr>
        <w:t xml:space="preserve"> прерывает выполнение </w:t>
      </w:r>
      <w:r w:rsidRPr="00D315F6">
        <w:t xml:space="preserve">и </w:t>
      </w:r>
      <w:r w:rsidRPr="00D315F6">
        <w:rPr>
          <w:color w:val="5B9BD5" w:themeColor="accent1"/>
        </w:rPr>
        <w:t xml:space="preserve">выводит </w:t>
      </w:r>
      <w:r w:rsidRPr="00D315F6">
        <w:t xml:space="preserve">программу из </w:t>
      </w:r>
      <w:proofErr w:type="spellStart"/>
      <w:r w:rsidRPr="00D315F6">
        <w:t>switch</w:t>
      </w:r>
      <w:proofErr w:type="spellEnd"/>
      <w:r w:rsidRPr="00D315F6">
        <w:t>.</w:t>
      </w:r>
    </w:p>
    <w:p w14:paraId="6408B96C" w14:textId="1F5D8D65" w:rsidR="00D315F6" w:rsidRDefault="00D315F6" w:rsidP="00D315F6">
      <w:pPr>
        <w:pStyle w:val="a7"/>
        <w:numPr>
          <w:ilvl w:val="0"/>
          <w:numId w:val="1"/>
        </w:numPr>
      </w:pPr>
      <w:r w:rsidRPr="00D315F6">
        <w:t xml:space="preserve">Если </w:t>
      </w:r>
      <w:r w:rsidRPr="00D315F6">
        <w:rPr>
          <w:color w:val="5B9BD5" w:themeColor="accent1"/>
        </w:rPr>
        <w:t xml:space="preserve">совпадений нет </w:t>
      </w:r>
      <w:r w:rsidRPr="00D315F6">
        <w:t xml:space="preserve">— выполняется блок </w:t>
      </w:r>
      <w:proofErr w:type="spellStart"/>
      <w:r w:rsidRPr="00D315F6">
        <w:rPr>
          <w:color w:val="5B9BD5" w:themeColor="accent1"/>
        </w:rPr>
        <w:t>default</w:t>
      </w:r>
      <w:proofErr w:type="spellEnd"/>
      <w:r w:rsidRPr="00D315F6">
        <w:rPr>
          <w:color w:val="5B9BD5" w:themeColor="accent1"/>
        </w:rPr>
        <w:t xml:space="preserve"> </w:t>
      </w:r>
      <w:r w:rsidRPr="00D315F6">
        <w:t>(необязателен).</w:t>
      </w:r>
    </w:p>
    <w:p w14:paraId="55447FED" w14:textId="3CA2441E" w:rsidR="00933FEE" w:rsidRPr="00933FEE" w:rsidRDefault="00933FEE" w:rsidP="00933FEE">
      <w:r w:rsidRPr="00933FEE">
        <w:rPr>
          <w:color w:val="5B9BD5" w:themeColor="accent1"/>
        </w:rPr>
        <w:t xml:space="preserve">Зачем </w:t>
      </w:r>
      <w:r>
        <w:t xml:space="preserve">нужен </w:t>
      </w:r>
      <w:r w:rsidRPr="00933FEE">
        <w:rPr>
          <w:color w:val="5B9BD5" w:themeColor="accent1"/>
          <w:lang w:val="en-US"/>
        </w:rPr>
        <w:t>break</w:t>
      </w:r>
      <w:r>
        <w:t>?</w:t>
      </w:r>
      <w:r>
        <w:br/>
      </w:r>
      <w:r w:rsidRPr="00933FEE">
        <w:t xml:space="preserve">Если </w:t>
      </w:r>
      <w:proofErr w:type="spellStart"/>
      <w:r w:rsidRPr="00933FEE">
        <w:rPr>
          <w:color w:val="5B9BD5" w:themeColor="accent1"/>
        </w:rPr>
        <w:t>break</w:t>
      </w:r>
      <w:proofErr w:type="spellEnd"/>
      <w:r w:rsidRPr="00933FEE">
        <w:rPr>
          <w:color w:val="5B9BD5" w:themeColor="accent1"/>
        </w:rPr>
        <w:t xml:space="preserve"> отсутствует</w:t>
      </w:r>
      <w:r w:rsidRPr="00933FEE">
        <w:t xml:space="preserve">, выполнение пойдёт </w:t>
      </w:r>
      <w:r w:rsidRPr="00933FEE">
        <w:rPr>
          <w:color w:val="5B9BD5" w:themeColor="accent1"/>
        </w:rPr>
        <w:t xml:space="preserve">дальше </w:t>
      </w:r>
      <w:r w:rsidRPr="00933FEE">
        <w:t xml:space="preserve">по всем последующим </w:t>
      </w:r>
      <w:proofErr w:type="spellStart"/>
      <w:r w:rsidRPr="00933FEE">
        <w:rPr>
          <w:color w:val="5B9BD5" w:themeColor="accent1"/>
        </w:rPr>
        <w:t>case</w:t>
      </w:r>
      <w:proofErr w:type="spellEnd"/>
      <w:r w:rsidRPr="00933FEE">
        <w:t xml:space="preserve">, </w:t>
      </w:r>
      <w:r w:rsidRPr="00933FEE">
        <w:rPr>
          <w:color w:val="5B9BD5" w:themeColor="accent1"/>
        </w:rPr>
        <w:t xml:space="preserve">независимо </w:t>
      </w:r>
      <w:r w:rsidRPr="00933FEE">
        <w:t xml:space="preserve">от условий. Это называется </w:t>
      </w:r>
      <w:r w:rsidRPr="00933FEE">
        <w:rPr>
          <w:color w:val="5B9BD5" w:themeColor="accent1"/>
        </w:rPr>
        <w:t xml:space="preserve">проваливание </w:t>
      </w:r>
      <w:r w:rsidRPr="00933FEE">
        <w:t>(</w:t>
      </w:r>
      <w:proofErr w:type="spellStart"/>
      <w:r w:rsidRPr="00933FEE">
        <w:rPr>
          <w:color w:val="5B9BD5" w:themeColor="accent1"/>
        </w:rPr>
        <w:t>fallthrough</w:t>
      </w:r>
      <w:proofErr w:type="spellEnd"/>
      <w:r w:rsidRPr="00933FEE">
        <w:t>).</w:t>
      </w:r>
    </w:p>
    <w:p w14:paraId="405F56D4" w14:textId="72476345" w:rsidR="00D315F6" w:rsidRPr="00933FEE" w:rsidRDefault="00933FEE" w:rsidP="00D315F6">
      <w:pPr>
        <w:spacing w:after="0"/>
      </w:pPr>
      <w:r w:rsidRPr="00933FEE">
        <w:t xml:space="preserve">Типы данных, которые можно использовать в </w:t>
      </w:r>
      <w:r w:rsidRPr="00933FEE">
        <w:rPr>
          <w:lang w:val="en-US"/>
        </w:rPr>
        <w:t>switch</w:t>
      </w:r>
      <w:r w:rsidRPr="00933FEE">
        <w:t>:</w:t>
      </w:r>
    </w:p>
    <w:p w14:paraId="4B3AB00B" w14:textId="77777777" w:rsidR="00933FEE" w:rsidRPr="00933FEE" w:rsidRDefault="00933FEE" w:rsidP="00933FEE">
      <w:pPr>
        <w:spacing w:after="0"/>
      </w:pPr>
      <w:r w:rsidRPr="00933FEE">
        <w:t>В C++ допускаются:</w:t>
      </w:r>
    </w:p>
    <w:p w14:paraId="258072D6" w14:textId="77777777" w:rsidR="00933FEE" w:rsidRPr="00933FEE" w:rsidRDefault="00933FEE" w:rsidP="00933FEE">
      <w:pPr>
        <w:numPr>
          <w:ilvl w:val="0"/>
          <w:numId w:val="2"/>
        </w:numPr>
        <w:spacing w:after="0"/>
        <w:rPr>
          <w:lang w:val="en-US"/>
        </w:rPr>
      </w:pPr>
      <w:r w:rsidRPr="00933FEE">
        <w:t>целочисленные</w:t>
      </w:r>
      <w:r w:rsidRPr="00933FEE">
        <w:rPr>
          <w:lang w:val="en-US"/>
        </w:rPr>
        <w:t xml:space="preserve"> </w:t>
      </w:r>
      <w:r w:rsidRPr="00933FEE">
        <w:t>типы</w:t>
      </w:r>
      <w:r w:rsidRPr="00933FEE">
        <w:rPr>
          <w:lang w:val="en-US"/>
        </w:rPr>
        <w:t xml:space="preserve"> </w:t>
      </w:r>
      <w:r w:rsidRPr="00933FEE">
        <w:rPr>
          <w:color w:val="5B9BD5" w:themeColor="accent1"/>
          <w:lang w:val="en-US"/>
        </w:rPr>
        <w:t>(int, char, short, long)</w:t>
      </w:r>
    </w:p>
    <w:p w14:paraId="4BC2313E" w14:textId="77777777" w:rsidR="00933FEE" w:rsidRPr="00933FEE" w:rsidRDefault="00933FEE" w:rsidP="00933FEE">
      <w:pPr>
        <w:numPr>
          <w:ilvl w:val="0"/>
          <w:numId w:val="2"/>
        </w:numPr>
        <w:spacing w:after="0"/>
        <w:rPr>
          <w:color w:val="5B9BD5" w:themeColor="accent1"/>
        </w:rPr>
      </w:pPr>
      <w:r w:rsidRPr="00933FEE">
        <w:t xml:space="preserve">перечисления </w:t>
      </w:r>
      <w:r w:rsidRPr="00933FEE">
        <w:rPr>
          <w:color w:val="5B9BD5" w:themeColor="accent1"/>
        </w:rPr>
        <w:t>(</w:t>
      </w:r>
      <w:proofErr w:type="spellStart"/>
      <w:r w:rsidRPr="00933FEE">
        <w:rPr>
          <w:color w:val="5B9BD5" w:themeColor="accent1"/>
        </w:rPr>
        <w:t>enum</w:t>
      </w:r>
      <w:proofErr w:type="spellEnd"/>
      <w:r w:rsidRPr="00933FEE">
        <w:rPr>
          <w:color w:val="5B9BD5" w:themeColor="accent1"/>
        </w:rPr>
        <w:t>)</w:t>
      </w:r>
    </w:p>
    <w:p w14:paraId="73E7E585" w14:textId="77777777" w:rsidR="00933FEE" w:rsidRPr="00933FEE" w:rsidRDefault="00933FEE" w:rsidP="00933FEE">
      <w:pPr>
        <w:numPr>
          <w:ilvl w:val="0"/>
          <w:numId w:val="2"/>
        </w:numPr>
        <w:spacing w:after="0"/>
      </w:pPr>
      <w:r w:rsidRPr="00933FEE">
        <w:t xml:space="preserve">константные выражения для </w:t>
      </w:r>
      <w:proofErr w:type="spellStart"/>
      <w:r w:rsidRPr="00933FEE">
        <w:rPr>
          <w:color w:val="5B9BD5" w:themeColor="accent1"/>
        </w:rPr>
        <w:t>case</w:t>
      </w:r>
      <w:proofErr w:type="spellEnd"/>
    </w:p>
    <w:p w14:paraId="225D22E5" w14:textId="3AB31272" w:rsidR="00933FEE" w:rsidRPr="00933FEE" w:rsidRDefault="00933FEE" w:rsidP="00933FEE">
      <w:pPr>
        <w:spacing w:after="0"/>
      </w:pPr>
      <w:r w:rsidRPr="00933FEE">
        <w:rPr>
          <w:color w:val="5B9BD5" w:themeColor="accent1"/>
        </w:rPr>
        <w:t xml:space="preserve">Нельзя </w:t>
      </w:r>
      <w:r w:rsidRPr="00933FEE">
        <w:t xml:space="preserve">использовать </w:t>
      </w:r>
      <w:proofErr w:type="spellStart"/>
      <w:r w:rsidRPr="00933FEE">
        <w:rPr>
          <w:color w:val="5B9BD5" w:themeColor="accent1"/>
        </w:rPr>
        <w:t>switch</w:t>
      </w:r>
      <w:proofErr w:type="spellEnd"/>
      <w:r w:rsidRPr="00933FEE">
        <w:rPr>
          <w:color w:val="5B9BD5" w:themeColor="accent1"/>
        </w:rPr>
        <w:t xml:space="preserve"> </w:t>
      </w:r>
      <w:r w:rsidRPr="00933FEE">
        <w:t xml:space="preserve">со строками </w:t>
      </w:r>
      <w:proofErr w:type="spellStart"/>
      <w:proofErr w:type="gramStart"/>
      <w:r w:rsidRPr="00933FEE">
        <w:t>std</w:t>
      </w:r>
      <w:proofErr w:type="spellEnd"/>
      <w:r w:rsidRPr="00933FEE">
        <w:t>::</w:t>
      </w:r>
      <w:proofErr w:type="spellStart"/>
      <w:proofErr w:type="gramEnd"/>
      <w:r w:rsidRPr="00933FEE">
        <w:rPr>
          <w:color w:val="5B9BD5" w:themeColor="accent1"/>
        </w:rPr>
        <w:t>string</w:t>
      </w:r>
      <w:proofErr w:type="spellEnd"/>
      <w:r w:rsidRPr="00933FEE">
        <w:t xml:space="preserve">, числами с плавающей точкой </w:t>
      </w:r>
      <w:proofErr w:type="spellStart"/>
      <w:r w:rsidRPr="00933FEE">
        <w:rPr>
          <w:color w:val="5B9BD5" w:themeColor="accent1"/>
        </w:rPr>
        <w:t>double</w:t>
      </w:r>
      <w:proofErr w:type="spellEnd"/>
      <w:r w:rsidRPr="00933FEE">
        <w:t xml:space="preserve">, </w:t>
      </w:r>
      <w:r w:rsidRPr="00933FEE">
        <w:rPr>
          <w:color w:val="5B9BD5" w:themeColor="accent1"/>
        </w:rPr>
        <w:t>объектами</w:t>
      </w:r>
      <w:r w:rsidRPr="00933FEE">
        <w:t>.</w:t>
      </w:r>
    </w:p>
    <w:p w14:paraId="31D97EAF" w14:textId="2C68C300" w:rsidR="00933FEE" w:rsidRDefault="00933FEE">
      <w:pPr>
        <w:spacing w:line="259" w:lineRule="auto"/>
      </w:pPr>
      <w:r>
        <w:br w:type="page"/>
      </w:r>
    </w:p>
    <w:p w14:paraId="4A0D9BEF" w14:textId="07517C98" w:rsidR="00933FEE" w:rsidRDefault="00933FEE" w:rsidP="00D315F6">
      <w:pPr>
        <w:spacing w:after="0"/>
      </w:pPr>
      <w:r w:rsidRPr="00933FEE">
        <w:rPr>
          <w:color w:val="5B9BD5" w:themeColor="accent1"/>
        </w:rPr>
        <w:lastRenderedPageBreak/>
        <w:t xml:space="preserve">Простой </w:t>
      </w:r>
      <w:r>
        <w:t>пример:</w:t>
      </w:r>
      <w:r>
        <w:br/>
      </w:r>
      <w:r w:rsidRPr="00933FEE">
        <w:drawing>
          <wp:inline distT="0" distB="0" distL="0" distR="0" wp14:anchorId="5C2599CD" wp14:editId="298A2B5C">
            <wp:extent cx="2772162" cy="2772162"/>
            <wp:effectExtent l="0" t="0" r="9525" b="9525"/>
            <wp:docPr id="2039326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26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D0C9" w14:textId="32D90F91" w:rsidR="00933FEE" w:rsidRDefault="00933FEE" w:rsidP="00D315F6">
      <w:pPr>
        <w:spacing w:after="0"/>
      </w:pPr>
      <w:r>
        <w:t xml:space="preserve">Пример с </w:t>
      </w:r>
      <w:proofErr w:type="spellStart"/>
      <w:r w:rsidRPr="00933FEE">
        <w:rPr>
          <w:color w:val="5B9BD5" w:themeColor="accent1"/>
          <w:lang w:val="en-US"/>
        </w:rPr>
        <w:t>enum</w:t>
      </w:r>
      <w:proofErr w:type="spellEnd"/>
      <w:r>
        <w:t>:</w:t>
      </w:r>
    </w:p>
    <w:p w14:paraId="71CCD6CD" w14:textId="0D1237D4" w:rsidR="00933FEE" w:rsidRPr="00F55B34" w:rsidRDefault="00933FEE" w:rsidP="00D315F6">
      <w:pPr>
        <w:spacing w:after="0"/>
        <w:rPr>
          <w:lang w:val="en-US"/>
        </w:rPr>
      </w:pPr>
      <w:r w:rsidRPr="00933FEE">
        <w:drawing>
          <wp:inline distT="0" distB="0" distL="0" distR="0" wp14:anchorId="0EF47285" wp14:editId="52DA1C20">
            <wp:extent cx="2619741" cy="2791215"/>
            <wp:effectExtent l="0" t="0" r="9525" b="9525"/>
            <wp:docPr id="2044482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82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FEE" w:rsidRPr="00F55B3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008B7"/>
    <w:multiLevelType w:val="hybridMultilevel"/>
    <w:tmpl w:val="EF88B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D2913"/>
    <w:multiLevelType w:val="multilevel"/>
    <w:tmpl w:val="F818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303984">
    <w:abstractNumId w:val="0"/>
  </w:num>
  <w:num w:numId="2" w16cid:durableId="620720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F6"/>
    <w:rsid w:val="004E189F"/>
    <w:rsid w:val="006C0B77"/>
    <w:rsid w:val="008242FF"/>
    <w:rsid w:val="00870751"/>
    <w:rsid w:val="008941AC"/>
    <w:rsid w:val="00922C48"/>
    <w:rsid w:val="00933FEE"/>
    <w:rsid w:val="00B915B7"/>
    <w:rsid w:val="00D315F6"/>
    <w:rsid w:val="00EA59DF"/>
    <w:rsid w:val="00EE4070"/>
    <w:rsid w:val="00F12C76"/>
    <w:rsid w:val="00F5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662D2"/>
  <w15:chartTrackingRefBased/>
  <w15:docId w15:val="{1522C46D-5BD7-4910-A901-FD0169EB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5F6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31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5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5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5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15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15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15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315F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315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315F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315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315F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315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1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1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1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15F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315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15F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15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15F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315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2025-12-01T05:44:00Z</dcterms:created>
  <dcterms:modified xsi:type="dcterms:W3CDTF">2025-12-01T06:11:00Z</dcterms:modified>
</cp:coreProperties>
</file>