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34AB7" w:val="clear"/>
            <w:tcMar>
              <w:top w:type="dxa" w:w="200"/>
              <w:left w:type="dxa" w:w="240"/>
              <w:bottom w:type="dxa" w:w="200"/>
              <w:right w:type="dxa" w:w="240"/>
            </w:tcMar>
          </w:tcPr>
          <w:p>
            <w:r>
              <w:rPr>
                <w:rFonts w:ascii="Arial" w:cs="Arial" w:eastAsia="Arial" w:hAnsi="Arial"/>
                <w:b/>
                <w:bCs/>
                <w:color w:val="FFFFFF"/>
                <w:sz w:val="52"/>
                <w:szCs w:val="52"/>
              </w:rPr>
              <w:t xml:space="preserve">Veille Cybersecurite</w:t>
            </w:r>
          </w:p>
          <w:p>
            <w:pPr>
              <w:spacing w:after="0" w:before="80"/>
            </w:pPr>
            <w:r>
              <w:rPr>
                <w:rFonts w:ascii="Arial" w:cs="Arial" w:eastAsia="Arial" w:hAnsi="Arial"/>
                <w:color w:val="CECBF6"/>
                <w:sz w:val="22"/>
                <w:szCs w:val="22"/>
              </w:rPr>
              <w:t xml:space="preserve">Evolution des menaces &amp; protection des infrastructures</w:t>
            </w:r>
          </w:p>
          <w:p>
            <w:pPr>
              <w:spacing w:after="0" w:before="60"/>
            </w:pPr>
            <w:r>
              <w:rPr>
                <w:rFonts w:ascii="Arial" w:cs="Arial" w:eastAsia="Arial" w:hAnsi="Arial"/>
                <w:i/>
                <w:iCs/>
                <w:color w:val="AFA9EC"/>
                <w:sz w:val="18"/>
                <w:szCs w:val="18"/>
              </w:rPr>
              <w:t xml:space="preserve">Mai 2026  |  Rapport mensuel BTS SIO SISR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none" w:color="FFFFFF" w:sz="0"/>
              <w:left w:val="none" w:color="FFFFFF" w:sz="0"/>
              <w:bottom w:val="none" w:color="FFFFFF" w:sz="0"/>
              <w:right w:val="none" w:color="FFFFFF" w:sz="0"/>
            </w:tcBorders>
            <w:shd w:fill="EEEDFE" w:val="clear"/>
            <w:tcMar>
              <w:top w:type="dxa" w:w="80"/>
              <w:left w:type="dxa" w:w="100"/>
              <w:bottom w:type="dxa" w:w="80"/>
              <w:right w:type="dxa" w:w="100"/>
            </w:tcMar>
            <w:vAlign w:val="center"/>
          </w:tcPr>
          <w:p>
            <w:pPr>
              <w:jc w:val="center"/>
            </w:pPr>
            <w:r>
              <w:rPr>
                <w:rFonts w:ascii="Arial" w:cs="Arial" w:eastAsia="Arial" w:hAnsi="Arial"/>
                <w:b/>
                <w:bCs/>
                <w:color w:val="534AB7"/>
                <w:sz w:val="16"/>
                <w:szCs w:val="16"/>
              </w:rPr>
              <w:t xml:space="preserve">ANSSI</w:t>
            </w:r>
          </w:p>
        </w:tc>
        <w:tc>
          <w:tcPr>
            <w:tcW w:type="dxa" w:w="1805"/>
            <w:tcBorders>
              <w:top w:val="none" w:color="FFFFFF" w:sz="0"/>
              <w:left w:val="none" w:color="FFFFFF" w:sz="0"/>
              <w:bottom w:val="none" w:color="FFFFFF" w:sz="0"/>
              <w:right w:val="none" w:color="FFFFFF" w:sz="0"/>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6"/>
                <w:szCs w:val="16"/>
              </w:rPr>
              <w:t xml:space="preserve">Le Monde Informatique</w:t>
            </w:r>
          </w:p>
        </w:tc>
        <w:tc>
          <w:tcPr>
            <w:tcW w:type="dxa" w:w="1805"/>
            <w:tcBorders>
              <w:top w:val="none" w:color="FFFFFF" w:sz="0"/>
              <w:left w:val="none" w:color="FFFFFF" w:sz="0"/>
              <w:bottom w:val="none" w:color="FFFFFF" w:sz="0"/>
              <w:right w:val="none" w:color="FFFFFF" w:sz="0"/>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ZATAZ.com</w:t>
            </w:r>
          </w:p>
        </w:tc>
        <w:tc>
          <w:tcPr>
            <w:tcW w:type="dxa" w:w="1805"/>
            <w:tcBorders>
              <w:top w:val="none" w:color="FFFFFF" w:sz="0"/>
              <w:left w:val="none" w:color="FFFFFF" w:sz="0"/>
              <w:bottom w:val="none" w:color="FFFFFF" w:sz="0"/>
              <w:right w:val="none" w:color="FFFFFF" w:sz="0"/>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16"/>
                <w:szCs w:val="16"/>
              </w:rPr>
              <w:t xml:space="preserve">Google Alerts</w:t>
            </w:r>
          </w:p>
        </w:tc>
        <w:tc>
          <w:tcPr>
            <w:tcW w:type="dxa" w:w="1806"/>
            <w:tcBorders>
              <w:top w:val="none" w:color="FFFFFF" w:sz="0"/>
              <w:left w:val="none" w:color="FFFFFF" w:sz="0"/>
              <w:bottom w:val="none" w:color="FFFFFF" w:sz="0"/>
              <w:right w:val="none" w:color="FFFFFF" w:sz="0"/>
            </w:tcBorders>
            <w:shd w:fill="F1EFE8" w:val="clear"/>
            <w:tcMar>
              <w:top w:type="dxa" w:w="80"/>
              <w:left w:type="dxa" w:w="100"/>
              <w:bottom w:type="dxa" w:w="80"/>
              <w:right w:type="dxa" w:w="100"/>
            </w:tcMar>
            <w:vAlign w:val="center"/>
          </w:tcPr>
          <w:p>
            <w:pPr>
              <w:jc w:val="center"/>
            </w:pPr>
            <w:r>
              <w:rPr>
                <w:rFonts w:ascii="Arial" w:cs="Arial" w:eastAsia="Arial" w:hAnsi="Arial"/>
                <w:b/>
                <w:bCs/>
                <w:color w:val="5F5E5A"/>
                <w:sz w:val="16"/>
                <w:szCs w:val="16"/>
              </w:rPr>
              <w:t xml:space="preserve">CERT-FR</w:t>
            </w:r>
          </w:p>
        </w:tc>
      </w:tr>
    </w:tbl>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1EFE8" w:val="clear"/>
            <w:tcMar>
              <w:top w:type="dxa" w:w="120"/>
              <w:left w:type="dxa" w:w="180"/>
              <w:bottom w:type="dxa" w:w="120"/>
              <w:right w:type="dxa" w:w="180"/>
            </w:tcMar>
          </w:tcPr>
          <w:p>
            <w:pPr>
              <w:spacing w:after="80" w:before="60"/>
              <w:jc w:val="both"/>
            </w:pPr>
            <w:r>
              <w:rPr>
                <w:rFonts w:ascii="Arial" w:cs="Arial" w:eastAsia="Arial" w:hAnsi="Arial"/>
                <w:color w:val="444441"/>
                <w:sz w:val="20"/>
                <w:szCs w:val="20"/>
              </w:rPr>
              <w:t xml:space="preserve">Ce rapport de veille mensuelle couvre la periode de janvier a mai 2026. Il synthetise les informations publiees par l ANSSI, CERT-FR, ZATAZ et les alertes Google sur l evolution du paysage des cybermenaces en France et en Europe. Document destine aux etudiants BTS SIO SISR.</w:t>
            </w:r>
          </w:p>
        </w:tc>
      </w:tr>
    </w:tbl>
    <w:p>
      <w:pPr>
        <w:spacing w:after="0" w:before="120"/>
      </w:pPr>
    </w:p>
    <w:p>
      <w:pPr>
        <w:spacing w:after="60" w:before="200"/>
      </w:pPr>
      <w:r>
        <w:rPr>
          <w:rFonts w:ascii="Arial" w:cs="Arial" w:eastAsia="Arial" w:hAnsi="Arial"/>
          <w:b/>
          <w:bCs/>
          <w:color w:val="5F5E5A"/>
          <w:sz w:val="18"/>
          <w:szCs w:val="18"/>
        </w:rPr>
        <w:t xml:space="preserve">SOMMAIRE</w:t>
      </w:r>
    </w:p>
    <w:p>
      <w:pPr>
        <w:pBdr>
          <w:bottom w:val="single" w:color="D3D1C7" w:sz="4" w:space="1"/>
        </w:pBdr>
        <w:spacing w:after="80" w:before="0"/>
      </w:pPr>
    </w:p>
    <w:tbl>
      <w:tblPr>
        <w:tblW w:type="dxa" w:w="9026"/>
        <w:tblBorders>
          <w:top w:val="single" w:color="D3D1C7" w:sz="1"/>
          <w:left w:val="single" w:color="D3D1C7" w:sz="1"/>
          <w:bottom w:val="single" w:color="D3D1C7" w:sz="1"/>
          <w:right w:val="single" w:color="D3D1C7" w:sz="1"/>
          <w:insideH w:val="single" w:color="auto" w:sz="4"/>
          <w:insideV w:val="single" w:color="auto" w:sz="4"/>
        </w:tblBorders>
      </w:tblPr>
      <w:tblGrid>
        <w:gridCol w:w="400"/>
        <w:gridCol w:w="8026"/>
        <w:gridCol w:w="600"/>
      </w:tblGrid>
      <w:tr>
        <w:tc>
          <w:tcPr>
            <w:tcW w:type="dxa" w:w="4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0"/>
                <w:szCs w:val="20"/>
              </w:rPr>
              <w:t xml:space="preserve">1.</w:t>
            </w:r>
          </w:p>
        </w:tc>
        <w:tc>
          <w:tcPr>
            <w:tcW w:type="dxa" w:w="802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color w:val="444441"/>
                <w:sz w:val="20"/>
                <w:szCs w:val="20"/>
              </w:rPr>
              <w:t xml:space="preserve">Chiffres cles - Panorama ANSSI 2025</w:t>
            </w:r>
          </w:p>
        </w:tc>
        <w:tc>
          <w:tcPr>
            <w:tcW w:type="dxa" w:w="6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jc w:val="right"/>
            </w:pPr>
            <w:r>
              <w:rPr>
                <w:rFonts w:ascii="Arial" w:cs="Arial" w:eastAsia="Arial" w:hAnsi="Arial"/>
                <w:color w:val="5F5E5A"/>
                <w:sz w:val="20"/>
                <w:szCs w:val="20"/>
              </w:rPr>
              <w:t xml:space="preserve">p.2</w:t>
            </w:r>
          </w:p>
        </w:tc>
      </w:tr>
      <w:tr>
        <w:tc>
          <w:tcPr>
            <w:tcW w:type="dxa" w:w="4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0"/>
                <w:szCs w:val="20"/>
              </w:rPr>
              <w:t xml:space="preserve">2.</w:t>
            </w:r>
          </w:p>
        </w:tc>
        <w:tc>
          <w:tcPr>
            <w:tcW w:type="dxa" w:w="802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color w:val="444441"/>
                <w:sz w:val="20"/>
                <w:szCs w:val="20"/>
              </w:rPr>
              <w:t xml:space="preserve">Etat de la menace en France</w:t>
            </w:r>
          </w:p>
        </w:tc>
        <w:tc>
          <w:tcPr>
            <w:tcW w:type="dxa" w:w="6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jc w:val="right"/>
            </w:pPr>
            <w:r>
              <w:rPr>
                <w:rFonts w:ascii="Arial" w:cs="Arial" w:eastAsia="Arial" w:hAnsi="Arial"/>
                <w:color w:val="5F5E5A"/>
                <w:sz w:val="20"/>
                <w:szCs w:val="20"/>
              </w:rPr>
              <w:t xml:space="preserve">p.3</w:t>
            </w:r>
          </w:p>
        </w:tc>
      </w:tr>
      <w:tr>
        <w:tc>
          <w:tcPr>
            <w:tcW w:type="dxa" w:w="4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0"/>
                <w:szCs w:val="20"/>
              </w:rPr>
              <w:t xml:space="preserve">3.</w:t>
            </w:r>
          </w:p>
        </w:tc>
        <w:tc>
          <w:tcPr>
            <w:tcW w:type="dxa" w:w="802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color w:val="444441"/>
                <w:sz w:val="20"/>
                <w:szCs w:val="20"/>
              </w:rPr>
              <w:t xml:space="preserve">Les menaces en evolution : IA, ransomware, espionnage</w:t>
            </w:r>
          </w:p>
        </w:tc>
        <w:tc>
          <w:tcPr>
            <w:tcW w:type="dxa" w:w="6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jc w:val="right"/>
            </w:pPr>
            <w:r>
              <w:rPr>
                <w:rFonts w:ascii="Arial" w:cs="Arial" w:eastAsia="Arial" w:hAnsi="Arial"/>
                <w:color w:val="5F5E5A"/>
                <w:sz w:val="20"/>
                <w:szCs w:val="20"/>
              </w:rPr>
              <w:t xml:space="preserve">p.4-5</w:t>
            </w:r>
          </w:p>
        </w:tc>
      </w:tr>
      <w:tr>
        <w:tc>
          <w:tcPr>
            <w:tcW w:type="dxa" w:w="4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0"/>
                <w:szCs w:val="20"/>
              </w:rPr>
              <w:t xml:space="preserve">4.</w:t>
            </w:r>
          </w:p>
        </w:tc>
        <w:tc>
          <w:tcPr>
            <w:tcW w:type="dxa" w:w="802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color w:val="444441"/>
                <w:sz w:val="20"/>
                <w:szCs w:val="20"/>
              </w:rPr>
              <w:t xml:space="preserve">Incidents recents - ZATAZ (mai 2026)</w:t>
            </w:r>
          </w:p>
        </w:tc>
        <w:tc>
          <w:tcPr>
            <w:tcW w:type="dxa" w:w="6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jc w:val="right"/>
            </w:pPr>
            <w:r>
              <w:rPr>
                <w:rFonts w:ascii="Arial" w:cs="Arial" w:eastAsia="Arial" w:hAnsi="Arial"/>
                <w:color w:val="5F5E5A"/>
                <w:sz w:val="20"/>
                <w:szCs w:val="20"/>
              </w:rPr>
              <w:t xml:space="preserve">p.6-7</w:t>
            </w:r>
          </w:p>
        </w:tc>
      </w:tr>
      <w:tr>
        <w:tc>
          <w:tcPr>
            <w:tcW w:type="dxa" w:w="4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0"/>
                <w:szCs w:val="20"/>
              </w:rPr>
              <w:t xml:space="preserve">5.</w:t>
            </w:r>
          </w:p>
        </w:tc>
        <w:tc>
          <w:tcPr>
            <w:tcW w:type="dxa" w:w="802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color w:val="444441"/>
                <w:sz w:val="20"/>
                <w:szCs w:val="20"/>
              </w:rPr>
              <w:t xml:space="preserve">Plan d action gouvernemental - 30 avril 2026</w:t>
            </w:r>
          </w:p>
        </w:tc>
        <w:tc>
          <w:tcPr>
            <w:tcW w:type="dxa" w:w="6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jc w:val="right"/>
            </w:pPr>
            <w:r>
              <w:rPr>
                <w:rFonts w:ascii="Arial" w:cs="Arial" w:eastAsia="Arial" w:hAnsi="Arial"/>
                <w:color w:val="5F5E5A"/>
                <w:sz w:val="20"/>
                <w:szCs w:val="20"/>
              </w:rPr>
              <w:t xml:space="preserve">p.8</w:t>
            </w:r>
          </w:p>
        </w:tc>
      </w:tr>
      <w:tr>
        <w:tc>
          <w:tcPr>
            <w:tcW w:type="dxa" w:w="4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0"/>
                <w:szCs w:val="20"/>
              </w:rPr>
              <w:t xml:space="preserve">6.</w:t>
            </w:r>
          </w:p>
        </w:tc>
        <w:tc>
          <w:tcPr>
            <w:tcW w:type="dxa" w:w="802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color w:val="444441"/>
                <w:sz w:val="20"/>
                <w:szCs w:val="20"/>
              </w:rPr>
              <w:t xml:space="preserve">Cadre reglementaire : NIS2, DORA, RGPD, CRA</w:t>
            </w:r>
          </w:p>
        </w:tc>
        <w:tc>
          <w:tcPr>
            <w:tcW w:type="dxa" w:w="6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jc w:val="right"/>
            </w:pPr>
            <w:r>
              <w:rPr>
                <w:rFonts w:ascii="Arial" w:cs="Arial" w:eastAsia="Arial" w:hAnsi="Arial"/>
                <w:color w:val="5F5E5A"/>
                <w:sz w:val="20"/>
                <w:szCs w:val="20"/>
              </w:rPr>
              <w:t xml:space="preserve">p.9-10</w:t>
            </w:r>
          </w:p>
        </w:tc>
      </w:tr>
      <w:tr>
        <w:tc>
          <w:tcPr>
            <w:tcW w:type="dxa" w:w="4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0"/>
                <w:szCs w:val="20"/>
              </w:rPr>
              <w:t xml:space="preserve">7.</w:t>
            </w:r>
          </w:p>
        </w:tc>
        <w:tc>
          <w:tcPr>
            <w:tcW w:type="dxa" w:w="802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color w:val="444441"/>
                <w:sz w:val="20"/>
                <w:szCs w:val="20"/>
              </w:rPr>
              <w:t xml:space="preserve">Recommandations et bonnes pratiques</w:t>
            </w:r>
          </w:p>
        </w:tc>
        <w:tc>
          <w:tcPr>
            <w:tcW w:type="dxa" w:w="6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jc w:val="right"/>
            </w:pPr>
            <w:r>
              <w:rPr>
                <w:rFonts w:ascii="Arial" w:cs="Arial" w:eastAsia="Arial" w:hAnsi="Arial"/>
                <w:color w:val="5F5E5A"/>
                <w:sz w:val="20"/>
                <w:szCs w:val="20"/>
              </w:rPr>
              <w:t xml:space="preserve">p.11-12</w:t>
            </w:r>
          </w:p>
        </w:tc>
      </w:tr>
      <w:tr>
        <w:tc>
          <w:tcPr>
            <w:tcW w:type="dxa" w:w="4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0"/>
                <w:szCs w:val="20"/>
              </w:rPr>
              <w:t xml:space="preserve">8.</w:t>
            </w:r>
          </w:p>
        </w:tc>
        <w:tc>
          <w:tcPr>
            <w:tcW w:type="dxa" w:w="802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color w:val="444441"/>
                <w:sz w:val="20"/>
                <w:szCs w:val="20"/>
              </w:rPr>
              <w:t xml:space="preserve">Glossaire et sources</w:t>
            </w:r>
          </w:p>
        </w:tc>
        <w:tc>
          <w:tcPr>
            <w:tcW w:type="dxa" w:w="600"/>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jc w:val="right"/>
            </w:pPr>
            <w:r>
              <w:rPr>
                <w:rFonts w:ascii="Arial" w:cs="Arial" w:eastAsia="Arial" w:hAnsi="Arial"/>
                <w:color w:val="5F5E5A"/>
                <w:sz w:val="20"/>
                <w:szCs w:val="20"/>
              </w:rPr>
              <w:t xml:space="preserve">p.13</w:t>
            </w:r>
          </w:p>
        </w:tc>
      </w:tr>
    </w:tbl>
    <w:p>
      <w:r>
        <w:br w:type="page"/>
      </w:r>
    </w:p>
    <w:p>
      <w:pPr>
        <w:pStyle w:val="Heading1"/>
      </w:pPr>
      <w:r>
        <w:rPr>
          <w:rFonts w:ascii="Arial" w:cs="Arial" w:eastAsia="Arial" w:hAnsi="Arial"/>
          <w:b/>
          <w:bCs/>
          <w:color w:val="1a1a2e"/>
          <w:sz w:val="36"/>
          <w:szCs w:val="36"/>
        </w:rPr>
        <w:t xml:space="preserve">1. Chiffres cles - Panorama ANSSI 2025</w:t>
      </w:r>
    </w:p>
    <w:p>
      <w:pPr>
        <w:spacing w:after="60" w:before="40"/>
        <w:jc w:val="both"/>
      </w:pPr>
      <w:r>
        <w:rPr>
          <w:rFonts w:ascii="Arial" w:cs="Arial" w:eastAsia="Arial" w:hAnsi="Arial"/>
          <w:i/>
          <w:iCs/>
          <w:color w:val="5F5E5A"/>
          <w:sz w:val="16"/>
          <w:szCs w:val="16"/>
        </w:rPr>
        <w:t xml:space="preserve">Rapport annuel publie le 11 mars 2026 par l ANSSI.</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36"/>
        <w:gridCol w:w="2236"/>
        <w:gridCol w:w="2236"/>
        <w:gridCol w:w="2236"/>
      </w:tblGrid>
      <w:tr>
        <w:tc>
          <w:tcPr>
            <w:tcW w:type="dxa" w:w="2236"/>
            <w:tcBorders>
              <w:top w:val="none" w:color="FFFFFF" w:sz="0"/>
              <w:left w:val="none" w:color="FFFFFF" w:sz="0"/>
              <w:bottom w:val="none" w:color="FFFFFF" w:sz="0"/>
              <w:right w:val="none" w:color="FFFFFF" w:sz="0"/>
            </w:tcBorders>
            <w:shd w:fill="EEEDFE" w:val="clear"/>
            <w:tcMar>
              <w:top w:type="dxa" w:w="80"/>
              <w:left w:type="dxa" w:w="100"/>
              <w:bottom w:type="dxa" w:w="80"/>
              <w:right w:type="dxa" w:w="100"/>
            </w:tcMar>
            <w:vAlign w:val="center"/>
          </w:tcPr>
          <w:p>
            <w:pPr>
              <w:jc w:val="center"/>
            </w:pPr>
            <w:r>
              <w:rPr>
                <w:rFonts w:ascii="Arial" w:cs="Arial" w:eastAsia="Arial" w:hAnsi="Arial"/>
                <w:b/>
                <w:bCs/>
                <w:color w:val="1a1a2e"/>
                <w:sz w:val="44"/>
                <w:szCs w:val="44"/>
              </w:rPr>
              <w:t xml:space="preserve">3 586</w:t>
            </w:r>
          </w:p>
          <w:p>
            <w:pPr>
              <w:jc w:val="center"/>
            </w:pPr>
            <w:r>
              <w:rPr>
                <w:rFonts w:ascii="Arial" w:cs="Arial" w:eastAsia="Arial" w:hAnsi="Arial"/>
                <w:color w:val="5F5E5A"/>
                <w:sz w:val="16"/>
                <w:szCs w:val="16"/>
              </w:rPr>
              <w:t xml:space="preserve">Evenements traites</w:t>
            </w:r>
          </w:p>
        </w:tc>
        <w:tc>
          <w:tcPr>
            <w:tcW w:type="dxa" w:w="2236"/>
            <w:tcBorders>
              <w:top w:val="none" w:color="FFFFFF" w:sz="0"/>
              <w:left w:val="none" w:color="FFFFFF" w:sz="0"/>
              <w:bottom w:val="none" w:color="FFFFFF" w:sz="0"/>
              <w:right w:val="none" w:color="FFFFFF" w:sz="0"/>
            </w:tcBorders>
            <w:shd w:fill="FCEBEB" w:val="clear"/>
            <w:tcMar>
              <w:top w:type="dxa" w:w="80"/>
              <w:left w:type="dxa" w:w="100"/>
              <w:bottom w:type="dxa" w:w="80"/>
              <w:right w:type="dxa" w:w="100"/>
            </w:tcMar>
            <w:vAlign w:val="center"/>
          </w:tcPr>
          <w:p>
            <w:pPr>
              <w:jc w:val="center"/>
            </w:pPr>
            <w:r>
              <w:rPr>
                <w:rFonts w:ascii="Arial" w:cs="Arial" w:eastAsia="Arial" w:hAnsi="Arial"/>
                <w:b/>
                <w:bCs/>
                <w:color w:val="1a1a2e"/>
                <w:sz w:val="44"/>
                <w:szCs w:val="44"/>
              </w:rPr>
              <w:t xml:space="preserve">1 366</w:t>
            </w:r>
          </w:p>
          <w:p>
            <w:pPr>
              <w:jc w:val="center"/>
            </w:pPr>
            <w:r>
              <w:rPr>
                <w:rFonts w:ascii="Arial" w:cs="Arial" w:eastAsia="Arial" w:hAnsi="Arial"/>
                <w:color w:val="5F5E5A"/>
                <w:sz w:val="16"/>
                <w:szCs w:val="16"/>
              </w:rPr>
              <w:t xml:space="preserve">Incidents confirmes</w:t>
            </w:r>
          </w:p>
        </w:tc>
        <w:tc>
          <w:tcPr>
            <w:tcW w:type="dxa" w:w="2236"/>
            <w:tcBorders>
              <w:top w:val="none" w:color="FFFFFF" w:sz="0"/>
              <w:left w:val="none" w:color="FFFFFF" w:sz="0"/>
              <w:bottom w:val="none" w:color="FFFFFF" w:sz="0"/>
              <w:right w:val="none" w:color="FFFFFF" w:sz="0"/>
            </w:tcBorders>
            <w:shd w:fill="FAEEDA" w:val="clear"/>
            <w:tcMar>
              <w:top w:type="dxa" w:w="80"/>
              <w:left w:type="dxa" w:w="100"/>
              <w:bottom w:type="dxa" w:w="80"/>
              <w:right w:type="dxa" w:w="100"/>
            </w:tcMar>
            <w:vAlign w:val="center"/>
          </w:tcPr>
          <w:p>
            <w:pPr>
              <w:jc w:val="center"/>
            </w:pPr>
            <w:r>
              <w:rPr>
                <w:rFonts w:ascii="Arial" w:cs="Arial" w:eastAsia="Arial" w:hAnsi="Arial"/>
                <w:b/>
                <w:bCs/>
                <w:color w:val="1a1a2e"/>
                <w:sz w:val="44"/>
                <w:szCs w:val="44"/>
              </w:rPr>
              <w:t xml:space="preserve">196</w:t>
            </w:r>
          </w:p>
          <w:p>
            <w:pPr>
              <w:jc w:val="center"/>
            </w:pPr>
            <w:r>
              <w:rPr>
                <w:rFonts w:ascii="Arial" w:cs="Arial" w:eastAsia="Arial" w:hAnsi="Arial"/>
                <w:color w:val="5F5E5A"/>
                <w:sz w:val="16"/>
                <w:szCs w:val="16"/>
              </w:rPr>
              <w:t xml:space="preserve">Exfiltrations donnees</w:t>
            </w:r>
          </w:p>
        </w:tc>
        <w:tc>
          <w:tcPr>
            <w:tcW w:type="dxa" w:w="2236"/>
            <w:tcBorders>
              <w:top w:val="none" w:color="FFFFFF" w:sz="0"/>
              <w:left w:val="none" w:color="FFFFFF" w:sz="0"/>
              <w:bottom w:val="none" w:color="FFFFFF" w:sz="0"/>
              <w:right w:val="none" w:color="FFFFFF" w:sz="0"/>
            </w:tcBorders>
            <w:shd w:fill="E6F1FB" w:val="clear"/>
            <w:tcMar>
              <w:top w:type="dxa" w:w="80"/>
              <w:left w:type="dxa" w:w="100"/>
              <w:bottom w:type="dxa" w:w="80"/>
              <w:right w:type="dxa" w:w="100"/>
            </w:tcMar>
            <w:vAlign w:val="center"/>
          </w:tcPr>
          <w:p>
            <w:pPr>
              <w:jc w:val="center"/>
            </w:pPr>
            <w:r>
              <w:rPr>
                <w:rFonts w:ascii="Arial" w:cs="Arial" w:eastAsia="Arial" w:hAnsi="Arial"/>
                <w:b/>
                <w:bCs/>
                <w:color w:val="1a1a2e"/>
                <w:sz w:val="44"/>
                <w:szCs w:val="44"/>
              </w:rPr>
              <w:t xml:space="preserve">128</w:t>
            </w:r>
          </w:p>
          <w:p>
            <w:pPr>
              <w:jc w:val="center"/>
            </w:pPr>
            <w:r>
              <w:rPr>
                <w:rFonts w:ascii="Arial" w:cs="Arial" w:eastAsia="Arial" w:hAnsi="Arial"/>
                <w:color w:val="5F5E5A"/>
                <w:sz w:val="16"/>
                <w:szCs w:val="16"/>
              </w:rPr>
              <w:t xml:space="preserve">Attaques ransomware</w:t>
            </w:r>
          </w:p>
        </w:tc>
      </w:tr>
    </w:tbl>
    <w:p>
      <w:pPr>
        <w:spacing w:after="0" w:before="120"/>
      </w:pPr>
    </w:p>
    <w:p>
      <w:pPr>
        <w:spacing w:after="60" w:before="200"/>
      </w:pPr>
      <w:r>
        <w:rPr>
          <w:rFonts w:ascii="Arial" w:cs="Arial" w:eastAsia="Arial" w:hAnsi="Arial"/>
          <w:b/>
          <w:bCs/>
          <w:color w:val="5F5E5A"/>
          <w:sz w:val="18"/>
          <w:szCs w:val="18"/>
        </w:rPr>
        <w:t xml:space="preserve">REPARTITION DES INCIDENTS PAR SECTEUR</w:t>
      </w:r>
    </w:p>
    <w:p>
      <w:pPr>
        <w:pBdr>
          <w:bottom w:val="single" w:color="D3D1C7" w:sz="4" w:space="1"/>
        </w:pBdr>
        <w:spacing w:after="80" w:before="0"/>
      </w:pPr>
    </w:p>
    <w:tbl>
      <w:tblPr>
        <w:tblW w:type="dxa" w:w="9026"/>
        <w:tblBorders>
          <w:top w:val="single" w:color="D3D1C7" w:sz="1"/>
          <w:left w:val="single" w:color="D3D1C7" w:sz="1"/>
          <w:bottom w:val="single" w:color="D3D1C7" w:sz="1"/>
          <w:right w:val="single" w:color="D3D1C7" w:sz="1"/>
          <w:insideH w:val="single" w:color="auto" w:sz="4"/>
          <w:insideV w:val="single" w:color="auto" w:sz="4"/>
        </w:tblBorders>
      </w:tblPr>
      <w:tblGrid>
        <w:gridCol w:w="900"/>
        <w:gridCol w:w="3429"/>
        <w:gridCol w:w="4697"/>
      </w:tblGrid>
      <w:tr>
        <w:tc>
          <w:tcPr>
            <w:tcW w:type="dxa" w:w="900"/>
            <w:tcBorders>
              <w:top w:val="none" w:color="FFFFFF" w:sz="0"/>
              <w:left w:val="none" w:color="FFFFFF" w:sz="0"/>
              <w:bottom w:val="none" w:color="FFFFFF" w:sz="0"/>
              <w:right w:val="none" w:color="FFFFFF" w:sz="0"/>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34%</w:t>
            </w:r>
          </w:p>
        </w:tc>
        <w:tc>
          <w:tcPr>
            <w:tcW w:type="dxa" w:w="3429"/>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a1a2e"/>
                <w:sz w:val="18"/>
                <w:szCs w:val="18"/>
              </w:rPr>
              <w:t xml:space="preserve">Education et recherche</w:t>
            </w:r>
          </w:p>
        </w:tc>
        <w:tc>
          <w:tcPr>
            <w:tcW w:type="dxa" w:w="4697"/>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r>
              <w:rPr>
                <w:rFonts w:ascii="Arial" w:cs="Arial" w:eastAsia="Arial" w:hAnsi="Arial"/>
                <w:color w:val="5F5E5A"/>
                <w:sz w:val="16"/>
                <w:szCs w:val="16"/>
              </w:rPr>
              <w:t xml:space="preserve">Premier secteur cible en France</w:t>
            </w:r>
          </w:p>
        </w:tc>
      </w:tr>
      <w:tr>
        <w:tc>
          <w:tcPr>
            <w:tcW w:type="dxa" w:w="900"/>
            <w:tcBorders>
              <w:top w:val="none" w:color="FFFFFF" w:sz="0"/>
              <w:left w:val="none" w:color="FFFFFF" w:sz="0"/>
              <w:bottom w:val="none" w:color="FFFFFF" w:sz="0"/>
              <w:right w:val="none" w:color="FFFFFF" w:sz="0"/>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24%</w:t>
            </w:r>
          </w:p>
        </w:tc>
        <w:tc>
          <w:tcPr>
            <w:tcW w:type="dxa" w:w="3429"/>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a1a2e"/>
                <w:sz w:val="18"/>
                <w:szCs w:val="18"/>
              </w:rPr>
              <w:t xml:space="preserve">Collectivites &amp; ministeres</w:t>
            </w:r>
          </w:p>
        </w:tc>
        <w:tc>
          <w:tcPr>
            <w:tcW w:type="dxa" w:w="4697"/>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r>
              <w:rPr>
                <w:rFonts w:ascii="Arial" w:cs="Arial" w:eastAsia="Arial" w:hAnsi="Arial"/>
                <w:color w:val="5F5E5A"/>
                <w:sz w:val="16"/>
                <w:szCs w:val="16"/>
              </w:rPr>
              <w:t xml:space="preserve">Administrations tres exposees</w:t>
            </w:r>
          </w:p>
        </w:tc>
      </w:tr>
      <w:tr>
        <w:tc>
          <w:tcPr>
            <w:tcW w:type="dxa" w:w="900"/>
            <w:tcBorders>
              <w:top w:val="none" w:color="FFFFFF" w:sz="0"/>
              <w:left w:val="none" w:color="FFFFFF" w:sz="0"/>
              <w:bottom w:val="none" w:color="FFFFFF" w:sz="0"/>
              <w:right w:val="none" w:color="FFFFFF" w:sz="0"/>
            </w:tcBorders>
            <w:shd w:fill="EEEDFE" w:val="clear"/>
            <w:tcMar>
              <w:top w:type="dxa" w:w="80"/>
              <w:left w:type="dxa" w:w="100"/>
              <w:bottom w:type="dxa" w:w="80"/>
              <w:right w:type="dxa" w:w="100"/>
            </w:tcMar>
            <w:vAlign w:val="center"/>
          </w:tcPr>
          <w:p>
            <w:pPr>
              <w:jc w:val="center"/>
            </w:pPr>
            <w:r>
              <w:rPr>
                <w:rFonts w:ascii="Arial" w:cs="Arial" w:eastAsia="Arial" w:hAnsi="Arial"/>
                <w:b/>
                <w:bCs/>
                <w:color w:val="534AB7"/>
                <w:sz w:val="18"/>
                <w:szCs w:val="18"/>
              </w:rPr>
              <w:t xml:space="preserve">10%</w:t>
            </w:r>
          </w:p>
        </w:tc>
        <w:tc>
          <w:tcPr>
            <w:tcW w:type="dxa" w:w="3429"/>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a1a2e"/>
                <w:sz w:val="18"/>
                <w:szCs w:val="18"/>
              </w:rPr>
              <w:t xml:space="preserve">Secteur de la sante</w:t>
            </w:r>
          </w:p>
        </w:tc>
        <w:tc>
          <w:tcPr>
            <w:tcW w:type="dxa" w:w="4697"/>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r>
              <w:rPr>
                <w:rFonts w:ascii="Arial" w:cs="Arial" w:eastAsia="Arial" w:hAnsi="Arial"/>
                <w:color w:val="5F5E5A"/>
                <w:sz w:val="16"/>
                <w:szCs w:val="16"/>
              </w:rPr>
              <w:t xml:space="preserve">Hopitaux et cabinets medicaux</w:t>
            </w:r>
          </w:p>
        </w:tc>
      </w:tr>
      <w:tr>
        <w:tc>
          <w:tcPr>
            <w:tcW w:type="dxa" w:w="900"/>
            <w:tcBorders>
              <w:top w:val="none" w:color="FFFFFF" w:sz="0"/>
              <w:left w:val="none" w:color="FFFFFF" w:sz="0"/>
              <w:bottom w:val="none" w:color="FFFFFF" w:sz="0"/>
              <w:right w:val="none" w:color="FFFFFF" w:sz="0"/>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8"/>
                <w:szCs w:val="18"/>
              </w:rPr>
              <w:t xml:space="preserve">9%</w:t>
            </w:r>
          </w:p>
        </w:tc>
        <w:tc>
          <w:tcPr>
            <w:tcW w:type="dxa" w:w="3429"/>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a1a2e"/>
                <w:sz w:val="18"/>
                <w:szCs w:val="18"/>
              </w:rPr>
              <w:t xml:space="preserve">Telecommunications</w:t>
            </w:r>
          </w:p>
        </w:tc>
        <w:tc>
          <w:tcPr>
            <w:tcW w:type="dxa" w:w="4697"/>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r>
              <w:rPr>
                <w:rFonts w:ascii="Arial" w:cs="Arial" w:eastAsia="Arial" w:hAnsi="Arial"/>
                <w:color w:val="5F5E5A"/>
                <w:sz w:val="16"/>
                <w:szCs w:val="16"/>
              </w:rPr>
              <w:t xml:space="preserve">Operateurs reseau et FAI</w:t>
            </w:r>
          </w:p>
        </w:tc>
      </w:tr>
      <w:tr>
        <w:tc>
          <w:tcPr>
            <w:tcW w:type="dxa" w:w="900"/>
            <w:tcBorders>
              <w:top w:val="none" w:color="FFFFFF" w:sz="0"/>
              <w:left w:val="none" w:color="FFFFFF" w:sz="0"/>
              <w:bottom w:val="none" w:color="FFFFFF" w:sz="0"/>
              <w:right w:val="none" w:color="FFFFFF" w:sz="0"/>
            </w:tcBorders>
            <w:shd w:fill="F1EFE8" w:val="clear"/>
            <w:tcMar>
              <w:top w:type="dxa" w:w="80"/>
              <w:left w:type="dxa" w:w="100"/>
              <w:bottom w:type="dxa" w:w="80"/>
              <w:right w:type="dxa" w:w="100"/>
            </w:tcMar>
            <w:vAlign w:val="center"/>
          </w:tcPr>
          <w:p>
            <w:pPr>
              <w:jc w:val="center"/>
            </w:pPr>
            <w:r>
              <w:rPr>
                <w:rFonts w:ascii="Arial" w:cs="Arial" w:eastAsia="Arial" w:hAnsi="Arial"/>
                <w:b/>
                <w:bCs/>
                <w:color w:val="5F5E5A"/>
                <w:sz w:val="18"/>
                <w:szCs w:val="18"/>
              </w:rPr>
              <w:t xml:space="preserve">23%</w:t>
            </w:r>
          </w:p>
        </w:tc>
        <w:tc>
          <w:tcPr>
            <w:tcW w:type="dxa" w:w="3429"/>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a1a2e"/>
                <w:sz w:val="18"/>
                <w:szCs w:val="18"/>
              </w:rPr>
              <w:t xml:space="preserve">Autres secteurs</w:t>
            </w:r>
          </w:p>
        </w:tc>
        <w:tc>
          <w:tcPr>
            <w:tcW w:type="dxa" w:w="4697"/>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r>
              <w:rPr>
                <w:rFonts w:ascii="Arial" w:cs="Arial" w:eastAsia="Arial" w:hAnsi="Arial"/>
                <w:color w:val="5F5E5A"/>
                <w:sz w:val="16"/>
                <w:szCs w:val="16"/>
              </w:rPr>
              <w:t xml:space="preserve">Industrie, finance, energie</w:t>
            </w:r>
          </w:p>
        </w:tc>
      </w:tr>
    </w:tbl>
    <w:p>
      <w:pPr>
        <w:spacing w:after="80" w:before="60"/>
        <w:jc w:val="both"/>
      </w:pPr>
      <w:r>
        <w:rPr>
          <w:rFonts w:ascii="Arial" w:cs="Arial" w:eastAsia="Arial" w:hAnsi="Arial"/>
          <w:color w:val="444441"/>
          <w:sz w:val="20"/>
          <w:szCs w:val="20"/>
        </w:rPr>
        <w:t xml:space="preserve">Note : la baisse de 18% des evenements s explique par le pic JO Paris 2024. Le nombre d incidents confirmes reste stable (+0,4%), signe d une pression durable.</w:t>
      </w:r>
    </w:p>
    <w:p>
      <w:r>
        <w:br w:type="page"/>
      </w:r>
    </w:p>
    <w:p>
      <w:pPr>
        <w:pStyle w:val="Heading1"/>
      </w:pPr>
      <w:r>
        <w:rPr>
          <w:rFonts w:ascii="Arial" w:cs="Arial" w:eastAsia="Arial" w:hAnsi="Arial"/>
          <w:b/>
          <w:bCs/>
          <w:color w:val="1a1a2e"/>
          <w:sz w:val="36"/>
          <w:szCs w:val="36"/>
        </w:rPr>
        <w:t xml:space="preserve">2. Etat de la menace en France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A32D2D" w:sz="12"/>
              <w:bottom w:val="single" w:color="D3D1C7" w:sz="1"/>
              <w:right w:val="single" w:color="D3D1C7" w:sz="1"/>
            </w:tcBorders>
            <w:shd w:fill="FCEBEB" w:val="clear"/>
            <w:tcMar>
              <w:top w:type="dxa" w:w="120"/>
              <w:left w:type="dxa" w:w="180"/>
              <w:bottom w:type="dxa" w:w="100"/>
              <w:right w:type="dxa" w:w="120"/>
            </w:tcMar>
          </w:tcPr>
          <w:p>
            <w:pPr>
              <w:jc w:val="center"/>
            </w:pPr>
            <w:r>
              <w:rPr>
                <w:rFonts w:ascii="Arial" w:cs="Arial" w:eastAsia="Arial" w:hAnsi="Arial"/>
                <w:b/>
                <w:bCs/>
                <w:color w:val="A32D2D"/>
                <w:sz w:val="22"/>
                <w:szCs w:val="22"/>
              </w:rPr>
              <w:t xml:space="preserve">"Un casse du siecle qui a pratiquement lieu tous les mois."</w:t>
            </w:r>
          </w:p>
          <w:p>
            <w:pPr>
              <w:spacing w:after="60" w:before="40"/>
              <w:jc w:val="both"/>
            </w:pPr>
            <w:r>
              <w:rPr>
                <w:rFonts w:ascii="Arial" w:cs="Arial" w:eastAsia="Arial" w:hAnsi="Arial"/>
                <w:i/>
                <w:iCs/>
                <w:color w:val="5F5E5A"/>
                <w:sz w:val="16"/>
                <w:szCs w:val="16"/>
              </w:rPr>
              <w:t xml:space="preserve">Premier ministre Sebastien Lecornu, 30 avril 2026</w:t>
            </w:r>
          </w:p>
        </w:tc>
      </w:tr>
    </w:tbl>
    <w:p>
      <w:pPr>
        <w:spacing w:after="0" w:before="120"/>
      </w:pPr>
    </w:p>
    <w:p>
      <w:pPr>
        <w:spacing w:after="60" w:before="200"/>
      </w:pPr>
      <w:r>
        <w:rPr>
          <w:rFonts w:ascii="Arial" w:cs="Arial" w:eastAsia="Arial" w:hAnsi="Arial"/>
          <w:b/>
          <w:bCs/>
          <w:color w:val="5F5E5A"/>
          <w:sz w:val="18"/>
          <w:szCs w:val="18"/>
        </w:rPr>
        <w:t xml:space="preserve">POSITIONNEMENT DE LA FRANCE EN EUROPE</w:t>
      </w:r>
    </w:p>
    <w:p>
      <w:pPr>
        <w:pBdr>
          <w:bottom w:val="single" w:color="D3D1C7" w:sz="4" w:space="1"/>
        </w:pBdr>
        <w:spacing w:after="80" w:before="0"/>
      </w:pPr>
    </w:p>
    <w:p>
      <w:pPr>
        <w:spacing w:after="80" w:before="60"/>
        <w:jc w:val="both"/>
      </w:pPr>
      <w:r>
        <w:rPr>
          <w:rFonts w:ascii="Arial" w:cs="Arial" w:eastAsia="Arial" w:hAnsi="Arial"/>
          <w:color w:val="444441"/>
          <w:sz w:val="20"/>
          <w:szCs w:val="20"/>
        </w:rPr>
        <w:t xml:space="preserve">En 2026, la France est le 2e pays le plus cible par les cyberattaques en Europe (13% des attaques). Cette exposition s explique par la densite de ses infrastructures critiques, son poids economique et diplomatique, et l usage non encadre des outils d IA. La France enregistre en moyenne 3 vols de donnees par jour depuis le debut de 2026.</w:t>
      </w:r>
    </w:p>
    <w:p>
      <w:pPr>
        <w:spacing w:after="60" w:before="200"/>
      </w:pPr>
      <w:r>
        <w:rPr>
          <w:rFonts w:ascii="Arial" w:cs="Arial" w:eastAsia="Arial" w:hAnsi="Arial"/>
          <w:b/>
          <w:bCs/>
          <w:color w:val="5F5E5A"/>
          <w:sz w:val="18"/>
          <w:szCs w:val="18"/>
        </w:rPr>
        <w:t xml:space="preserve">EFFACEMENT DES FRONTIERES ACTEURS ETATIQUES / CYBERCRIMINELS</w:t>
      </w:r>
    </w:p>
    <w:p>
      <w:pPr>
        <w:pBdr>
          <w:bottom w:val="single" w:color="D3D1C7" w:sz="4" w:space="1"/>
        </w:pBdr>
        <w:spacing w:after="80" w:before="0"/>
      </w:pPr>
    </w:p>
    <w:p>
      <w:pPr>
        <w:spacing w:after="80" w:before="60"/>
        <w:jc w:val="both"/>
      </w:pPr>
      <w:r>
        <w:rPr>
          <w:rFonts w:ascii="Arial" w:cs="Arial" w:eastAsia="Arial" w:hAnsi="Arial"/>
          <w:color w:val="444441"/>
          <w:sz w:val="20"/>
          <w:szCs w:val="20"/>
        </w:rPr>
        <w:t xml:space="preserve">L une des tendances majeures identifiees par le CERT-FR est l erosion des frontieres entre groupes etatiques et cybercriminels. Les groupes etatiques utilisent des outils criminels (RaaS, IAB), tandis que des groupes cybercriminels adoptent des tactiques de renseignement. Cette convergence complique le travail d attribution et necessite des capacites de CTI avancees.</w:t>
      </w:r>
    </w:p>
    <w:p>
      <w:pPr>
        <w:spacing w:after="60" w:before="200"/>
      </w:pPr>
      <w:r>
        <w:rPr>
          <w:rFonts w:ascii="Arial" w:cs="Arial" w:eastAsia="Arial" w:hAnsi="Arial"/>
          <w:b/>
          <w:bCs/>
          <w:color w:val="5F5E5A"/>
          <w:sz w:val="18"/>
          <w:szCs w:val="18"/>
        </w:rPr>
        <w:t xml:space="preserve">ETI ET PME : UNE CIBLE SOUS-ESTIMEE</w:t>
      </w:r>
    </w:p>
    <w:p>
      <w:pPr>
        <w:pBdr>
          <w:bottom w:val="single" w:color="D3D1C7" w:sz="4" w:space="1"/>
        </w:pBdr>
        <w:spacing w:after="80" w:before="0"/>
      </w:pPr>
    </w:p>
    <w:p>
      <w:pPr>
        <w:spacing w:after="80" w:before="60"/>
        <w:jc w:val="both"/>
      </w:pPr>
      <w:r>
        <w:rPr>
          <w:rFonts w:ascii="Arial" w:cs="Arial" w:eastAsia="Arial" w:hAnsi="Arial"/>
          <w:color w:val="444441"/>
          <w:sz w:val="20"/>
          <w:szCs w:val="20"/>
        </w:rPr>
        <w:t xml:space="preserve">34% des ETI ont subi au moins une cyberattaque significative en 2025. Parmi elles, 81% ont constate un impact direct sur leur activite. Les PME restent sous-equipees face a des attaquants de plus en plus professionnels, notamment via les vecteurs supply chain.</w:t>
      </w:r>
    </w:p>
    <w:p>
      <w:r>
        <w:br w:type="page"/>
      </w:r>
    </w:p>
    <w:p>
      <w:pPr>
        <w:pStyle w:val="Heading1"/>
      </w:pPr>
      <w:r>
        <w:rPr>
          <w:rFonts w:ascii="Arial" w:cs="Arial" w:eastAsia="Arial" w:hAnsi="Arial"/>
          <w:b/>
          <w:bCs/>
          <w:color w:val="1a1a2e"/>
          <w:sz w:val="36"/>
          <w:szCs w:val="36"/>
        </w:rPr>
        <w:t xml:space="preserve">3. Les menaces en evolution</w:t>
      </w:r>
    </w:p>
    <w:p>
      <w:pPr>
        <w:spacing w:after="60" w:before="200"/>
      </w:pPr>
      <w:r>
        <w:rPr>
          <w:rFonts w:ascii="Arial" w:cs="Arial" w:eastAsia="Arial" w:hAnsi="Arial"/>
          <w:b/>
          <w:bCs/>
          <w:color w:val="5F5E5A"/>
          <w:sz w:val="18"/>
          <w:szCs w:val="18"/>
        </w:rPr>
        <w:t xml:space="preserve">3.1 - INTELLIGENCE ARTIFICIELLE OFFENSIVE</w:t>
      </w:r>
    </w:p>
    <w:p>
      <w:pPr>
        <w:pBdr>
          <w:bottom w:val="single" w:color="D3D1C7" w:sz="4" w:space="1"/>
        </w:pBd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
        <w:gridCol w:w="8966"/>
      </w:tblGrid>
      <w:tr>
        <w:tc>
          <w:tcPr>
            <w:tcW w:type="dxa" w:w="60"/>
            <w:tcBorders>
              <w:top w:val="none" w:color="FFFFFF" w:sz="0"/>
              <w:left w:val="single" w:color="A32D2D" w:sz="12"/>
              <w:bottom w:val="none" w:color="FFFFFF" w:sz="0"/>
              <w:right w:val="none" w:color="FFFFFF" w:sz="0"/>
            </w:tcBorders>
            <w:shd w:fill="FFFFFF" w:val="clear"/>
          </w:tcPr>
          <w:p/>
        </w:tc>
        <w:tc>
          <w:tcPr>
            <w:tcW w:type="dxa" w:w="8966"/>
            <w:tcBorders>
              <w:top w:val="single" w:color="D3D1C7" w:sz="1"/>
              <w:left w:val="single" w:color="D3D1C7" w:sz="1"/>
              <w:bottom w:val="single" w:color="D3D1C7" w:sz="1"/>
              <w:right w:val="single" w:color="D3D1C7" w:sz="1"/>
            </w:tcBorders>
            <w:shd w:fill="FFFFFF" w:val="clear"/>
            <w:tcMar>
              <w:top w:type="dxa" w:w="120"/>
              <w:left w:type="dxa" w:w="160"/>
              <w:bottom w:type="dxa" w:w="100"/>
              <w:right w:type="dxa" w:w="120"/>
            </w:tcMar>
          </w:tcPr>
          <w:tbl>
            <w:tblPr>
              <w:tblW w:type="dxa" w:w="8686"/>
              <w:tblBorders>
                <w:top w:val="single" w:color="auto" w:sz="4"/>
                <w:left w:val="single" w:color="auto" w:sz="4"/>
                <w:bottom w:val="single" w:color="auto" w:sz="4"/>
                <w:right w:val="single" w:color="auto" w:sz="4"/>
                <w:insideH w:val="single" w:color="auto" w:sz="4"/>
                <w:insideV w:val="single" w:color="auto" w:sz="4"/>
              </w:tblBorders>
            </w:tblPr>
            <w:tblGrid>
              <w:gridCol w:w="7466"/>
              <w:gridCol w:w="1200"/>
            </w:tblGrid>
            <w:tr>
              <w:tc>
                <w:tcPr>
                  <w:tcW w:type="dxa" w:w="746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2"/>
                      <w:szCs w:val="22"/>
                    </w:rPr>
                    <w:t xml:space="preserve">IA offensive &amp; attaques automatisees</w:t>
                  </w:r>
                </w:p>
              </w:tc>
              <w:tc>
                <w:tcPr>
                  <w:tcW w:type="dxa" w:w="1200"/>
                  <w:tcBorders>
                    <w:top w:val="none" w:color="FFFFFF" w:sz="0"/>
                    <w:left w:val="none" w:color="FFFFFF" w:sz="0"/>
                    <w:bottom w:val="none" w:color="FFFFFF" w:sz="0"/>
                    <w:right w:val="none" w:color="FFFFFF" w:sz="0"/>
                  </w:tcBorders>
                  <w:shd w:fill="FCEBEB" w:val="clear"/>
                  <w:tcMar>
                    <w:top w:type="dxa" w:w="40"/>
                    <w:left w:type="dxa" w:w="60"/>
                    <w:bottom w:type="dxa" w:w="40"/>
                    <w:right w:type="dxa" w:w="60"/>
                  </w:tcMar>
                  <w:vAlign w:val="center"/>
                </w:tcPr>
                <w:p>
                  <w:pPr>
                    <w:jc w:val="center"/>
                  </w:pPr>
                  <w:r>
                    <w:rPr>
                      <w:rFonts w:ascii="Arial" w:cs="Arial" w:eastAsia="Arial" w:hAnsi="Arial"/>
                      <w:b/>
                      <w:bCs/>
                      <w:color w:val="A32D2D"/>
                      <w:sz w:val="16"/>
                      <w:szCs w:val="16"/>
                    </w:rPr>
                    <w:t xml:space="preserve">Critique</w:t>
                  </w:r>
                </w:p>
              </w:tc>
            </w:tr>
          </w:tbl>
          <w:p>
            <w:pPr>
              <w:spacing w:after="60" w:before="80"/>
              <w:jc w:val="both"/>
            </w:pPr>
            <w:r>
              <w:rPr>
                <w:rFonts w:ascii="Arial" w:cs="Arial" w:eastAsia="Arial" w:hAnsi="Arial"/>
                <w:color w:val="444441"/>
                <w:sz w:val="20"/>
                <w:szCs w:val="20"/>
              </w:rPr>
              <w:t xml:space="preserve">L IA transforme les cybercriminels isoles en operateurs capables de produire des attaques en serie. Phishing hyper-personnalise, deepfakes, detection automatisee de failles. Les attaques OT ciblant les infrastructures industrielles sont optimisees par l IA. Le Shadow IA constitue une nouvelle surface d attaque.</w:t>
            </w:r>
          </w:p>
          <w:p>
            <w:pPr>
              <w:spacing w:after="60" w:before="40"/>
              <w:jc w:val="both"/>
            </w:pPr>
            <w:r>
              <w:rPr>
                <w:rFonts w:ascii="Arial" w:cs="Arial" w:eastAsia="Arial" w:hAnsi="Arial"/>
                <w:i/>
                <w:iCs/>
                <w:color w:val="5F5E5A"/>
                <w:sz w:val="16"/>
                <w:szCs w:val="16"/>
              </w:rPr>
              <w:t xml:space="preserve">Sources : ANSSI / Le Monde Informatique / Orange Pro</w:t>
            </w:r>
          </w:p>
        </w:tc>
      </w:tr>
    </w:tbl>
    <w:p>
      <w:pPr>
        <w:spacing w:after="100" w:before="0"/>
      </w:pPr>
    </w:p>
    <w:p>
      <w:pPr>
        <w:spacing w:after="60" w:before="200"/>
      </w:pPr>
      <w:r>
        <w:rPr>
          <w:rFonts w:ascii="Arial" w:cs="Arial" w:eastAsia="Arial" w:hAnsi="Arial"/>
          <w:b/>
          <w:bCs/>
          <w:color w:val="5F5E5A"/>
          <w:sz w:val="18"/>
          <w:szCs w:val="18"/>
        </w:rPr>
        <w:t xml:space="preserve">3.2 - RANSOMWARE ET EXTORSION PAR DONNEES</w:t>
      </w:r>
    </w:p>
    <w:p>
      <w:pPr>
        <w:pBdr>
          <w:bottom w:val="single" w:color="D3D1C7" w:sz="4" w:space="1"/>
        </w:pBd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
        <w:gridCol w:w="8966"/>
      </w:tblGrid>
      <w:tr>
        <w:tc>
          <w:tcPr>
            <w:tcW w:type="dxa" w:w="60"/>
            <w:tcBorders>
              <w:top w:val="none" w:color="FFFFFF" w:sz="0"/>
              <w:left w:val="single" w:color="854F0B" w:sz="12"/>
              <w:bottom w:val="none" w:color="FFFFFF" w:sz="0"/>
              <w:right w:val="none" w:color="FFFFFF" w:sz="0"/>
            </w:tcBorders>
            <w:shd w:fill="FFFFFF" w:val="clear"/>
          </w:tcPr>
          <w:p/>
        </w:tc>
        <w:tc>
          <w:tcPr>
            <w:tcW w:type="dxa" w:w="8966"/>
            <w:tcBorders>
              <w:top w:val="single" w:color="D3D1C7" w:sz="1"/>
              <w:left w:val="single" w:color="D3D1C7" w:sz="1"/>
              <w:bottom w:val="single" w:color="D3D1C7" w:sz="1"/>
              <w:right w:val="single" w:color="D3D1C7" w:sz="1"/>
            </w:tcBorders>
            <w:shd w:fill="FFFFFF" w:val="clear"/>
            <w:tcMar>
              <w:top w:type="dxa" w:w="120"/>
              <w:left w:type="dxa" w:w="160"/>
              <w:bottom w:type="dxa" w:w="100"/>
              <w:right w:type="dxa" w:w="120"/>
            </w:tcMar>
          </w:tcPr>
          <w:tbl>
            <w:tblPr>
              <w:tblW w:type="dxa" w:w="8686"/>
              <w:tblBorders>
                <w:top w:val="single" w:color="auto" w:sz="4"/>
                <w:left w:val="single" w:color="auto" w:sz="4"/>
                <w:bottom w:val="single" w:color="auto" w:sz="4"/>
                <w:right w:val="single" w:color="auto" w:sz="4"/>
                <w:insideH w:val="single" w:color="auto" w:sz="4"/>
                <w:insideV w:val="single" w:color="auto" w:sz="4"/>
              </w:tblBorders>
            </w:tblPr>
            <w:tblGrid>
              <w:gridCol w:w="7466"/>
              <w:gridCol w:w="1200"/>
            </w:tblGrid>
            <w:tr>
              <w:tc>
                <w:tcPr>
                  <w:tcW w:type="dxa" w:w="746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2"/>
                      <w:szCs w:val="22"/>
                    </w:rPr>
                    <w:t xml:space="preserve">Bascule strategique : du chiffrement a l exfiltration pure</w:t>
                  </w:r>
                </w:p>
              </w:tc>
              <w:tc>
                <w:tcPr>
                  <w:tcW w:type="dxa" w:w="1200"/>
                  <w:tcBorders>
                    <w:top w:val="none" w:color="FFFFFF" w:sz="0"/>
                    <w:left w:val="none" w:color="FFFFFF" w:sz="0"/>
                    <w:bottom w:val="none" w:color="FFFFFF" w:sz="0"/>
                    <w:right w:val="none" w:color="FFFFFF" w:sz="0"/>
                  </w:tcBorders>
                  <w:shd w:fill="FAEEDA" w:val="clear"/>
                  <w:tcMar>
                    <w:top w:type="dxa" w:w="40"/>
                    <w:left w:type="dxa" w:w="60"/>
                    <w:bottom w:type="dxa" w:w="40"/>
                    <w:right w:type="dxa" w:w="60"/>
                  </w:tcMar>
                  <w:vAlign w:val="center"/>
                </w:tcPr>
                <w:p>
                  <w:pPr>
                    <w:jc w:val="center"/>
                  </w:pPr>
                  <w:r>
                    <w:rPr>
                      <w:rFonts w:ascii="Arial" w:cs="Arial" w:eastAsia="Arial" w:hAnsi="Arial"/>
                      <w:b/>
                      <w:bCs/>
                      <w:color w:val="854F0B"/>
                      <w:sz w:val="16"/>
                      <w:szCs w:val="16"/>
                    </w:rPr>
                    <w:t xml:space="preserve">Surveillance</w:t>
                  </w:r>
                </w:p>
              </w:tc>
            </w:tr>
          </w:tbl>
          <w:p>
            <w:pPr>
              <w:spacing w:after="60" w:before="80"/>
              <w:jc w:val="both"/>
            </w:pPr>
            <w:r>
              <w:rPr>
                <w:rFonts w:ascii="Arial" w:cs="Arial" w:eastAsia="Arial" w:hAnsi="Arial"/>
                <w:color w:val="444441"/>
                <w:sz w:val="20"/>
                <w:szCs w:val="20"/>
              </w:rPr>
              <w:t xml:space="preserve">Le modele classique du ransomware evolue. Les groupes privilegient l exfiltration de donnees sans chiffrement : moins risque, plus discret, pression mediatique maximale. Les exfiltrations recensees sont passees de 130 en 2024 a 196 en 2025 (+51%). Les Initial Access Brokers jouent un role croissant.</w:t>
            </w:r>
          </w:p>
          <w:p>
            <w:pPr>
              <w:spacing w:after="60" w:before="40"/>
              <w:jc w:val="both"/>
            </w:pPr>
            <w:r>
              <w:rPr>
                <w:rFonts w:ascii="Arial" w:cs="Arial" w:eastAsia="Arial" w:hAnsi="Arial"/>
                <w:i/>
                <w:iCs/>
                <w:color w:val="5F5E5A"/>
                <w:sz w:val="16"/>
                <w:szCs w:val="16"/>
              </w:rPr>
              <w:t xml:space="preserve">Sources : CERT-FR (CERTFR-2026-CTI-002) / ZATAZ mai 2026</w:t>
            </w:r>
          </w:p>
        </w:tc>
      </w:tr>
    </w:tbl>
    <w:p>
      <w:pPr>
        <w:spacing w:after="100" w:before="0"/>
      </w:pPr>
    </w:p>
    <w:p>
      <w:pPr>
        <w:spacing w:after="60" w:before="200"/>
      </w:pPr>
      <w:r>
        <w:rPr>
          <w:rFonts w:ascii="Arial" w:cs="Arial" w:eastAsia="Arial" w:hAnsi="Arial"/>
          <w:b/>
          <w:bCs/>
          <w:color w:val="5F5E5A"/>
          <w:sz w:val="18"/>
          <w:szCs w:val="18"/>
        </w:rPr>
        <w:t xml:space="preserve">3.3 - ESPIONNAGE ETATIQUE</w:t>
      </w:r>
    </w:p>
    <w:p>
      <w:pPr>
        <w:pBdr>
          <w:bottom w:val="single" w:color="D3D1C7" w:sz="4" w:space="1"/>
        </w:pBd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
        <w:gridCol w:w="8966"/>
      </w:tblGrid>
      <w:tr>
        <w:tc>
          <w:tcPr>
            <w:tcW w:type="dxa" w:w="60"/>
            <w:tcBorders>
              <w:top w:val="none" w:color="FFFFFF" w:sz="0"/>
              <w:left w:val="single" w:color="534AB7" w:sz="12"/>
              <w:bottom w:val="none" w:color="FFFFFF" w:sz="0"/>
              <w:right w:val="none" w:color="FFFFFF" w:sz="0"/>
            </w:tcBorders>
            <w:shd w:fill="FFFFFF" w:val="clear"/>
          </w:tcPr>
          <w:p/>
        </w:tc>
        <w:tc>
          <w:tcPr>
            <w:tcW w:type="dxa" w:w="8966"/>
            <w:tcBorders>
              <w:top w:val="single" w:color="D3D1C7" w:sz="1"/>
              <w:left w:val="single" w:color="D3D1C7" w:sz="1"/>
              <w:bottom w:val="single" w:color="D3D1C7" w:sz="1"/>
              <w:right w:val="single" w:color="D3D1C7" w:sz="1"/>
            </w:tcBorders>
            <w:shd w:fill="FFFFFF" w:val="clear"/>
            <w:tcMar>
              <w:top w:type="dxa" w:w="120"/>
              <w:left w:type="dxa" w:w="160"/>
              <w:bottom w:type="dxa" w:w="100"/>
              <w:right w:type="dxa" w:w="120"/>
            </w:tcMar>
          </w:tcPr>
          <w:tbl>
            <w:tblPr>
              <w:tblW w:type="dxa" w:w="8686"/>
              <w:tblBorders>
                <w:top w:val="single" w:color="auto" w:sz="4"/>
                <w:left w:val="single" w:color="auto" w:sz="4"/>
                <w:bottom w:val="single" w:color="auto" w:sz="4"/>
                <w:right w:val="single" w:color="auto" w:sz="4"/>
                <w:insideH w:val="single" w:color="auto" w:sz="4"/>
                <w:insideV w:val="single" w:color="auto" w:sz="4"/>
              </w:tblBorders>
            </w:tblPr>
            <w:tblGrid>
              <w:gridCol w:w="7466"/>
              <w:gridCol w:w="1200"/>
            </w:tblGrid>
            <w:tr>
              <w:tc>
                <w:tcPr>
                  <w:tcW w:type="dxa" w:w="746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2"/>
                      <w:szCs w:val="22"/>
                    </w:rPr>
                    <w:t xml:space="preserve">Salt Typhoon, Turla : les groupes etatiques plus actifs que jamais</w:t>
                  </w:r>
                </w:p>
              </w:tc>
              <w:tc>
                <w:tcPr>
                  <w:tcW w:type="dxa" w:w="1200"/>
                  <w:tcBorders>
                    <w:top w:val="none" w:color="FFFFFF" w:sz="0"/>
                    <w:left w:val="none" w:color="FFFFFF" w:sz="0"/>
                    <w:bottom w:val="none" w:color="FFFFFF" w:sz="0"/>
                    <w:right w:val="none" w:color="FFFFFF" w:sz="0"/>
                  </w:tcBorders>
                  <w:shd w:fill="EEEDFE" w:val="clear"/>
                  <w:tcMar>
                    <w:top w:type="dxa" w:w="40"/>
                    <w:left w:type="dxa" w:w="60"/>
                    <w:bottom w:type="dxa" w:w="40"/>
                    <w:right w:type="dxa" w:w="60"/>
                  </w:tcMar>
                  <w:vAlign w:val="center"/>
                </w:tcPr>
                <w:p>
                  <w:pPr>
                    <w:jc w:val="center"/>
                  </w:pPr>
                  <w:r>
                    <w:rPr>
                      <w:rFonts w:ascii="Arial" w:cs="Arial" w:eastAsia="Arial" w:hAnsi="Arial"/>
                      <w:b/>
                      <w:bCs/>
                      <w:color w:val="534AB7"/>
                      <w:sz w:val="16"/>
                      <w:szCs w:val="16"/>
                    </w:rPr>
                    <w:t xml:space="preserve">Eleve</w:t>
                  </w:r>
                </w:p>
              </w:tc>
            </w:tr>
          </w:tbl>
          <w:p>
            <w:pPr>
              <w:spacing w:after="60" w:before="80"/>
              <w:jc w:val="both"/>
            </w:pPr>
            <w:r>
              <w:rPr>
                <w:rFonts w:ascii="Arial" w:cs="Arial" w:eastAsia="Arial" w:hAnsi="Arial"/>
                <w:color w:val="444441"/>
                <w:sz w:val="20"/>
                <w:szCs w:val="20"/>
              </w:rPr>
              <w:t xml:space="preserve">Les modes operatoires associes a la Russie et a la Chine restent les plus actifs. Salt Typhoon (Chine) a etendu son ciblage au-dela des teleco vers d autres secteurs critiques. Turla (FSB russe) a cible des ambassades a Moscou. Les tensions geopolitiques amplifient ces risques.</w:t>
            </w:r>
          </w:p>
          <w:p>
            <w:pPr>
              <w:spacing w:after="60" w:before="40"/>
              <w:jc w:val="both"/>
            </w:pPr>
            <w:r>
              <w:rPr>
                <w:rFonts w:ascii="Arial" w:cs="Arial" w:eastAsia="Arial" w:hAnsi="Arial"/>
                <w:i/>
                <w:iCs/>
                <w:color w:val="5F5E5A"/>
                <w:sz w:val="16"/>
                <w:szCs w:val="16"/>
              </w:rPr>
              <w:t xml:space="preserve">Sources : ANSSI Panorama 2025 / CERT-FR</w:t>
            </w:r>
          </w:p>
        </w:tc>
      </w:tr>
    </w:tbl>
    <w:p>
      <w:pPr>
        <w:spacing w:after="100" w:before="0"/>
      </w:pPr>
    </w:p>
    <w:p>
      <w:pPr>
        <w:spacing w:after="60" w:before="200"/>
      </w:pPr>
      <w:r>
        <w:rPr>
          <w:rFonts w:ascii="Arial" w:cs="Arial" w:eastAsia="Arial" w:hAnsi="Arial"/>
          <w:b/>
          <w:bCs/>
          <w:color w:val="5F5E5A"/>
          <w:sz w:val="18"/>
          <w:szCs w:val="18"/>
        </w:rPr>
        <w:t xml:space="preserve">3.4 - INFRASTRUCTURES CRITIQUES (OT/IOT)</w:t>
      </w:r>
    </w:p>
    <w:p>
      <w:pPr>
        <w:pBdr>
          <w:bottom w:val="single" w:color="D3D1C7" w:sz="4" w:space="1"/>
        </w:pBd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
        <w:gridCol w:w="8966"/>
      </w:tblGrid>
      <w:tr>
        <w:tc>
          <w:tcPr>
            <w:tcW w:type="dxa" w:w="60"/>
            <w:tcBorders>
              <w:top w:val="none" w:color="FFFFFF" w:sz="0"/>
              <w:left w:val="single" w:color="185FA5" w:sz="12"/>
              <w:bottom w:val="none" w:color="FFFFFF" w:sz="0"/>
              <w:right w:val="none" w:color="FFFFFF" w:sz="0"/>
            </w:tcBorders>
            <w:shd w:fill="FFFFFF" w:val="clear"/>
          </w:tcPr>
          <w:p/>
        </w:tc>
        <w:tc>
          <w:tcPr>
            <w:tcW w:type="dxa" w:w="8966"/>
            <w:tcBorders>
              <w:top w:val="single" w:color="D3D1C7" w:sz="1"/>
              <w:left w:val="single" w:color="D3D1C7" w:sz="1"/>
              <w:bottom w:val="single" w:color="D3D1C7" w:sz="1"/>
              <w:right w:val="single" w:color="D3D1C7" w:sz="1"/>
            </w:tcBorders>
            <w:shd w:fill="FFFFFF" w:val="clear"/>
            <w:tcMar>
              <w:top w:type="dxa" w:w="120"/>
              <w:left w:type="dxa" w:w="160"/>
              <w:bottom w:type="dxa" w:w="100"/>
              <w:right w:type="dxa" w:w="120"/>
            </w:tcMar>
          </w:tcPr>
          <w:tbl>
            <w:tblPr>
              <w:tblW w:type="dxa" w:w="8686"/>
              <w:tblBorders>
                <w:top w:val="single" w:color="auto" w:sz="4"/>
                <w:left w:val="single" w:color="auto" w:sz="4"/>
                <w:bottom w:val="single" w:color="auto" w:sz="4"/>
                <w:right w:val="single" w:color="auto" w:sz="4"/>
                <w:insideH w:val="single" w:color="auto" w:sz="4"/>
                <w:insideV w:val="single" w:color="auto" w:sz="4"/>
              </w:tblBorders>
            </w:tblPr>
            <w:tblGrid>
              <w:gridCol w:w="7466"/>
              <w:gridCol w:w="1200"/>
            </w:tblGrid>
            <w:tr>
              <w:tc>
                <w:tcPr>
                  <w:tcW w:type="dxa" w:w="746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2"/>
                      <w:szCs w:val="22"/>
                    </w:rPr>
                    <w:t xml:space="preserve">Les systemes industriels : nouvelle frontiere des cyberattaques</w:t>
                  </w:r>
                </w:p>
              </w:tc>
              <w:tc>
                <w:tcPr>
                  <w:tcW w:type="dxa" w:w="1200"/>
                  <w:tcBorders>
                    <w:top w:val="none" w:color="FFFFFF" w:sz="0"/>
                    <w:left w:val="none" w:color="FFFFFF" w:sz="0"/>
                    <w:bottom w:val="none" w:color="FFFFFF" w:sz="0"/>
                    <w:right w:val="none" w:color="FFFFFF" w:sz="0"/>
                  </w:tcBorders>
                  <w:shd w:fill="E6F1FB" w:val="clear"/>
                  <w:tcMar>
                    <w:top w:type="dxa" w:w="40"/>
                    <w:left w:type="dxa" w:w="60"/>
                    <w:bottom w:type="dxa" w:w="40"/>
                    <w:right w:type="dxa" w:w="60"/>
                  </w:tcMar>
                  <w:vAlign w:val="center"/>
                </w:tcPr>
                <w:p>
                  <w:pPr>
                    <w:jc w:val="center"/>
                  </w:pPr>
                  <w:r>
                    <w:rPr>
                      <w:rFonts w:ascii="Arial" w:cs="Arial" w:eastAsia="Arial" w:hAnsi="Arial"/>
                      <w:b/>
                      <w:bCs/>
                      <w:color w:val="185FA5"/>
                      <w:sz w:val="16"/>
                      <w:szCs w:val="16"/>
                    </w:rPr>
                    <w:t xml:space="preserve">Structurel</w:t>
                  </w:r>
                </w:p>
              </w:tc>
            </w:tr>
          </w:tbl>
          <w:p>
            <w:pPr>
              <w:spacing w:after="60" w:before="80"/>
              <w:jc w:val="both"/>
            </w:pPr>
            <w:r>
              <w:rPr>
                <w:rFonts w:ascii="Arial" w:cs="Arial" w:eastAsia="Arial" w:hAnsi="Arial"/>
                <w:color w:val="444441"/>
                <w:sz w:val="20"/>
                <w:szCs w:val="20"/>
              </w:rPr>
              <w:t xml:space="preserve">Les infrastructures critiques sont la cible d attaques OT automatisees et optimisees par l IA. La convergence IT/OT elargit massivement la surface d attaque. En entreprise, 144 identites machines en moyenne pour une seule identite humaine.</w:t>
            </w:r>
          </w:p>
          <w:p>
            <w:pPr>
              <w:spacing w:after="60" w:before="40"/>
              <w:jc w:val="both"/>
            </w:pPr>
            <w:r>
              <w:rPr>
                <w:rFonts w:ascii="Arial" w:cs="Arial" w:eastAsia="Arial" w:hAnsi="Arial"/>
                <w:i/>
                <w:iCs/>
                <w:color w:val="5F5E5A"/>
                <w:sz w:val="16"/>
                <w:szCs w:val="16"/>
              </w:rPr>
              <w:t xml:space="preserve">Sources : Orange Pro / jamespot.com mars 2026</w:t>
            </w:r>
          </w:p>
        </w:tc>
      </w:tr>
    </w:tbl>
    <w:p>
      <w:pPr>
        <w:spacing w:after="100" w:before="0"/>
      </w:pPr>
    </w:p>
    <w:p>
      <w:r>
        <w:br w:type="page"/>
      </w:r>
    </w:p>
    <w:p>
      <w:pPr>
        <w:pStyle w:val="Heading1"/>
      </w:pPr>
      <w:r>
        <w:rPr>
          <w:rFonts w:ascii="Arial" w:cs="Arial" w:eastAsia="Arial" w:hAnsi="Arial"/>
          <w:b/>
          <w:bCs/>
          <w:color w:val="1a1a2e"/>
          <w:sz w:val="36"/>
          <w:szCs w:val="36"/>
        </w:rPr>
        <w:t xml:space="preserve">4. Incidents recents - Mai 2026</w:t>
      </w:r>
    </w:p>
    <w:p>
      <w:pPr>
        <w:spacing w:after="60" w:before="40"/>
        <w:jc w:val="both"/>
      </w:pPr>
      <w:r>
        <w:rPr>
          <w:rFonts w:ascii="Arial" w:cs="Arial" w:eastAsia="Arial" w:hAnsi="Arial"/>
          <w:i/>
          <w:iCs/>
          <w:color w:val="5F5E5A"/>
          <w:sz w:val="16"/>
          <w:szCs w:val="16"/>
        </w:rPr>
        <w:t xml:space="preserve">Sources : ZATAZ.com, Le Monde Informatique, Info.gouv.fr</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
        <w:gridCol w:w="8966"/>
      </w:tblGrid>
      <w:tr>
        <w:tc>
          <w:tcPr>
            <w:tcW w:type="dxa" w:w="60"/>
            <w:tcBorders>
              <w:top w:val="none" w:color="FFFFFF" w:sz="0"/>
              <w:left w:val="single" w:color="A32D2D" w:sz="12"/>
              <w:bottom w:val="none" w:color="FFFFFF" w:sz="0"/>
              <w:right w:val="none" w:color="FFFFFF" w:sz="0"/>
            </w:tcBorders>
            <w:shd w:fill="FFFFFF" w:val="clear"/>
          </w:tcPr>
          <w:p/>
        </w:tc>
        <w:tc>
          <w:tcPr>
            <w:tcW w:type="dxa" w:w="8966"/>
            <w:tcBorders>
              <w:top w:val="single" w:color="D3D1C7" w:sz="1"/>
              <w:left w:val="single" w:color="D3D1C7" w:sz="1"/>
              <w:bottom w:val="single" w:color="D3D1C7" w:sz="1"/>
              <w:right w:val="single" w:color="D3D1C7" w:sz="1"/>
            </w:tcBorders>
            <w:shd w:fill="FFFFFF" w:val="clear"/>
            <w:tcMar>
              <w:top w:type="dxa" w:w="120"/>
              <w:left w:type="dxa" w:w="160"/>
              <w:bottom w:type="dxa" w:w="100"/>
              <w:right w:type="dxa" w:w="120"/>
            </w:tcMar>
          </w:tcPr>
          <w:tbl>
            <w:tblPr>
              <w:tblW w:type="dxa" w:w="8686"/>
              <w:tblBorders>
                <w:top w:val="single" w:color="auto" w:sz="4"/>
                <w:left w:val="single" w:color="auto" w:sz="4"/>
                <w:bottom w:val="single" w:color="auto" w:sz="4"/>
                <w:right w:val="single" w:color="auto" w:sz="4"/>
                <w:insideH w:val="single" w:color="auto" w:sz="4"/>
                <w:insideV w:val="single" w:color="auto" w:sz="4"/>
              </w:tblBorders>
            </w:tblPr>
            <w:tblGrid>
              <w:gridCol w:w="7466"/>
              <w:gridCol w:w="1200"/>
            </w:tblGrid>
            <w:tr>
              <w:tc>
                <w:tcPr>
                  <w:tcW w:type="dxa" w:w="746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2"/>
                      <w:szCs w:val="22"/>
                    </w:rPr>
                    <w:t xml:space="preserve">Cyberattaque contre l ANTS - 15 avril 2026</w:t>
                  </w:r>
                </w:p>
              </w:tc>
              <w:tc>
                <w:tcPr>
                  <w:tcW w:type="dxa" w:w="1200"/>
                  <w:tcBorders>
                    <w:top w:val="none" w:color="FFFFFF" w:sz="0"/>
                    <w:left w:val="none" w:color="FFFFFF" w:sz="0"/>
                    <w:bottom w:val="none" w:color="FFFFFF" w:sz="0"/>
                    <w:right w:val="none" w:color="FFFFFF" w:sz="0"/>
                  </w:tcBorders>
                  <w:shd w:fill="FCEBEB" w:val="clear"/>
                  <w:tcMar>
                    <w:top w:type="dxa" w:w="40"/>
                    <w:left w:type="dxa" w:w="60"/>
                    <w:bottom w:type="dxa" w:w="40"/>
                    <w:right w:type="dxa" w:w="60"/>
                  </w:tcMar>
                  <w:vAlign w:val="center"/>
                </w:tcPr>
                <w:p>
                  <w:pPr>
                    <w:jc w:val="center"/>
                  </w:pPr>
                  <w:r>
                    <w:rPr>
                      <w:rFonts w:ascii="Arial" w:cs="Arial" w:eastAsia="Arial" w:hAnsi="Arial"/>
                      <w:b/>
                      <w:bCs/>
                      <w:color w:val="A32D2D"/>
                      <w:sz w:val="16"/>
                      <w:szCs w:val="16"/>
                    </w:rPr>
                    <w:t xml:space="preserve">Etat / critique</w:t>
                  </w:r>
                </w:p>
              </w:tc>
            </w:tr>
          </w:tbl>
          <w:p>
            <w:pPr>
              <w:spacing w:after="60" w:before="80"/>
              <w:jc w:val="both"/>
            </w:pPr>
            <w:r>
              <w:rPr>
                <w:rFonts w:ascii="Arial" w:cs="Arial" w:eastAsia="Arial" w:hAnsi="Arial"/>
                <w:color w:val="444441"/>
                <w:sz w:val="20"/>
                <w:szCs w:val="20"/>
              </w:rPr>
              <w:t xml:space="preserve">Le portail France Titres (ANTS) a subi une cyberattaque massive le 15 avril 2026. Les donnees de 12 millions de particuliers et professionnels ont ete compromises. Un mineur de 15 ans a ete interpelle.</w:t>
            </w:r>
          </w:p>
          <w:p>
            <w:pPr>
              <w:spacing w:after="60" w:before="40"/>
              <w:jc w:val="both"/>
            </w:pPr>
            <w:r>
              <w:rPr>
                <w:rFonts w:ascii="Arial" w:cs="Arial" w:eastAsia="Arial" w:hAnsi="Arial"/>
                <w:i/>
                <w:iCs/>
                <w:color w:val="5F5E5A"/>
                <w:sz w:val="16"/>
                <w:szCs w:val="16"/>
              </w:rPr>
              <w:t xml:space="preserve">Sources : Info.gouv.fr / ZATAZ / LCP - 30 avril 2026</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
        <w:gridCol w:w="8966"/>
      </w:tblGrid>
      <w:tr>
        <w:tc>
          <w:tcPr>
            <w:tcW w:type="dxa" w:w="60"/>
            <w:tcBorders>
              <w:top w:val="none" w:color="FFFFFF" w:sz="0"/>
              <w:left w:val="single" w:color="854F0B" w:sz="12"/>
              <w:bottom w:val="none" w:color="FFFFFF" w:sz="0"/>
              <w:right w:val="none" w:color="FFFFFF" w:sz="0"/>
            </w:tcBorders>
            <w:shd w:fill="FFFFFF" w:val="clear"/>
          </w:tcPr>
          <w:p/>
        </w:tc>
        <w:tc>
          <w:tcPr>
            <w:tcW w:type="dxa" w:w="8966"/>
            <w:tcBorders>
              <w:top w:val="single" w:color="D3D1C7" w:sz="1"/>
              <w:left w:val="single" w:color="D3D1C7" w:sz="1"/>
              <w:bottom w:val="single" w:color="D3D1C7" w:sz="1"/>
              <w:right w:val="single" w:color="D3D1C7" w:sz="1"/>
            </w:tcBorders>
            <w:shd w:fill="FFFFFF" w:val="clear"/>
            <w:tcMar>
              <w:top w:type="dxa" w:w="120"/>
              <w:left w:type="dxa" w:w="160"/>
              <w:bottom w:type="dxa" w:w="100"/>
              <w:right w:type="dxa" w:w="120"/>
            </w:tcMar>
          </w:tcPr>
          <w:tbl>
            <w:tblPr>
              <w:tblW w:type="dxa" w:w="8686"/>
              <w:tblBorders>
                <w:top w:val="single" w:color="auto" w:sz="4"/>
                <w:left w:val="single" w:color="auto" w:sz="4"/>
                <w:bottom w:val="single" w:color="auto" w:sz="4"/>
                <w:right w:val="single" w:color="auto" w:sz="4"/>
                <w:insideH w:val="single" w:color="auto" w:sz="4"/>
                <w:insideV w:val="single" w:color="auto" w:sz="4"/>
              </w:tblBorders>
            </w:tblPr>
            <w:tblGrid>
              <w:gridCol w:w="7466"/>
              <w:gridCol w:w="1200"/>
            </w:tblGrid>
            <w:tr>
              <w:tc>
                <w:tcPr>
                  <w:tcW w:type="dxa" w:w="746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2"/>
                      <w:szCs w:val="22"/>
                    </w:rPr>
                    <w:t xml:space="preserve">Quiberon frappee par le ransomiciel Qilin - 6 mai 2026</w:t>
                  </w:r>
                </w:p>
              </w:tc>
              <w:tc>
                <w:tcPr>
                  <w:tcW w:type="dxa" w:w="1200"/>
                  <w:tcBorders>
                    <w:top w:val="none" w:color="FFFFFF" w:sz="0"/>
                    <w:left w:val="none" w:color="FFFFFF" w:sz="0"/>
                    <w:bottom w:val="none" w:color="FFFFFF" w:sz="0"/>
                    <w:right w:val="none" w:color="FFFFFF" w:sz="0"/>
                  </w:tcBorders>
                  <w:shd w:fill="FAEEDA" w:val="clear"/>
                  <w:tcMar>
                    <w:top w:type="dxa" w:w="40"/>
                    <w:left w:type="dxa" w:w="60"/>
                    <w:bottom w:type="dxa" w:w="40"/>
                    <w:right w:type="dxa" w:w="60"/>
                  </w:tcMar>
                  <w:vAlign w:val="center"/>
                </w:tcPr>
                <w:p>
                  <w:pPr>
                    <w:jc w:val="center"/>
                  </w:pPr>
                  <w:r>
                    <w:rPr>
                      <w:rFonts w:ascii="Arial" w:cs="Arial" w:eastAsia="Arial" w:hAnsi="Arial"/>
                      <w:b/>
                      <w:bCs/>
                      <w:color w:val="854F0B"/>
                      <w:sz w:val="16"/>
                      <w:szCs w:val="16"/>
                    </w:rPr>
                    <w:t xml:space="preserve">Collectivite</w:t>
                  </w:r>
                </w:p>
              </w:tc>
            </w:tr>
          </w:tbl>
          <w:p>
            <w:pPr>
              <w:spacing w:after="60" w:before="80"/>
              <w:jc w:val="both"/>
            </w:pPr>
            <w:r>
              <w:rPr>
                <w:rFonts w:ascii="Arial" w:cs="Arial" w:eastAsia="Arial" w:hAnsi="Arial"/>
                <w:color w:val="444441"/>
                <w:sz w:val="20"/>
                <w:szCs w:val="20"/>
              </w:rPr>
              <w:t xml:space="preserve">La mairie de Quiberon a subi une attaque revendiquee par le groupe Qilin sur le darkweb. L activite municipale a ete perturbee. Qilin est un groupe RaaS actif depuis 2022.</w:t>
            </w:r>
          </w:p>
          <w:p>
            <w:pPr>
              <w:spacing w:after="60" w:before="40"/>
              <w:jc w:val="both"/>
            </w:pPr>
            <w:r>
              <w:rPr>
                <w:rFonts w:ascii="Arial" w:cs="Arial" w:eastAsia="Arial" w:hAnsi="Arial"/>
                <w:i/>
                <w:iCs/>
                <w:color w:val="5F5E5A"/>
                <w:sz w:val="16"/>
                <w:szCs w:val="16"/>
              </w:rPr>
              <w:t xml:space="preserve">Source : ZATAZ.com - 8 mai 2026</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
        <w:gridCol w:w="8966"/>
      </w:tblGrid>
      <w:tr>
        <w:tc>
          <w:tcPr>
            <w:tcW w:type="dxa" w:w="60"/>
            <w:tcBorders>
              <w:top w:val="none" w:color="FFFFFF" w:sz="0"/>
              <w:left w:val="single" w:color="185FA5" w:sz="12"/>
              <w:bottom w:val="none" w:color="FFFFFF" w:sz="0"/>
              <w:right w:val="none" w:color="FFFFFF" w:sz="0"/>
            </w:tcBorders>
            <w:shd w:fill="FFFFFF" w:val="clear"/>
          </w:tcPr>
          <w:p/>
        </w:tc>
        <w:tc>
          <w:tcPr>
            <w:tcW w:type="dxa" w:w="8966"/>
            <w:tcBorders>
              <w:top w:val="single" w:color="D3D1C7" w:sz="1"/>
              <w:left w:val="single" w:color="D3D1C7" w:sz="1"/>
              <w:bottom w:val="single" w:color="D3D1C7" w:sz="1"/>
              <w:right w:val="single" w:color="D3D1C7" w:sz="1"/>
            </w:tcBorders>
            <w:shd w:fill="FFFFFF" w:val="clear"/>
            <w:tcMar>
              <w:top w:type="dxa" w:w="120"/>
              <w:left w:type="dxa" w:w="160"/>
              <w:bottom w:type="dxa" w:w="100"/>
              <w:right w:type="dxa" w:w="120"/>
            </w:tcMar>
          </w:tcPr>
          <w:tbl>
            <w:tblPr>
              <w:tblW w:type="dxa" w:w="8686"/>
              <w:tblBorders>
                <w:top w:val="single" w:color="auto" w:sz="4"/>
                <w:left w:val="single" w:color="auto" w:sz="4"/>
                <w:bottom w:val="single" w:color="auto" w:sz="4"/>
                <w:right w:val="single" w:color="auto" w:sz="4"/>
                <w:insideH w:val="single" w:color="auto" w:sz="4"/>
                <w:insideV w:val="single" w:color="auto" w:sz="4"/>
              </w:tblBorders>
            </w:tblPr>
            <w:tblGrid>
              <w:gridCol w:w="7466"/>
              <w:gridCol w:w="1200"/>
            </w:tblGrid>
            <w:tr>
              <w:tc>
                <w:tcPr>
                  <w:tcW w:type="dxa" w:w="746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2"/>
                      <w:szCs w:val="22"/>
                    </w:rPr>
                    <w:t xml:space="preserve">Cyberattaque contre Warner Bros France - mars 2026</w:t>
                  </w:r>
                </w:p>
              </w:tc>
              <w:tc>
                <w:tcPr>
                  <w:tcW w:type="dxa" w:w="1200"/>
                  <w:tcBorders>
                    <w:top w:val="none" w:color="FFFFFF" w:sz="0"/>
                    <w:left w:val="none" w:color="FFFFFF" w:sz="0"/>
                    <w:bottom w:val="none" w:color="FFFFFF" w:sz="0"/>
                    <w:right w:val="none" w:color="FFFFFF" w:sz="0"/>
                  </w:tcBorders>
                  <w:shd w:fill="E6F1FB" w:val="clear"/>
                  <w:tcMar>
                    <w:top w:type="dxa" w:w="40"/>
                    <w:left w:type="dxa" w:w="60"/>
                    <w:bottom w:type="dxa" w:w="40"/>
                    <w:right w:type="dxa" w:w="60"/>
                  </w:tcMar>
                  <w:vAlign w:val="center"/>
                </w:tcPr>
                <w:p>
                  <w:pPr>
                    <w:jc w:val="center"/>
                  </w:pPr>
                  <w:r>
                    <w:rPr>
                      <w:rFonts w:ascii="Arial" w:cs="Arial" w:eastAsia="Arial" w:hAnsi="Arial"/>
                      <w:b/>
                      <w:bCs/>
                      <w:color w:val="185FA5"/>
                      <w:sz w:val="16"/>
                      <w:szCs w:val="16"/>
                    </w:rPr>
                    <w:t xml:space="preserve">Entreprise</w:t>
                  </w:r>
                </w:p>
              </w:tc>
            </w:tr>
          </w:tbl>
          <w:p>
            <w:pPr>
              <w:spacing w:after="60" w:before="80"/>
              <w:jc w:val="both"/>
            </w:pPr>
            <w:r>
              <w:rPr>
                <w:rFonts w:ascii="Arial" w:cs="Arial" w:eastAsia="Arial" w:hAnsi="Arial"/>
                <w:color w:val="444441"/>
                <w:sz w:val="20"/>
                <w:szCs w:val="20"/>
              </w:rPr>
              <w:t xml:space="preserve">Depuis mars 2026, plusieurs sous-domaines de warnerbros.fr ont ete victimes d une operation de defacement. Groupes pirates impliques : Simsimi, Vandathegod.</w:t>
            </w:r>
          </w:p>
          <w:p>
            <w:pPr>
              <w:spacing w:after="60" w:before="40"/>
              <w:jc w:val="both"/>
            </w:pPr>
            <w:r>
              <w:rPr>
                <w:rFonts w:ascii="Arial" w:cs="Arial" w:eastAsia="Arial" w:hAnsi="Arial"/>
                <w:i/>
                <w:iCs/>
                <w:color w:val="5F5E5A"/>
                <w:sz w:val="16"/>
                <w:szCs w:val="16"/>
              </w:rPr>
              <w:t xml:space="preserve">Source : ZATAZ.com - avril 2026</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
        <w:gridCol w:w="8966"/>
      </w:tblGrid>
      <w:tr>
        <w:tc>
          <w:tcPr>
            <w:tcW w:type="dxa" w:w="60"/>
            <w:tcBorders>
              <w:top w:val="none" w:color="FFFFFF" w:sz="0"/>
              <w:left w:val="single" w:color="5F5E5A" w:sz="12"/>
              <w:bottom w:val="none" w:color="FFFFFF" w:sz="0"/>
              <w:right w:val="none" w:color="FFFFFF" w:sz="0"/>
            </w:tcBorders>
            <w:shd w:fill="FFFFFF" w:val="clear"/>
          </w:tcPr>
          <w:p/>
        </w:tc>
        <w:tc>
          <w:tcPr>
            <w:tcW w:type="dxa" w:w="8966"/>
            <w:tcBorders>
              <w:top w:val="single" w:color="D3D1C7" w:sz="1"/>
              <w:left w:val="single" w:color="D3D1C7" w:sz="1"/>
              <w:bottom w:val="single" w:color="D3D1C7" w:sz="1"/>
              <w:right w:val="single" w:color="D3D1C7" w:sz="1"/>
            </w:tcBorders>
            <w:shd w:fill="FFFFFF" w:val="clear"/>
            <w:tcMar>
              <w:top w:type="dxa" w:w="120"/>
              <w:left w:type="dxa" w:w="160"/>
              <w:bottom w:type="dxa" w:w="100"/>
              <w:right w:type="dxa" w:w="120"/>
            </w:tcMar>
          </w:tcPr>
          <w:tbl>
            <w:tblPr>
              <w:tblW w:type="dxa" w:w="8686"/>
              <w:tblBorders>
                <w:top w:val="single" w:color="auto" w:sz="4"/>
                <w:left w:val="single" w:color="auto" w:sz="4"/>
                <w:bottom w:val="single" w:color="auto" w:sz="4"/>
                <w:right w:val="single" w:color="auto" w:sz="4"/>
                <w:insideH w:val="single" w:color="auto" w:sz="4"/>
                <w:insideV w:val="single" w:color="auto" w:sz="4"/>
              </w:tblBorders>
            </w:tblPr>
            <w:tblGrid>
              <w:gridCol w:w="7466"/>
              <w:gridCol w:w="1200"/>
            </w:tblGrid>
            <w:tr>
              <w:tc>
                <w:tcPr>
                  <w:tcW w:type="dxa" w:w="746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2"/>
                      <w:szCs w:val="22"/>
                    </w:rPr>
                    <w:t xml:space="preserve">Fuites donnees McDonald s France, Meetic, LDLC - mai 2026</w:t>
                  </w:r>
                </w:p>
              </w:tc>
              <w:tc>
                <w:tcPr>
                  <w:tcW w:type="dxa" w:w="1200"/>
                  <w:tcBorders>
                    <w:top w:val="none" w:color="FFFFFF" w:sz="0"/>
                    <w:left w:val="none" w:color="FFFFFF" w:sz="0"/>
                    <w:bottom w:val="none" w:color="FFFFFF" w:sz="0"/>
                    <w:right w:val="none" w:color="FFFFFF" w:sz="0"/>
                  </w:tcBorders>
                  <w:shd w:fill="F1EFE8" w:val="clear"/>
                  <w:tcMar>
                    <w:top w:type="dxa" w:w="40"/>
                    <w:left w:type="dxa" w:w="60"/>
                    <w:bottom w:type="dxa" w:w="40"/>
                    <w:right w:type="dxa" w:w="60"/>
                  </w:tcMar>
                  <w:vAlign w:val="center"/>
                </w:tcPr>
                <w:p>
                  <w:pPr>
                    <w:jc w:val="center"/>
                  </w:pPr>
                  <w:r>
                    <w:rPr>
                      <w:rFonts w:ascii="Arial" w:cs="Arial" w:eastAsia="Arial" w:hAnsi="Arial"/>
                      <w:b/>
                      <w:bCs/>
                      <w:color w:val="5F5E5A"/>
                      <w:sz w:val="16"/>
                      <w:szCs w:val="16"/>
                    </w:rPr>
                    <w:t xml:space="preserve">Entreprises</w:t>
                  </w:r>
                </w:p>
              </w:tc>
            </w:tr>
          </w:tbl>
          <w:p>
            <w:pPr>
              <w:spacing w:after="60" w:before="80"/>
              <w:jc w:val="both"/>
            </w:pPr>
            <w:r>
              <w:rPr>
                <w:rFonts w:ascii="Arial" w:cs="Arial" w:eastAsia="Arial" w:hAnsi="Arial"/>
                <w:color w:val="444441"/>
                <w:sz w:val="20"/>
                <w:szCs w:val="20"/>
              </w:rPr>
              <w:t xml:space="preserve">Plusieurs entreprises du secteur grand public touchees par des fuites de bases de donnees clients. Risque sur les cartes fidelite, coordonnees et historiques d achat.</w:t>
            </w:r>
          </w:p>
          <w:p>
            <w:pPr>
              <w:spacing w:after="60" w:before="40"/>
              <w:jc w:val="both"/>
            </w:pPr>
            <w:r>
              <w:rPr>
                <w:rFonts w:ascii="Arial" w:cs="Arial" w:eastAsia="Arial" w:hAnsi="Arial"/>
                <w:i/>
                <w:iCs/>
                <w:color w:val="5F5E5A"/>
                <w:sz w:val="16"/>
                <w:szCs w:val="16"/>
              </w:rPr>
              <w:t xml:space="preserve">Source : ZATAZ.com - semaine du 11-16 mai 2026</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
        <w:gridCol w:w="8966"/>
      </w:tblGrid>
      <w:tr>
        <w:tc>
          <w:tcPr>
            <w:tcW w:type="dxa" w:w="60"/>
            <w:tcBorders>
              <w:top w:val="none" w:color="FFFFFF" w:sz="0"/>
              <w:left w:val="single" w:color="534AB7" w:sz="12"/>
              <w:bottom w:val="none" w:color="FFFFFF" w:sz="0"/>
              <w:right w:val="none" w:color="FFFFFF" w:sz="0"/>
            </w:tcBorders>
            <w:shd w:fill="FFFFFF" w:val="clear"/>
          </w:tcPr>
          <w:p/>
        </w:tc>
        <w:tc>
          <w:tcPr>
            <w:tcW w:type="dxa" w:w="8966"/>
            <w:tcBorders>
              <w:top w:val="single" w:color="D3D1C7" w:sz="1"/>
              <w:left w:val="single" w:color="D3D1C7" w:sz="1"/>
              <w:bottom w:val="single" w:color="D3D1C7" w:sz="1"/>
              <w:right w:val="single" w:color="D3D1C7" w:sz="1"/>
            </w:tcBorders>
            <w:shd w:fill="FFFFFF" w:val="clear"/>
            <w:tcMar>
              <w:top w:type="dxa" w:w="120"/>
              <w:left w:type="dxa" w:w="160"/>
              <w:bottom w:type="dxa" w:w="100"/>
              <w:right w:type="dxa" w:w="120"/>
            </w:tcMar>
          </w:tcPr>
          <w:tbl>
            <w:tblPr>
              <w:tblW w:type="dxa" w:w="8686"/>
              <w:tblBorders>
                <w:top w:val="single" w:color="auto" w:sz="4"/>
                <w:left w:val="single" w:color="auto" w:sz="4"/>
                <w:bottom w:val="single" w:color="auto" w:sz="4"/>
                <w:right w:val="single" w:color="auto" w:sz="4"/>
                <w:insideH w:val="single" w:color="auto" w:sz="4"/>
                <w:insideV w:val="single" w:color="auto" w:sz="4"/>
              </w:tblBorders>
            </w:tblPr>
            <w:tblGrid>
              <w:gridCol w:w="7466"/>
              <w:gridCol w:w="1200"/>
            </w:tblGrid>
            <w:tr>
              <w:tc>
                <w:tcPr>
                  <w:tcW w:type="dxa" w:w="7466"/>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r>
                    <w:rPr>
                      <w:rFonts w:ascii="Arial" w:cs="Arial" w:eastAsia="Arial" w:hAnsi="Arial"/>
                      <w:b/>
                      <w:bCs/>
                      <w:color w:val="1a1a2e"/>
                      <w:sz w:val="22"/>
                      <w:szCs w:val="22"/>
                    </w:rPr>
                    <w:t xml:space="preserve">ChimeraZ cible le tourisme francais - mai 2026</w:t>
                  </w:r>
                </w:p>
              </w:tc>
              <w:tc>
                <w:tcPr>
                  <w:tcW w:type="dxa" w:w="1200"/>
                  <w:tcBorders>
                    <w:top w:val="none" w:color="FFFFFF" w:sz="0"/>
                    <w:left w:val="none" w:color="FFFFFF" w:sz="0"/>
                    <w:bottom w:val="none" w:color="FFFFFF" w:sz="0"/>
                    <w:right w:val="none" w:color="FFFFFF" w:sz="0"/>
                  </w:tcBorders>
                  <w:shd w:fill="EEEDFE" w:val="clear"/>
                  <w:tcMar>
                    <w:top w:type="dxa" w:w="40"/>
                    <w:left w:type="dxa" w:w="60"/>
                    <w:bottom w:type="dxa" w:w="40"/>
                    <w:right w:type="dxa" w:w="60"/>
                  </w:tcMar>
                  <w:vAlign w:val="center"/>
                </w:tcPr>
                <w:p>
                  <w:pPr>
                    <w:jc w:val="center"/>
                  </w:pPr>
                  <w:r>
                    <w:rPr>
                      <w:rFonts w:ascii="Arial" w:cs="Arial" w:eastAsia="Arial" w:hAnsi="Arial"/>
                      <w:b/>
                      <w:bCs/>
                      <w:color w:val="534AB7"/>
                      <w:sz w:val="16"/>
                      <w:szCs w:val="16"/>
                    </w:rPr>
                    <w:t xml:space="preserve">Secteur strategique</w:t>
                  </w:r>
                </w:p>
              </w:tc>
            </w:tr>
          </w:tbl>
          <w:p>
            <w:pPr>
              <w:spacing w:after="60" w:before="80"/>
              <w:jc w:val="both"/>
            </w:pPr>
            <w:r>
              <w:rPr>
                <w:rFonts w:ascii="Arial" w:cs="Arial" w:eastAsia="Arial" w:hAnsi="Arial"/>
                <w:color w:val="444441"/>
                <w:sz w:val="20"/>
                <w:szCs w:val="20"/>
              </w:rPr>
              <w:t xml:space="preserve">Un acteur malveillant identifie sous le pseudonyme ChimeraZ revendique des fuites visant le secteur du tourisme francais. Ce ciblage sectoriel illustre la professionnalisation des attaquants.</w:t>
            </w:r>
          </w:p>
          <w:p>
            <w:pPr>
              <w:spacing w:after="60" w:before="40"/>
              <w:jc w:val="both"/>
            </w:pPr>
            <w:r>
              <w:rPr>
                <w:rFonts w:ascii="Arial" w:cs="Arial" w:eastAsia="Arial" w:hAnsi="Arial"/>
                <w:i/>
                <w:iCs/>
                <w:color w:val="5F5E5A"/>
                <w:sz w:val="16"/>
                <w:szCs w:val="16"/>
              </w:rPr>
              <w:t xml:space="preserve">Source : ZATAZ.com - semaine du 19-23 mai 2026</w:t>
            </w:r>
          </w:p>
        </w:tc>
      </w:tr>
    </w:tbl>
    <w:p>
      <w:pPr>
        <w:spacing w:after="100" w:before="0"/>
      </w:pPr>
    </w:p>
    <w:p>
      <w:r>
        <w:br w:type="page"/>
      </w:r>
    </w:p>
    <w:p>
      <w:pPr>
        <w:pStyle w:val="Heading1"/>
      </w:pPr>
      <w:r>
        <w:rPr>
          <w:rFonts w:ascii="Arial" w:cs="Arial" w:eastAsia="Arial" w:hAnsi="Arial"/>
          <w:b/>
          <w:bCs/>
          <w:color w:val="1a1a2e"/>
          <w:sz w:val="36"/>
          <w:szCs w:val="36"/>
        </w:rPr>
        <w:t xml:space="preserve">5. Plan d action gouvernemental - 30 avril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EEDA" w:val="clear"/>
            <w:tcMar>
              <w:top w:type="dxa" w:w="120"/>
              <w:left w:type="dxa" w:w="180"/>
              <w:bottom w:type="dxa" w:w="100"/>
              <w:right w:type="dxa" w:w="120"/>
            </w:tcMar>
          </w:tcPr>
          <w:p>
            <w:pPr>
              <w:spacing w:after="80" w:before="60"/>
              <w:jc w:val="both"/>
            </w:pPr>
            <w:r>
              <w:rPr>
                <w:rFonts w:ascii="Arial" w:cs="Arial" w:eastAsia="Arial" w:hAnsi="Arial"/>
                <w:color w:val="444441"/>
                <w:sz w:val="20"/>
                <w:szCs w:val="20"/>
              </w:rPr>
              <w:t xml:space="preserve">Face a une serie de cyberattaques majeures visant les SI de l Etat (ANTS, ANFR), le Premier ministre Sebastien Lecornu a qualifie la situation d assez grave et annonce un plan d action en 3 axes.</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single" w:color="854F0B" w:sz="12"/>
              <w:bottom w:val="none" w:color="FFFFFF" w:sz="0"/>
              <w:right w:val="none" w:color="FFFFFF" w:sz="0"/>
            </w:tcBorders>
            <w:shd w:fill="FAEEDA" w:val="clear"/>
            <w:tcMar>
              <w:top w:type="dxa" w:w="100"/>
              <w:left w:type="dxa" w:w="100"/>
              <w:bottom w:type="dxa" w:w="100"/>
              <w:right w:type="dxa" w:w="100"/>
            </w:tcMar>
            <w:vAlign w:val="center"/>
          </w:tcPr>
          <w:p>
            <w:pPr>
              <w:jc w:val="center"/>
            </w:pPr>
            <w:r>
              <w:rPr>
                <w:rFonts w:ascii="Arial" w:cs="Arial" w:eastAsia="Arial" w:hAnsi="Arial"/>
                <w:b/>
                <w:bCs/>
                <w:color w:val="854F0B"/>
                <w:sz w:val="18"/>
                <w:szCs w:val="18"/>
              </w:rPr>
              <w:t xml:space="preserve">AXE 1</w:t>
            </w:r>
          </w:p>
        </w:tc>
        <w:tc>
          <w:tcPr>
            <w:tcW w:type="dxa" w:w="832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20"/>
            </w:tcMar>
          </w:tcPr>
          <w:p>
            <w:pPr>
              <w:spacing w:after="60" w:before="0"/>
            </w:pPr>
            <w:r>
              <w:rPr>
                <w:rFonts w:ascii="Arial" w:cs="Arial" w:eastAsia="Arial" w:hAnsi="Arial"/>
                <w:b/>
                <w:bCs/>
                <w:color w:val="1a1a2e"/>
                <w:sz w:val="20"/>
                <w:szCs w:val="20"/>
              </w:rPr>
              <w:t xml:space="preserve">200 M euros debloques d urgence</w:t>
            </w:r>
          </w:p>
          <w:p>
            <w:pPr>
              <w:spacing w:after="0" w:before="0"/>
              <w:jc w:val="both"/>
            </w:pPr>
            <w:r>
              <w:rPr>
                <w:rFonts w:ascii="Arial" w:cs="Arial" w:eastAsia="Arial" w:hAnsi="Arial"/>
                <w:color w:val="444441"/>
                <w:sz w:val="20"/>
                <w:szCs w:val="20"/>
              </w:rPr>
              <w:t xml:space="preserve">Une enveloppe de 200 millions d euros issue du programme France 2030 est mobilisee pour moderniser les infrastructures numeriques. Les amendes de la CNIL seront affectees a un fonds de modernisation numerique.</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single" w:color="534AB7" w:sz="12"/>
              <w:bottom w:val="none" w:color="FFFFFF" w:sz="0"/>
              <w:right w:val="none" w:color="FFFFFF" w:sz="0"/>
            </w:tcBorders>
            <w:shd w:fill="EEEDFE" w:val="clear"/>
            <w:tcMar>
              <w:top w:type="dxa" w:w="100"/>
              <w:left w:type="dxa" w:w="100"/>
              <w:bottom w:type="dxa" w:w="100"/>
              <w:right w:type="dxa" w:w="100"/>
            </w:tcMar>
            <w:vAlign w:val="center"/>
          </w:tcPr>
          <w:p>
            <w:pPr>
              <w:jc w:val="center"/>
            </w:pPr>
            <w:r>
              <w:rPr>
                <w:rFonts w:ascii="Arial" w:cs="Arial" w:eastAsia="Arial" w:hAnsi="Arial"/>
                <w:b/>
                <w:bCs/>
                <w:color w:val="534AB7"/>
                <w:sz w:val="18"/>
                <w:szCs w:val="18"/>
              </w:rPr>
              <w:t xml:space="preserve">AXE 2</w:t>
            </w:r>
          </w:p>
        </w:tc>
        <w:tc>
          <w:tcPr>
            <w:tcW w:type="dxa" w:w="832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20"/>
            </w:tcMar>
          </w:tcPr>
          <w:p>
            <w:pPr>
              <w:spacing w:after="60" w:before="0"/>
            </w:pPr>
            <w:r>
              <w:rPr>
                <w:rFonts w:ascii="Arial" w:cs="Arial" w:eastAsia="Arial" w:hAnsi="Arial"/>
                <w:b/>
                <w:bCs/>
                <w:color w:val="1a1a2e"/>
                <w:sz w:val="20"/>
                <w:szCs w:val="20"/>
              </w:rPr>
              <w:t xml:space="preserve">Creation d une autorite numerique de l Etat</w:t>
            </w:r>
          </w:p>
          <w:p>
            <w:pPr>
              <w:spacing w:after="0" w:before="0"/>
              <w:jc w:val="both"/>
            </w:pPr>
            <w:r>
              <w:rPr>
                <w:rFonts w:ascii="Arial" w:cs="Arial" w:eastAsia="Arial" w:hAnsi="Arial"/>
                <w:color w:val="444441"/>
                <w:sz w:val="20"/>
                <w:szCs w:val="20"/>
              </w:rPr>
              <w:t xml:space="preserve">Fusion de la DINUM et de la DITP pour creer une autorite numerique unifiee aupres du Premier ministre. Mission : standardisation et securisation des infrastructures numeriques de tous les ministeres.</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single" w:color="0F6E56" w:sz="12"/>
              <w:bottom w:val="none" w:color="FFFFFF" w:sz="0"/>
              <w:right w:val="none" w:color="FFFFFF" w:sz="0"/>
            </w:tcBorders>
            <w:shd w:fill="E1F5EE" w:val="clear"/>
            <w:tcMar>
              <w:top w:type="dxa" w:w="100"/>
              <w:left w:type="dxa" w:w="100"/>
              <w:bottom w:type="dxa" w:w="100"/>
              <w:right w:type="dxa" w:w="100"/>
            </w:tcMar>
            <w:vAlign w:val="center"/>
          </w:tcPr>
          <w:p>
            <w:pPr>
              <w:jc w:val="center"/>
            </w:pPr>
            <w:r>
              <w:rPr>
                <w:rFonts w:ascii="Arial" w:cs="Arial" w:eastAsia="Arial" w:hAnsi="Arial"/>
                <w:b/>
                <w:bCs/>
                <w:color w:val="0F6E56"/>
                <w:sz w:val="18"/>
                <w:szCs w:val="18"/>
              </w:rPr>
              <w:t xml:space="preserve">AXE 3</w:t>
            </w:r>
          </w:p>
        </w:tc>
        <w:tc>
          <w:tcPr>
            <w:tcW w:type="dxa" w:w="832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20"/>
            </w:tcMar>
          </w:tcPr>
          <w:p>
            <w:pPr>
              <w:spacing w:after="60" w:before="0"/>
            </w:pPr>
            <w:r>
              <w:rPr>
                <w:rFonts w:ascii="Arial" w:cs="Arial" w:eastAsia="Arial" w:hAnsi="Arial"/>
                <w:b/>
                <w:bCs/>
                <w:color w:val="1a1a2e"/>
                <w:sz w:val="20"/>
                <w:szCs w:val="20"/>
              </w:rPr>
              <w:t xml:space="preserve">Obligation des 5% et tests d intrusion</w:t>
            </w:r>
          </w:p>
          <w:p>
            <w:pPr>
              <w:spacing w:after="0" w:before="0"/>
              <w:jc w:val="both"/>
            </w:pPr>
            <w:r>
              <w:rPr>
                <w:rFonts w:ascii="Arial" w:cs="Arial" w:eastAsia="Arial" w:hAnsi="Arial"/>
                <w:color w:val="444441"/>
                <w:sz w:val="20"/>
                <w:szCs w:val="20"/>
              </w:rPr>
              <w:t xml:space="preserve">Instruction de mener des pentests sur les systemes etatiques. Objectif : imposer a toutes les administrations de consacrer au minimum 5% de leur budget IT a la cybersecurite.</w:t>
            </w:r>
          </w:p>
        </w:tc>
      </w:tr>
    </w:tbl>
    <w:p>
      <w:pPr>
        <w:spacing w:after="100" w:before="0"/>
      </w:pPr>
    </w:p>
    <w:p>
      <w:pPr>
        <w:spacing w:after="60" w:before="200"/>
      </w:pPr>
      <w:r>
        <w:rPr>
          <w:rFonts w:ascii="Arial" w:cs="Arial" w:eastAsia="Arial" w:hAnsi="Arial"/>
          <w:b/>
          <w:bCs/>
          <w:color w:val="5F5E5A"/>
          <w:sz w:val="18"/>
          <w:szCs w:val="18"/>
        </w:rPr>
        <w:t xml:space="preserve">STRATEGIE NATIONALE CYBERSECURITE 2026-2030</w:t>
      </w:r>
    </w:p>
    <w:p>
      <w:pPr>
        <w:pBdr>
          <w:bottom w:val="single" w:color="D3D1C7" w:sz="4" w:space="1"/>
        </w:pBdr>
        <w:spacing w:after="80" w:before="0"/>
      </w:pPr>
    </w:p>
    <w:p>
      <w:pPr>
        <w:spacing w:after="80" w:before="60"/>
        <w:jc w:val="both"/>
      </w:pPr>
      <w:r>
        <w:rPr>
          <w:rFonts w:ascii="Arial" w:cs="Arial" w:eastAsia="Arial" w:hAnsi="Arial"/>
          <w:color w:val="444441"/>
          <w:sz w:val="20"/>
          <w:szCs w:val="20"/>
        </w:rPr>
        <w:t xml:space="preserve">Budget ANSSI porte a 320 millions euros (+22%), 850 agents. Priorites : elever le niveau de maturite global de la Nation, renforcer la resilience des infrastructures critiques, piloter NIS2 sur les 15 000 entites concernees en France.</w:t>
      </w:r>
    </w:p>
    <w:p>
      <w:r>
        <w:br w:type="page"/>
      </w:r>
    </w:p>
    <w:p>
      <w:pPr>
        <w:pStyle w:val="Heading1"/>
      </w:pPr>
      <w:r>
        <w:rPr>
          <w:rFonts w:ascii="Arial" w:cs="Arial" w:eastAsia="Arial" w:hAnsi="Arial"/>
          <w:b/>
          <w:bCs/>
          <w:color w:val="1a1a2e"/>
          <w:sz w:val="36"/>
          <w:szCs w:val="36"/>
        </w:rPr>
        <w:t xml:space="preserve">6. Cadre reglementaire europeen et francais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single" w:color="185FA5" w:sz="12"/>
              <w:bottom w:val="none" w:color="FFFFFF" w:sz="0"/>
              <w:right w:val="none" w:color="FFFFFF" w:sz="0"/>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22"/>
                <w:szCs w:val="22"/>
              </w:rPr>
              <w:t xml:space="preserve">NIS2</w:t>
            </w:r>
          </w:p>
        </w:tc>
        <w:tc>
          <w:tcPr>
            <w:tcW w:type="dxa" w:w="822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20"/>
            </w:tcMar>
          </w:tcPr>
          <w:p>
            <w:pPr>
              <w:spacing w:after="60" w:before="0"/>
            </w:pPr>
            <w:r>
              <w:rPr>
                <w:rFonts w:ascii="Arial" w:cs="Arial" w:eastAsia="Arial" w:hAnsi="Arial"/>
                <w:b/>
                <w:bCs/>
                <w:color w:val="1a1a2e"/>
                <w:sz w:val="20"/>
                <w:szCs w:val="20"/>
              </w:rPr>
              <w:t xml:space="preserve">Directive Network and Information Security 2</w:t>
            </w:r>
          </w:p>
          <w:p>
            <w:pPr>
              <w:spacing w:after="0" w:before="0"/>
              <w:jc w:val="both"/>
            </w:pPr>
            <w:r>
              <w:rPr>
                <w:rFonts w:ascii="Arial" w:cs="Arial" w:eastAsia="Arial" w:hAnsi="Arial"/>
                <w:color w:val="444441"/>
                <w:sz w:val="20"/>
                <w:szCs w:val="20"/>
              </w:rPr>
              <w:t xml:space="preserve">Etendue a 18 secteurs critiques, concerne 10 000 a 15 000 entites en France. Obligations : gestion des risques, notification des incidents sous 24h, responsabilite directe de la direction. Sanction : 2% du CA mondial ou 10 M euros. Taux de conformite : 62% en 2026.</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single" w:color="854F0B" w:sz="12"/>
              <w:bottom w:val="none" w:color="FFFFFF" w:sz="0"/>
              <w:right w:val="none" w:color="FFFFFF" w:sz="0"/>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22"/>
                <w:szCs w:val="22"/>
              </w:rPr>
              <w:t xml:space="preserve">DORA</w:t>
            </w:r>
          </w:p>
        </w:tc>
        <w:tc>
          <w:tcPr>
            <w:tcW w:type="dxa" w:w="822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20"/>
            </w:tcMar>
          </w:tcPr>
          <w:p>
            <w:pPr>
              <w:spacing w:after="60" w:before="0"/>
            </w:pPr>
            <w:r>
              <w:rPr>
                <w:rFonts w:ascii="Arial" w:cs="Arial" w:eastAsia="Arial" w:hAnsi="Arial"/>
                <w:b/>
                <w:bCs/>
                <w:color w:val="1a1a2e"/>
                <w:sz w:val="20"/>
                <w:szCs w:val="20"/>
              </w:rPr>
              <w:t xml:space="preserve">Reglement Digital Operational Resilience Act</w:t>
            </w:r>
          </w:p>
          <w:p>
            <w:pPr>
              <w:spacing w:after="0" w:before="0"/>
              <w:jc w:val="both"/>
            </w:pPr>
            <w:r>
              <w:rPr>
                <w:rFonts w:ascii="Arial" w:cs="Arial" w:eastAsia="Arial" w:hAnsi="Arial"/>
                <w:color w:val="444441"/>
                <w:sz w:val="20"/>
                <w:szCs w:val="20"/>
              </w:rPr>
              <w:t xml:space="preserve">Specifique au secteur financier : tests de penetration obligatoires, gestion des prestataires tiers critiques, plans de continuite. En 2026, 3 fintechs francaises ont suspendu leurs services.</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single" w:color="0F6E56" w:sz="12"/>
              <w:bottom w:val="none" w:color="FFFFFF" w:sz="0"/>
              <w:right w:val="none" w:color="FFFFFF" w:sz="0"/>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RGPD</w:t>
            </w:r>
          </w:p>
        </w:tc>
        <w:tc>
          <w:tcPr>
            <w:tcW w:type="dxa" w:w="822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20"/>
            </w:tcMar>
          </w:tcPr>
          <w:p>
            <w:pPr>
              <w:spacing w:after="60" w:before="0"/>
            </w:pPr>
            <w:r>
              <w:rPr>
                <w:rFonts w:ascii="Arial" w:cs="Arial" w:eastAsia="Arial" w:hAnsi="Arial"/>
                <w:b/>
                <w:bCs/>
                <w:color w:val="1a1a2e"/>
                <w:sz w:val="20"/>
                <w:szCs w:val="20"/>
              </w:rPr>
              <w:t xml:space="preserve">Reglement general sur la protection des donnees</w:t>
            </w:r>
          </w:p>
          <w:p>
            <w:pPr>
              <w:spacing w:after="0" w:before="0"/>
              <w:jc w:val="both"/>
            </w:pPr>
            <w:r>
              <w:rPr>
                <w:rFonts w:ascii="Arial" w:cs="Arial" w:eastAsia="Arial" w:hAnsi="Arial"/>
                <w:color w:val="444441"/>
                <w:sz w:val="20"/>
                <w:szCs w:val="20"/>
              </w:rPr>
              <w:t xml:space="preserve">Notification obligatoire a la CNIL sous 72h en cas de violation. Sanctions : 20 M euros ou 4% du CA mondial. Les amendes CNIL seront desormais affectees au fonds de modernisation numerique.</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single" w:color="534AB7" w:sz="12"/>
              <w:bottom w:val="none" w:color="FFFFFF" w:sz="0"/>
              <w:right w:val="none" w:color="FFFFFF" w:sz="0"/>
            </w:tcBorders>
            <w:shd w:fill="EEEDFE" w:val="clear"/>
            <w:tcMar>
              <w:top w:type="dxa" w:w="80"/>
              <w:left w:type="dxa" w:w="100"/>
              <w:bottom w:type="dxa" w:w="80"/>
              <w:right w:type="dxa" w:w="100"/>
            </w:tcMar>
            <w:vAlign w:val="center"/>
          </w:tcPr>
          <w:p>
            <w:pPr>
              <w:jc w:val="center"/>
            </w:pPr>
            <w:r>
              <w:rPr>
                <w:rFonts w:ascii="Arial" w:cs="Arial" w:eastAsia="Arial" w:hAnsi="Arial"/>
                <w:b/>
                <w:bCs/>
                <w:color w:val="534AB7"/>
                <w:sz w:val="22"/>
                <w:szCs w:val="22"/>
              </w:rPr>
              <w:t xml:space="preserve">CRA</w:t>
            </w:r>
          </w:p>
        </w:tc>
        <w:tc>
          <w:tcPr>
            <w:tcW w:type="dxa" w:w="822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20"/>
            </w:tcMar>
          </w:tcPr>
          <w:p>
            <w:pPr>
              <w:spacing w:after="60" w:before="0"/>
            </w:pPr>
            <w:r>
              <w:rPr>
                <w:rFonts w:ascii="Arial" w:cs="Arial" w:eastAsia="Arial" w:hAnsi="Arial"/>
                <w:b/>
                <w:bCs/>
                <w:color w:val="1a1a2e"/>
                <w:sz w:val="20"/>
                <w:szCs w:val="20"/>
              </w:rPr>
              <w:t xml:space="preserve">Cyber Resilience Act - Cybersecurite des produits connectes</w:t>
            </w:r>
          </w:p>
          <w:p>
            <w:pPr>
              <w:spacing w:after="0" w:before="0"/>
              <w:jc w:val="both"/>
            </w:pPr>
            <w:r>
              <w:rPr>
                <w:rFonts w:ascii="Arial" w:cs="Arial" w:eastAsia="Arial" w:hAnsi="Arial"/>
                <w:color w:val="444441"/>
                <w:sz w:val="20"/>
                <w:szCs w:val="20"/>
              </w:rPr>
              <w:t xml:space="preserve">Impose des exigences de securite des la conception (security by design) pour tous les produits connectes. Les fabricants devront declarer les vulnerabilites et fournir des mises a jour pendant toute la duree de vie du produit.</w:t>
            </w:r>
          </w:p>
        </w:tc>
      </w:tr>
    </w:tbl>
    <w:p>
      <w:pPr>
        <w:spacing w:after="100" w:before="0"/>
      </w:pPr>
    </w:p>
    <w:p>
      <w:r>
        <w:br w:type="page"/>
      </w:r>
    </w:p>
    <w:p>
      <w:pPr>
        <w:pStyle w:val="Heading1"/>
      </w:pPr>
      <w:r>
        <w:rPr>
          <w:rFonts w:ascii="Arial" w:cs="Arial" w:eastAsia="Arial" w:hAnsi="Arial"/>
          <w:b/>
          <w:bCs/>
          <w:color w:val="1a1a2e"/>
          <w:sz w:val="36"/>
          <w:szCs w:val="36"/>
        </w:rPr>
        <w:t xml:space="preserve">7. Recommandations et bonnes pratiques</w:t>
      </w:r>
    </w:p>
    <w:p>
      <w:pPr>
        <w:spacing w:after="80" w:before="160"/>
      </w:pPr>
      <w:r>
        <w:rPr>
          <w:rFonts w:ascii="Arial" w:cs="Arial" w:eastAsia="Arial" w:hAnsi="Arial"/>
          <w:b/>
          <w:bCs/>
          <w:color w:val="534AB7"/>
          <w:sz w:val="24"/>
          <w:szCs w:val="24"/>
        </w:rPr>
        <w:t xml:space="preserve">Gouvernance et posture Zero Trust</w:t>
      </w:r>
    </w:p>
    <w:tbl>
      <w:tblPr>
        <w:tblW w:type="dxa" w:w="9026"/>
        <w:tblBorders>
          <w:top w:val="single" w:color="D3D1C7" w:sz="1"/>
          <w:left w:val="single" w:color="D3D1C7" w:sz="1"/>
          <w:bottom w:val="single" w:color="D3D1C7" w:sz="1"/>
          <w:right w:val="single" w:color="D3D1C7" w:sz="1"/>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EEEDFE" w:val="clear"/>
            <w:tcMar>
              <w:top w:type="dxa" w:w="80"/>
              <w:left w:type="dxa" w:w="60"/>
              <w:bottom w:type="dxa" w:w="80"/>
              <w:right w:type="dxa" w:w="60"/>
            </w:tcMar>
            <w:vAlign w:val="center"/>
          </w:tcPr>
          <w:p>
            <w:pPr>
              <w:jc w:val="center"/>
            </w:pPr>
            <w:r>
              <w:rPr>
                <w:rFonts w:ascii="Arial" w:cs="Arial" w:eastAsia="Arial" w:hAnsi="Arial"/>
                <w:b/>
                <w:bCs/>
                <w:color w:val="534AB7"/>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Adoption du Zero Trust</w:t>
            </w:r>
          </w:p>
          <w:p>
            <w:pPr>
              <w:spacing w:after="0" w:before="40"/>
              <w:jc w:val="both"/>
            </w:pPr>
            <w:r>
              <w:rPr>
                <w:rFonts w:ascii="Arial" w:cs="Arial" w:eastAsia="Arial" w:hAnsi="Arial"/>
                <w:color w:val="5F5E5A"/>
                <w:sz w:val="20"/>
                <w:szCs w:val="20"/>
              </w:rPr>
              <w:t xml:space="preserve">Ne jamais faire confiance, toujours verifier. Chaque acces authentifie, autorise et surveille.</w:t>
            </w:r>
          </w:p>
        </w:tc>
      </w:tr>
      <w:tr>
        <w:tc>
          <w:tcPr>
            <w:tcW w:type="dxa" w:w="700"/>
            <w:tcBorders>
              <w:top w:val="none" w:color="FFFFFF" w:sz="0"/>
              <w:left w:val="none" w:color="FFFFFF" w:sz="0"/>
              <w:bottom w:val="none" w:color="FFFFFF" w:sz="0"/>
              <w:right w:val="none" w:color="FFFFFF" w:sz="0"/>
            </w:tcBorders>
            <w:shd w:fill="EEEDFE" w:val="clear"/>
            <w:tcMar>
              <w:top w:type="dxa" w:w="80"/>
              <w:left w:type="dxa" w:w="60"/>
              <w:bottom w:type="dxa" w:w="80"/>
              <w:right w:type="dxa" w:w="60"/>
            </w:tcMar>
            <w:vAlign w:val="center"/>
          </w:tcPr>
          <w:p>
            <w:pPr>
              <w:jc w:val="center"/>
            </w:pPr>
            <w:r>
              <w:rPr>
                <w:rFonts w:ascii="Arial" w:cs="Arial" w:eastAsia="Arial" w:hAnsi="Arial"/>
                <w:b/>
                <w:bCs/>
                <w:color w:val="534AB7"/>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Responsabilite de la direction</w:t>
            </w:r>
          </w:p>
          <w:p>
            <w:pPr>
              <w:spacing w:after="0" w:before="40"/>
              <w:jc w:val="both"/>
            </w:pPr>
            <w:r>
              <w:rPr>
                <w:rFonts w:ascii="Arial" w:cs="Arial" w:eastAsia="Arial" w:hAnsi="Arial"/>
                <w:color w:val="5F5E5A"/>
                <w:sz w:val="20"/>
                <w:szCs w:val="20"/>
              </w:rPr>
              <w:t xml:space="preserve">NIS2 et DORA imposent une responsabilite directe des dirigeants sur la cybersecurite.</w:t>
            </w:r>
          </w:p>
        </w:tc>
      </w:tr>
      <w:tr>
        <w:tc>
          <w:tcPr>
            <w:tcW w:type="dxa" w:w="700"/>
            <w:tcBorders>
              <w:top w:val="none" w:color="FFFFFF" w:sz="0"/>
              <w:left w:val="none" w:color="FFFFFF" w:sz="0"/>
              <w:bottom w:val="none" w:color="FFFFFF" w:sz="0"/>
              <w:right w:val="none" w:color="FFFFFF" w:sz="0"/>
            </w:tcBorders>
            <w:shd w:fill="EEEDFE" w:val="clear"/>
            <w:tcMar>
              <w:top w:type="dxa" w:w="80"/>
              <w:left w:type="dxa" w:w="60"/>
              <w:bottom w:type="dxa" w:w="80"/>
              <w:right w:type="dxa" w:w="60"/>
            </w:tcMar>
            <w:vAlign w:val="center"/>
          </w:tcPr>
          <w:p>
            <w:pPr>
              <w:jc w:val="center"/>
            </w:pPr>
            <w:r>
              <w:rPr>
                <w:rFonts w:ascii="Arial" w:cs="Arial" w:eastAsia="Arial" w:hAnsi="Arial"/>
                <w:b/>
                <w:bCs/>
                <w:color w:val="534AB7"/>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Budget dedie min. 5% du budget IT</w:t>
            </w:r>
          </w:p>
          <w:p>
            <w:pPr>
              <w:spacing w:after="0" w:before="40"/>
              <w:jc w:val="both"/>
            </w:pPr>
            <w:r>
              <w:rPr>
                <w:rFonts w:ascii="Arial" w:cs="Arial" w:eastAsia="Arial" w:hAnsi="Arial"/>
                <w:color w:val="5F5E5A"/>
                <w:sz w:val="20"/>
                <w:szCs w:val="20"/>
              </w:rPr>
              <w:t xml:space="preserve">Objectif gouvernemental 2026. Privilegier les solutions souveraines certifiees ANSSI.</w:t>
            </w:r>
          </w:p>
        </w:tc>
      </w:tr>
    </w:tbl>
    <w:p>
      <w:pPr>
        <w:spacing w:after="0" w:before="80"/>
      </w:pPr>
    </w:p>
    <w:p>
      <w:pPr>
        <w:spacing w:after="80" w:before="160"/>
      </w:pPr>
      <w:r>
        <w:rPr>
          <w:rFonts w:ascii="Arial" w:cs="Arial" w:eastAsia="Arial" w:hAnsi="Arial"/>
          <w:b/>
          <w:bCs/>
          <w:color w:val="A32D2D"/>
          <w:sz w:val="24"/>
          <w:szCs w:val="24"/>
        </w:rPr>
        <w:t xml:space="preserve">Detection et reponse aux incidents</w:t>
      </w:r>
    </w:p>
    <w:tbl>
      <w:tblPr>
        <w:tblW w:type="dxa" w:w="9026"/>
        <w:tblBorders>
          <w:top w:val="single" w:color="D3D1C7" w:sz="1"/>
          <w:left w:val="single" w:color="D3D1C7" w:sz="1"/>
          <w:bottom w:val="single" w:color="D3D1C7" w:sz="1"/>
          <w:right w:val="single" w:color="D3D1C7" w:sz="1"/>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FCEBEB" w:val="clear"/>
            <w:tcMar>
              <w:top w:type="dxa" w:w="80"/>
              <w:left w:type="dxa" w:w="60"/>
              <w:bottom w:type="dxa" w:w="80"/>
              <w:right w:type="dxa" w:w="60"/>
            </w:tcMar>
            <w:vAlign w:val="center"/>
          </w:tcPr>
          <w:p>
            <w:pPr>
              <w:jc w:val="center"/>
            </w:pPr>
            <w:r>
              <w:rPr>
                <w:rFonts w:ascii="Arial" w:cs="Arial" w:eastAsia="Arial" w:hAnsi="Arial"/>
                <w:b/>
                <w:bCs/>
                <w:color w:val="A32D2D"/>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SOC et surveillance 24/7</w:t>
            </w:r>
          </w:p>
          <w:p>
            <w:pPr>
              <w:spacing w:after="0" w:before="40"/>
              <w:jc w:val="both"/>
            </w:pPr>
            <w:r>
              <w:rPr>
                <w:rFonts w:ascii="Arial" w:cs="Arial" w:eastAsia="Arial" w:hAnsi="Arial"/>
                <w:color w:val="5F5E5A"/>
                <w:sz w:val="20"/>
                <w:szCs w:val="20"/>
              </w:rPr>
              <w:t xml:space="preserve">Security Operations Center pour la detection en temps reel (SIEM, UEBA).</w:t>
            </w:r>
          </w:p>
        </w:tc>
      </w:tr>
      <w:tr>
        <w:tc>
          <w:tcPr>
            <w:tcW w:type="dxa" w:w="700"/>
            <w:tcBorders>
              <w:top w:val="none" w:color="FFFFFF" w:sz="0"/>
              <w:left w:val="none" w:color="FFFFFF" w:sz="0"/>
              <w:bottom w:val="none" w:color="FFFFFF" w:sz="0"/>
              <w:right w:val="none" w:color="FFFFFF" w:sz="0"/>
            </w:tcBorders>
            <w:shd w:fill="FCEBEB" w:val="clear"/>
            <w:tcMar>
              <w:top w:type="dxa" w:w="80"/>
              <w:left w:type="dxa" w:w="60"/>
              <w:bottom w:type="dxa" w:w="80"/>
              <w:right w:type="dxa" w:w="60"/>
            </w:tcMar>
            <w:vAlign w:val="center"/>
          </w:tcPr>
          <w:p>
            <w:pPr>
              <w:jc w:val="center"/>
            </w:pPr>
            <w:r>
              <w:rPr>
                <w:rFonts w:ascii="Arial" w:cs="Arial" w:eastAsia="Arial" w:hAnsi="Arial"/>
                <w:b/>
                <w:bCs/>
                <w:color w:val="A32D2D"/>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Plan de reponse aux incidents</w:t>
            </w:r>
          </w:p>
          <w:p>
            <w:pPr>
              <w:spacing w:after="0" w:before="40"/>
              <w:jc w:val="both"/>
            </w:pPr>
            <w:r>
              <w:rPr>
                <w:rFonts w:ascii="Arial" w:cs="Arial" w:eastAsia="Arial" w:hAnsi="Arial"/>
                <w:color w:val="5F5E5A"/>
                <w:sz w:val="20"/>
                <w:szCs w:val="20"/>
              </w:rPr>
              <w:t xml:space="preserve">Definir et tester : qui fait quoi, en combien de temps, selon quel processus.</w:t>
            </w:r>
          </w:p>
        </w:tc>
      </w:tr>
      <w:tr>
        <w:tc>
          <w:tcPr>
            <w:tcW w:type="dxa" w:w="700"/>
            <w:tcBorders>
              <w:top w:val="none" w:color="FFFFFF" w:sz="0"/>
              <w:left w:val="none" w:color="FFFFFF" w:sz="0"/>
              <w:bottom w:val="none" w:color="FFFFFF" w:sz="0"/>
              <w:right w:val="none" w:color="FFFFFF" w:sz="0"/>
            </w:tcBorders>
            <w:shd w:fill="FCEBEB" w:val="clear"/>
            <w:tcMar>
              <w:top w:type="dxa" w:w="80"/>
              <w:left w:type="dxa" w:w="60"/>
              <w:bottom w:type="dxa" w:w="80"/>
              <w:right w:type="dxa" w:w="60"/>
            </w:tcMar>
            <w:vAlign w:val="center"/>
          </w:tcPr>
          <w:p>
            <w:pPr>
              <w:jc w:val="center"/>
            </w:pPr>
            <w:r>
              <w:rPr>
                <w:rFonts w:ascii="Arial" w:cs="Arial" w:eastAsia="Arial" w:hAnsi="Arial"/>
                <w:b/>
                <w:bCs/>
                <w:color w:val="A32D2D"/>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Tests d intrusion reguliers</w:t>
            </w:r>
          </w:p>
          <w:p>
            <w:pPr>
              <w:spacing w:after="0" w:before="40"/>
              <w:jc w:val="both"/>
            </w:pPr>
            <w:r>
              <w:rPr>
                <w:rFonts w:ascii="Arial" w:cs="Arial" w:eastAsia="Arial" w:hAnsi="Arial"/>
                <w:color w:val="5F5E5A"/>
                <w:sz w:val="20"/>
                <w:szCs w:val="20"/>
              </w:rPr>
              <w:t xml:space="preserve">Pentests annuels et exercices de crise. L Etat lui-meme s y astreint desormais.</w:t>
            </w:r>
          </w:p>
        </w:tc>
      </w:tr>
    </w:tbl>
    <w:p>
      <w:pPr>
        <w:spacing w:after="0" w:before="80"/>
      </w:pPr>
    </w:p>
    <w:p>
      <w:pPr>
        <w:spacing w:after="80" w:before="160"/>
      </w:pPr>
      <w:r>
        <w:rPr>
          <w:rFonts w:ascii="Arial" w:cs="Arial" w:eastAsia="Arial" w:hAnsi="Arial"/>
          <w:b/>
          <w:bCs/>
          <w:color w:val="0F6E56"/>
          <w:sz w:val="24"/>
          <w:szCs w:val="24"/>
        </w:rPr>
        <w:t xml:space="preserve">Protection des donnees et des acces</w:t>
      </w:r>
    </w:p>
    <w:tbl>
      <w:tblPr>
        <w:tblW w:type="dxa" w:w="9026"/>
        <w:tblBorders>
          <w:top w:val="single" w:color="D3D1C7" w:sz="1"/>
          <w:left w:val="single" w:color="D3D1C7" w:sz="1"/>
          <w:bottom w:val="single" w:color="D3D1C7" w:sz="1"/>
          <w:right w:val="single" w:color="D3D1C7" w:sz="1"/>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E1F5EE" w:val="clear"/>
            <w:tcMar>
              <w:top w:type="dxa" w:w="80"/>
              <w:left w:type="dxa" w:w="60"/>
              <w:bottom w:type="dxa" w:w="80"/>
              <w:right w:type="dxa" w:w="60"/>
            </w:tcMar>
            <w:vAlign w:val="center"/>
          </w:tcPr>
          <w:p>
            <w:pPr>
              <w:jc w:val="center"/>
            </w:pPr>
            <w:r>
              <w:rPr>
                <w:rFonts w:ascii="Arial" w:cs="Arial" w:eastAsia="Arial" w:hAnsi="Arial"/>
                <w:b/>
                <w:bCs/>
                <w:color w:val="0F6E56"/>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MFA generalise</w:t>
            </w:r>
          </w:p>
          <w:p>
            <w:pPr>
              <w:spacing w:after="0" w:before="40"/>
              <w:jc w:val="both"/>
            </w:pPr>
            <w:r>
              <w:rPr>
                <w:rFonts w:ascii="Arial" w:cs="Arial" w:eastAsia="Arial" w:hAnsi="Arial"/>
                <w:color w:val="5F5E5A"/>
                <w:sz w:val="20"/>
                <w:szCs w:val="20"/>
              </w:rPr>
              <w:t xml:space="preserve">Authentification multifacteur sur tous les acces sensibles.</w:t>
            </w:r>
          </w:p>
        </w:tc>
      </w:tr>
      <w:tr>
        <w:tc>
          <w:tcPr>
            <w:tcW w:type="dxa" w:w="700"/>
            <w:tcBorders>
              <w:top w:val="none" w:color="FFFFFF" w:sz="0"/>
              <w:left w:val="none" w:color="FFFFFF" w:sz="0"/>
              <w:bottom w:val="none" w:color="FFFFFF" w:sz="0"/>
              <w:right w:val="none" w:color="FFFFFF" w:sz="0"/>
            </w:tcBorders>
            <w:shd w:fill="E1F5EE" w:val="clear"/>
            <w:tcMar>
              <w:top w:type="dxa" w:w="80"/>
              <w:left w:type="dxa" w:w="60"/>
              <w:bottom w:type="dxa" w:w="80"/>
              <w:right w:type="dxa" w:w="60"/>
            </w:tcMar>
            <w:vAlign w:val="center"/>
          </w:tcPr>
          <w:p>
            <w:pPr>
              <w:jc w:val="center"/>
            </w:pPr>
            <w:r>
              <w:rPr>
                <w:rFonts w:ascii="Arial" w:cs="Arial" w:eastAsia="Arial" w:hAnsi="Arial"/>
                <w:b/>
                <w:bCs/>
                <w:color w:val="0F6E56"/>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Gestion des identites machines</w:t>
            </w:r>
          </w:p>
          <w:p>
            <w:pPr>
              <w:spacing w:after="0" w:before="40"/>
              <w:jc w:val="both"/>
            </w:pPr>
            <w:r>
              <w:rPr>
                <w:rFonts w:ascii="Arial" w:cs="Arial" w:eastAsia="Arial" w:hAnsi="Arial"/>
                <w:color w:val="5F5E5A"/>
                <w:sz w:val="20"/>
                <w:szCs w:val="20"/>
              </w:rPr>
              <w:t xml:space="preserve">Cartographier les 144 identites machines moyennes par identite humaine.</w:t>
            </w:r>
          </w:p>
        </w:tc>
      </w:tr>
      <w:tr>
        <w:tc>
          <w:tcPr>
            <w:tcW w:type="dxa" w:w="700"/>
            <w:tcBorders>
              <w:top w:val="none" w:color="FFFFFF" w:sz="0"/>
              <w:left w:val="none" w:color="FFFFFF" w:sz="0"/>
              <w:bottom w:val="none" w:color="FFFFFF" w:sz="0"/>
              <w:right w:val="none" w:color="FFFFFF" w:sz="0"/>
            </w:tcBorders>
            <w:shd w:fill="E1F5EE" w:val="clear"/>
            <w:tcMar>
              <w:top w:type="dxa" w:w="80"/>
              <w:left w:type="dxa" w:w="60"/>
              <w:bottom w:type="dxa" w:w="80"/>
              <w:right w:type="dxa" w:w="60"/>
            </w:tcMar>
            <w:vAlign w:val="center"/>
          </w:tcPr>
          <w:p>
            <w:pPr>
              <w:jc w:val="center"/>
            </w:pPr>
            <w:r>
              <w:rPr>
                <w:rFonts w:ascii="Arial" w:cs="Arial" w:eastAsia="Arial" w:hAnsi="Arial"/>
                <w:b/>
                <w:bCs/>
                <w:color w:val="0F6E56"/>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Chiffrement des donnees</w:t>
            </w:r>
          </w:p>
          <w:p>
            <w:pPr>
              <w:spacing w:after="0" w:before="40"/>
              <w:jc w:val="both"/>
            </w:pPr>
            <w:r>
              <w:rPr>
                <w:rFonts w:ascii="Arial" w:cs="Arial" w:eastAsia="Arial" w:hAnsi="Arial"/>
                <w:color w:val="5F5E5A"/>
                <w:sz w:val="20"/>
                <w:szCs w:val="20"/>
              </w:rPr>
              <w:t xml:space="preserve">Chiffrer au repos et en transit. Pseudonymiser les donnees personnelles.</w:t>
            </w:r>
          </w:p>
        </w:tc>
      </w:tr>
    </w:tbl>
    <w:p>
      <w:pPr>
        <w:spacing w:after="0" w:before="80"/>
      </w:pPr>
    </w:p>
    <w:p>
      <w:pPr>
        <w:spacing w:after="80" w:before="160"/>
      </w:pPr>
      <w:r>
        <w:rPr>
          <w:rFonts w:ascii="Arial" w:cs="Arial" w:eastAsia="Arial" w:hAnsi="Arial"/>
          <w:b/>
          <w:bCs/>
          <w:color w:val="854F0B"/>
          <w:sz w:val="24"/>
          <w:szCs w:val="24"/>
        </w:rPr>
        <w:t xml:space="preserve">Supply chain et tiers</w:t>
      </w:r>
    </w:p>
    <w:tbl>
      <w:tblPr>
        <w:tblW w:type="dxa" w:w="9026"/>
        <w:tblBorders>
          <w:top w:val="single" w:color="D3D1C7" w:sz="1"/>
          <w:left w:val="single" w:color="D3D1C7" w:sz="1"/>
          <w:bottom w:val="single" w:color="D3D1C7" w:sz="1"/>
          <w:right w:val="single" w:color="D3D1C7" w:sz="1"/>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FAEEDA" w:val="clear"/>
            <w:tcMar>
              <w:top w:type="dxa" w:w="80"/>
              <w:left w:type="dxa" w:w="60"/>
              <w:bottom w:type="dxa" w:w="80"/>
              <w:right w:type="dxa" w:w="60"/>
            </w:tcMar>
            <w:vAlign w:val="center"/>
          </w:tcPr>
          <w:p>
            <w:pPr>
              <w:jc w:val="center"/>
            </w:pPr>
            <w:r>
              <w:rPr>
                <w:rFonts w:ascii="Arial" w:cs="Arial" w:eastAsia="Arial" w:hAnsi="Arial"/>
                <w:b/>
                <w:bCs/>
                <w:color w:val="854F0B"/>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Audit des prestataires</w:t>
            </w:r>
          </w:p>
          <w:p>
            <w:pPr>
              <w:spacing w:after="0" w:before="40"/>
              <w:jc w:val="both"/>
            </w:pPr>
            <w:r>
              <w:rPr>
                <w:rFonts w:ascii="Arial" w:cs="Arial" w:eastAsia="Arial" w:hAnsi="Arial"/>
                <w:color w:val="5F5E5A"/>
                <w:sz w:val="20"/>
                <w:szCs w:val="20"/>
              </w:rPr>
              <w:t xml:space="preserve">Evaluer le niveau de securite de chaque prestataire. Clauses securite dans les contrats.</w:t>
            </w:r>
          </w:p>
        </w:tc>
      </w:tr>
      <w:tr>
        <w:tc>
          <w:tcPr>
            <w:tcW w:type="dxa" w:w="700"/>
            <w:tcBorders>
              <w:top w:val="none" w:color="FFFFFF" w:sz="0"/>
              <w:left w:val="none" w:color="FFFFFF" w:sz="0"/>
              <w:bottom w:val="none" w:color="FFFFFF" w:sz="0"/>
              <w:right w:val="none" w:color="FFFFFF" w:sz="0"/>
            </w:tcBorders>
            <w:shd w:fill="FAEEDA" w:val="clear"/>
            <w:tcMar>
              <w:top w:type="dxa" w:w="80"/>
              <w:left w:type="dxa" w:w="60"/>
              <w:bottom w:type="dxa" w:w="80"/>
              <w:right w:type="dxa" w:w="60"/>
            </w:tcMar>
            <w:vAlign w:val="center"/>
          </w:tcPr>
          <w:p>
            <w:pPr>
              <w:jc w:val="center"/>
            </w:pPr>
            <w:r>
              <w:rPr>
                <w:rFonts w:ascii="Arial" w:cs="Arial" w:eastAsia="Arial" w:hAnsi="Arial"/>
                <w:b/>
                <w:bCs/>
                <w:color w:val="854F0B"/>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SBOM - Software Bill of Materials</w:t>
            </w:r>
          </w:p>
          <w:p>
            <w:pPr>
              <w:spacing w:after="0" w:before="40"/>
              <w:jc w:val="both"/>
            </w:pPr>
            <w:r>
              <w:rPr>
                <w:rFonts w:ascii="Arial" w:cs="Arial" w:eastAsia="Arial" w:hAnsi="Arial"/>
                <w:color w:val="5F5E5A"/>
                <w:sz w:val="20"/>
                <w:szCs w:val="20"/>
              </w:rPr>
              <w:t xml:space="preserve">Inventaire des composants logiciels pour anticiper les vulnerabilites.</w:t>
            </w:r>
          </w:p>
        </w:tc>
      </w:tr>
      <w:tr>
        <w:tc>
          <w:tcPr>
            <w:tcW w:type="dxa" w:w="700"/>
            <w:tcBorders>
              <w:top w:val="none" w:color="FFFFFF" w:sz="0"/>
              <w:left w:val="none" w:color="FFFFFF" w:sz="0"/>
              <w:bottom w:val="none" w:color="FFFFFF" w:sz="0"/>
              <w:right w:val="none" w:color="FFFFFF" w:sz="0"/>
            </w:tcBorders>
            <w:shd w:fill="FAEEDA" w:val="clear"/>
            <w:tcMar>
              <w:top w:type="dxa" w:w="80"/>
              <w:left w:type="dxa" w:w="60"/>
              <w:bottom w:type="dxa" w:w="80"/>
              <w:right w:type="dxa" w:w="60"/>
            </w:tcMar>
            <w:vAlign w:val="center"/>
          </w:tcPr>
          <w:p>
            <w:pPr>
              <w:jc w:val="center"/>
            </w:pPr>
            <w:r>
              <w:rPr>
                <w:rFonts w:ascii="Arial" w:cs="Arial" w:eastAsia="Arial" w:hAnsi="Arial"/>
                <w:b/>
                <w:bCs/>
                <w:color w:val="854F0B"/>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Plan de continuite</w:t>
            </w:r>
          </w:p>
          <w:p>
            <w:pPr>
              <w:spacing w:after="0" w:before="40"/>
              <w:jc w:val="both"/>
            </w:pPr>
            <w:r>
              <w:rPr>
                <w:rFonts w:ascii="Arial" w:cs="Arial" w:eastAsia="Arial" w:hAnsi="Arial"/>
                <w:color w:val="5F5E5A"/>
                <w:sz w:val="20"/>
                <w:szCs w:val="20"/>
              </w:rPr>
              <w:t xml:space="preserve">Solutions de repli pour les services critiques en cas de compromission fournisseur.</w:t>
            </w:r>
          </w:p>
        </w:tc>
      </w:tr>
    </w:tbl>
    <w:p>
      <w:pPr>
        <w:spacing w:after="0" w:before="80"/>
      </w:pPr>
    </w:p>
    <w:p>
      <w:pPr>
        <w:spacing w:after="80" w:before="160"/>
      </w:pPr>
      <w:r>
        <w:rPr>
          <w:rFonts w:ascii="Arial" w:cs="Arial" w:eastAsia="Arial" w:hAnsi="Arial"/>
          <w:b/>
          <w:bCs/>
          <w:color w:val="185FA5"/>
          <w:sz w:val="24"/>
          <w:szCs w:val="24"/>
        </w:rPr>
        <w:t xml:space="preserve">Formation et sensibilisation</w:t>
      </w:r>
    </w:p>
    <w:tbl>
      <w:tblPr>
        <w:tblW w:type="dxa" w:w="9026"/>
        <w:tblBorders>
          <w:top w:val="single" w:color="D3D1C7" w:sz="1"/>
          <w:left w:val="single" w:color="D3D1C7" w:sz="1"/>
          <w:bottom w:val="single" w:color="D3D1C7" w:sz="1"/>
          <w:right w:val="single" w:color="D3D1C7" w:sz="1"/>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E6F1FB" w:val="clear"/>
            <w:tcMar>
              <w:top w:type="dxa" w:w="80"/>
              <w:left w:type="dxa" w:w="60"/>
              <w:bottom w:type="dxa" w:w="80"/>
              <w:right w:type="dxa" w:w="60"/>
            </w:tcMar>
            <w:vAlign w:val="center"/>
          </w:tcPr>
          <w:p>
            <w:pPr>
              <w:jc w:val="center"/>
            </w:pPr>
            <w:r>
              <w:rPr>
                <w:rFonts w:ascii="Arial" w:cs="Arial" w:eastAsia="Arial" w:hAnsi="Arial"/>
                <w:b/>
                <w:bCs/>
                <w:color w:val="185FA5"/>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Formation obligatoire min. 8h par an</w:t>
            </w:r>
          </w:p>
          <w:p>
            <w:pPr>
              <w:spacing w:after="0" w:before="40"/>
              <w:jc w:val="both"/>
            </w:pPr>
            <w:r>
              <w:rPr>
                <w:rFonts w:ascii="Arial" w:cs="Arial" w:eastAsia="Arial" w:hAnsi="Arial"/>
                <w:color w:val="5F5E5A"/>
                <w:sz w:val="20"/>
                <w:szCs w:val="20"/>
              </w:rPr>
              <w:t xml:space="preserve">Exigence NIS2. Former tous les collaborateurs aux risques cyber.</w:t>
            </w:r>
          </w:p>
        </w:tc>
      </w:tr>
      <w:tr>
        <w:tc>
          <w:tcPr>
            <w:tcW w:type="dxa" w:w="700"/>
            <w:tcBorders>
              <w:top w:val="none" w:color="FFFFFF" w:sz="0"/>
              <w:left w:val="none" w:color="FFFFFF" w:sz="0"/>
              <w:bottom w:val="none" w:color="FFFFFF" w:sz="0"/>
              <w:right w:val="none" w:color="FFFFFF" w:sz="0"/>
            </w:tcBorders>
            <w:shd w:fill="E6F1FB" w:val="clear"/>
            <w:tcMar>
              <w:top w:type="dxa" w:w="80"/>
              <w:left w:type="dxa" w:w="60"/>
              <w:bottom w:type="dxa" w:w="80"/>
              <w:right w:type="dxa" w:w="60"/>
            </w:tcMar>
            <w:vAlign w:val="center"/>
          </w:tcPr>
          <w:p>
            <w:pPr>
              <w:jc w:val="center"/>
            </w:pPr>
            <w:r>
              <w:rPr>
                <w:rFonts w:ascii="Arial" w:cs="Arial" w:eastAsia="Arial" w:hAnsi="Arial"/>
                <w:b/>
                <w:bCs/>
                <w:color w:val="185FA5"/>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Simulations de phishing</w:t>
            </w:r>
          </w:p>
          <w:p>
            <w:pPr>
              <w:spacing w:after="0" w:before="40"/>
              <w:jc w:val="both"/>
            </w:pPr>
            <w:r>
              <w:rPr>
                <w:rFonts w:ascii="Arial" w:cs="Arial" w:eastAsia="Arial" w:hAnsi="Arial"/>
                <w:color w:val="5F5E5A"/>
                <w:sz w:val="20"/>
                <w:szCs w:val="20"/>
              </w:rPr>
              <w:t xml:space="preserve">Campagnes simulees pour mesurer et ameliorer la vigilance.</w:t>
            </w:r>
          </w:p>
        </w:tc>
      </w:tr>
      <w:tr>
        <w:tc>
          <w:tcPr>
            <w:tcW w:type="dxa" w:w="700"/>
            <w:tcBorders>
              <w:top w:val="none" w:color="FFFFFF" w:sz="0"/>
              <w:left w:val="none" w:color="FFFFFF" w:sz="0"/>
              <w:bottom w:val="none" w:color="FFFFFF" w:sz="0"/>
              <w:right w:val="none" w:color="FFFFFF" w:sz="0"/>
            </w:tcBorders>
            <w:shd w:fill="E6F1FB" w:val="clear"/>
            <w:tcMar>
              <w:top w:type="dxa" w:w="80"/>
              <w:left w:type="dxa" w:w="60"/>
              <w:bottom w:type="dxa" w:w="80"/>
              <w:right w:type="dxa" w:w="60"/>
            </w:tcMar>
            <w:vAlign w:val="center"/>
          </w:tcPr>
          <w:p>
            <w:pPr>
              <w:jc w:val="center"/>
            </w:pPr>
            <w:r>
              <w:rPr>
                <w:rFonts w:ascii="Arial" w:cs="Arial" w:eastAsia="Arial" w:hAnsi="Arial"/>
                <w:b/>
                <w:bCs/>
                <w:color w:val="185FA5"/>
                <w:sz w:val="16"/>
                <w:szCs w:val="16"/>
              </w:rPr>
              <w:t xml:space="preserve">OK</w:t>
            </w:r>
          </w:p>
        </w:tc>
        <w:tc>
          <w:tcPr>
            <w:tcW w:type="dxa" w:w="8326"/>
            <w:tcBorders>
              <w:top w:val="none" w:color="FFFFFF" w:sz="0"/>
              <w:left w:val="none" w:color="FFFFFF" w:sz="0"/>
              <w:bottom w:val="single" w:color="D3D1C7" w:sz="1"/>
              <w:right w:val="none" w:color="FFFFFF" w:sz="0"/>
            </w:tcBorders>
            <w:tcMar>
              <w:top w:type="dxa" w:w="80"/>
              <w:left w:type="dxa" w:w="120"/>
              <w:bottom w:type="dxa" w:w="80"/>
              <w:right w:type="dxa" w:w="80"/>
            </w:tcMar>
          </w:tcPr>
          <w:p>
            <w:r>
              <w:rPr>
                <w:rFonts w:ascii="Arial" w:cs="Arial" w:eastAsia="Arial" w:hAnsi="Arial"/>
                <w:b/>
                <w:bCs/>
                <w:color w:val="1a1a2e"/>
                <w:sz w:val="20"/>
                <w:szCs w:val="20"/>
              </w:rPr>
              <w:t xml:space="preserve">Culture cyber</w:t>
            </w:r>
          </w:p>
          <w:p>
            <w:pPr>
              <w:spacing w:after="0" w:before="40"/>
              <w:jc w:val="both"/>
            </w:pPr>
            <w:r>
              <w:rPr>
                <w:rFonts w:ascii="Arial" w:cs="Arial" w:eastAsia="Arial" w:hAnsi="Arial"/>
                <w:color w:val="5F5E5A"/>
                <w:sz w:val="20"/>
                <w:szCs w:val="20"/>
              </w:rPr>
              <w:t xml:space="preserve">Signalement des incidents suspects, hygiene numerique, politique de mots de passe.</w:t>
            </w:r>
          </w:p>
        </w:tc>
      </w:tr>
    </w:tbl>
    <w:p>
      <w:pPr>
        <w:spacing w:after="0" w:before="80"/>
      </w:pPr>
    </w:p>
    <w:p>
      <w:r>
        <w:br w:type="page"/>
      </w:r>
    </w:p>
    <w:p>
      <w:pPr>
        <w:pStyle w:val="Heading1"/>
      </w:pPr>
      <w:r>
        <w:rPr>
          <w:rFonts w:ascii="Arial" w:cs="Arial" w:eastAsia="Arial" w:hAnsi="Arial"/>
          <w:b/>
          <w:bCs/>
          <w:color w:val="1a1a2e"/>
          <w:sz w:val="36"/>
          <w:szCs w:val="36"/>
        </w:rPr>
        <w:t xml:space="preserve">8. Glossaire et sources</w:t>
      </w:r>
    </w:p>
    <w:p>
      <w:pPr>
        <w:spacing w:after="60" w:before="200"/>
      </w:pPr>
      <w:r>
        <w:rPr>
          <w:rFonts w:ascii="Arial" w:cs="Arial" w:eastAsia="Arial" w:hAnsi="Arial"/>
          <w:b/>
          <w:bCs/>
          <w:color w:val="5F5E5A"/>
          <w:sz w:val="18"/>
          <w:szCs w:val="18"/>
        </w:rPr>
        <w:t xml:space="preserve">GLOSSAIRE</w:t>
      </w:r>
    </w:p>
    <w:p>
      <w:pPr>
        <w:pBdr>
          <w:bottom w:val="single" w:color="D3D1C7" w:sz="4" w:space="1"/>
        </w:pBdr>
        <w:spacing w:after="80" w:before="0"/>
      </w:pPr>
    </w:p>
    <w:tbl>
      <w:tblPr>
        <w:tblW w:type="dxa" w:w="9026"/>
        <w:tblBorders>
          <w:top w:val="single" w:color="D3D1C7" w:sz="1"/>
          <w:left w:val="single" w:color="D3D1C7" w:sz="1"/>
          <w:bottom w:val="single" w:color="D3D1C7" w:sz="1"/>
          <w:right w:val="single" w:color="D3D1C7" w:sz="1"/>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ANSSI</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Agence Nationale de la Securite des Systemes d Information.</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APT</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Advanced Persistent Threat. Groupe d attaquants organise lie a un Etat.</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CERT-FR</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Centre gouvernemental de veille et de reponse aux incidents informatiques.</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CTI</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Cyber Threat Intelligence. Renseignement sur les cybermenaces.</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DDoS</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Distributed Denial of Service. Saturation d un service par flot de requetes.</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Deepfake</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Contenu video ou audio imitant fidelement une personne reelle par IA.</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IAB</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Initial Access Broker. Vendeur d acces compromis a des organisations.</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IoT</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Internet of Things. Ensemble des objets connectes dans les infrastructures.</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MFA</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Multi-Factor Authentication. Authentification a plusieurs facteurs.</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OT</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Operational Technology. Systemes controlant des processus physiques.</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Pentest</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Test de penetration. Simulation d attaque autorisee pour identifier les failles.</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RaaS</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Ransomware as a Service. Modele d affiliation criminel.</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SIEM</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Security Information and Event Management. Plateforme de logs securite.</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SOC</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Security Operations Center. Equipe de surveillance et reponse aux incidents.</w:t>
            </w:r>
          </w:p>
        </w:tc>
      </w:tr>
      <w:tr>
        <w:tc>
          <w:tcPr>
            <w:tcW w:type="dxa" w:w="1800"/>
            <w:tcBorders>
              <w:top w:val="none" w:color="FFFFFF" w:sz="0"/>
              <w:left w:val="none" w:color="FFFFFF" w:sz="0"/>
              <w:bottom w:val="none" w:color="FFFFFF" w:sz="0"/>
              <w:right w:val="none" w:color="FFFFFF" w:sz="0"/>
            </w:tcBorders>
            <w:shd w:fill="F1EFE8" w:val="clear"/>
            <w:tcMar>
              <w:top w:type="dxa" w:w="60"/>
              <w:left w:type="dxa" w:w="100"/>
              <w:bottom w:type="dxa" w:w="60"/>
              <w:right w:type="dxa" w:w="80"/>
            </w:tcMar>
            <w:vAlign w:val="center"/>
          </w:tcPr>
          <w:p>
            <w:r>
              <w:rPr>
                <w:rFonts w:ascii="Arial" w:cs="Arial" w:eastAsia="Arial" w:hAnsi="Arial"/>
                <w:b/>
                <w:bCs/>
                <w:color w:val="1a1a2e"/>
                <w:sz w:val="18"/>
                <w:szCs w:val="18"/>
              </w:rPr>
              <w:t xml:space="preserve">Zero Trust</w:t>
            </w:r>
          </w:p>
        </w:tc>
        <w:tc>
          <w:tcPr>
            <w:tcW w:type="dxa" w:w="7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color w:val="444441"/>
                <w:sz w:val="18"/>
                <w:szCs w:val="18"/>
              </w:rPr>
              <w:t xml:space="preserve">Modele ne jamais faire confiance, toujours verifier.</w:t>
            </w:r>
          </w:p>
        </w:tc>
      </w:tr>
    </w:tbl>
    <w:p>
      <w:pPr>
        <w:spacing w:after="0" w:before="160"/>
      </w:pPr>
    </w:p>
    <w:p>
      <w:pPr>
        <w:spacing w:after="60" w:before="200"/>
      </w:pPr>
      <w:r>
        <w:rPr>
          <w:rFonts w:ascii="Arial" w:cs="Arial" w:eastAsia="Arial" w:hAnsi="Arial"/>
          <w:b/>
          <w:bCs/>
          <w:color w:val="5F5E5A"/>
          <w:sz w:val="18"/>
          <w:szCs w:val="18"/>
        </w:rPr>
        <w:t xml:space="preserve">SOURCES DE REFERENCE</w:t>
      </w:r>
    </w:p>
    <w:p>
      <w:pPr>
        <w:pBdr>
          <w:bottom w:val="single" w:color="D3D1C7" w:sz="4" w:space="1"/>
        </w:pBdr>
        <w:spacing w:after="80" w:before="0"/>
      </w:pPr>
    </w:p>
    <w:tbl>
      <w:tblPr>
        <w:tblW w:type="dxa" w:w="9026"/>
        <w:tblBorders>
          <w:top w:val="single" w:color="D3D1C7" w:sz="1"/>
          <w:left w:val="single" w:color="D3D1C7" w:sz="1"/>
          <w:bottom w:val="single" w:color="D3D1C7" w:sz="1"/>
          <w:right w:val="single" w:color="D3D1C7" w:sz="1"/>
          <w:insideH w:val="single" w:color="auto" w:sz="4"/>
          <w:insideV w:val="single" w:color="auto" w:sz="4"/>
        </w:tblBorders>
      </w:tblPr>
      <w:tblGrid>
        <w:gridCol w:w="4964"/>
        <w:gridCol w:w="4061"/>
      </w:tblGrid>
      <w:tr>
        <w:tc>
          <w:tcPr>
            <w:tcW w:type="dxa" w:w="4964"/>
            <w:tcBorders>
              <w:top w:val="none" w:color="FFFFFF" w:sz="0"/>
              <w:left w:val="none" w:color="FFFFFF" w:sz="0"/>
              <w:bottom w:val="none" w:color="FFFFFF" w:sz="0"/>
              <w:right w:val="none" w:color="FFFFFF" w:sz="0"/>
            </w:tcBorders>
            <w:tcMar>
              <w:top w:type="dxa" w:w="60"/>
              <w:left w:type="dxa" w:w="100"/>
              <w:bottom w:type="dxa" w:w="60"/>
              <w:right w:type="dxa" w:w="80"/>
            </w:tcMar>
            <w:vAlign w:val="center"/>
          </w:tcPr>
          <w:p>
            <w:r>
              <w:rPr>
                <w:rFonts w:ascii="Arial" w:cs="Arial" w:eastAsia="Arial" w:hAnsi="Arial"/>
                <w:b/>
                <w:bCs/>
                <w:color w:val="1a1a2e"/>
                <w:sz w:val="18"/>
                <w:szCs w:val="18"/>
              </w:rPr>
              <w:t xml:space="preserve">ANSSI - Panorama cybermenace 2025</w:t>
            </w:r>
          </w:p>
        </w:tc>
        <w:tc>
          <w:tcPr>
            <w:tcW w:type="dxa" w:w="4061"/>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i/>
                <w:iCs/>
                <w:color w:val="5F5E5A"/>
                <w:sz w:val="18"/>
                <w:szCs w:val="18"/>
              </w:rPr>
              <w:t xml:space="preserve">cyber.gouv.fr - 11 mars 2026</w:t>
            </w:r>
          </w:p>
        </w:tc>
      </w:tr>
      <w:tr>
        <w:tc>
          <w:tcPr>
            <w:tcW w:type="dxa" w:w="4964"/>
            <w:tcBorders>
              <w:top w:val="none" w:color="FFFFFF" w:sz="0"/>
              <w:left w:val="none" w:color="FFFFFF" w:sz="0"/>
              <w:bottom w:val="none" w:color="FFFFFF" w:sz="0"/>
              <w:right w:val="none" w:color="FFFFFF" w:sz="0"/>
            </w:tcBorders>
            <w:tcMar>
              <w:top w:type="dxa" w:w="60"/>
              <w:left w:type="dxa" w:w="100"/>
              <w:bottom w:type="dxa" w:w="60"/>
              <w:right w:type="dxa" w:w="80"/>
            </w:tcMar>
            <w:vAlign w:val="center"/>
          </w:tcPr>
          <w:p>
            <w:r>
              <w:rPr>
                <w:rFonts w:ascii="Arial" w:cs="Arial" w:eastAsia="Arial" w:hAnsi="Arial"/>
                <w:b/>
                <w:bCs/>
                <w:color w:val="1a1a2e"/>
                <w:sz w:val="18"/>
                <w:szCs w:val="18"/>
              </w:rPr>
              <w:t xml:space="preserve">CERT-FR - CERTFR-2026-CTI-002</w:t>
            </w:r>
          </w:p>
        </w:tc>
        <w:tc>
          <w:tcPr>
            <w:tcW w:type="dxa" w:w="4061"/>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i/>
                <w:iCs/>
                <w:color w:val="5F5E5A"/>
                <w:sz w:val="18"/>
                <w:szCs w:val="18"/>
              </w:rPr>
              <w:t xml:space="preserve">cert.ssi.gouv.fr - mars 2026</w:t>
            </w:r>
          </w:p>
        </w:tc>
      </w:tr>
      <w:tr>
        <w:tc>
          <w:tcPr>
            <w:tcW w:type="dxa" w:w="4964"/>
            <w:tcBorders>
              <w:top w:val="none" w:color="FFFFFF" w:sz="0"/>
              <w:left w:val="none" w:color="FFFFFF" w:sz="0"/>
              <w:bottom w:val="none" w:color="FFFFFF" w:sz="0"/>
              <w:right w:val="none" w:color="FFFFFF" w:sz="0"/>
            </w:tcBorders>
            <w:tcMar>
              <w:top w:type="dxa" w:w="60"/>
              <w:left w:type="dxa" w:w="100"/>
              <w:bottom w:type="dxa" w:w="60"/>
              <w:right w:type="dxa" w:w="80"/>
            </w:tcMar>
            <w:vAlign w:val="center"/>
          </w:tcPr>
          <w:p>
            <w:r>
              <w:rPr>
                <w:rFonts w:ascii="Arial" w:cs="Arial" w:eastAsia="Arial" w:hAnsi="Arial"/>
                <w:b/>
                <w:bCs/>
                <w:color w:val="1a1a2e"/>
                <w:sz w:val="18"/>
                <w:szCs w:val="18"/>
              </w:rPr>
              <w:t xml:space="preserve">ANSSI - Rapport d activite 2025</w:t>
            </w:r>
          </w:p>
        </w:tc>
        <w:tc>
          <w:tcPr>
            <w:tcW w:type="dxa" w:w="4061"/>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i/>
                <w:iCs/>
                <w:color w:val="5F5E5A"/>
                <w:sz w:val="18"/>
                <w:szCs w:val="18"/>
              </w:rPr>
              <w:t xml:space="preserve">cyber.gouv.fr - 4 mai 2026</w:t>
            </w:r>
          </w:p>
        </w:tc>
      </w:tr>
      <w:tr>
        <w:tc>
          <w:tcPr>
            <w:tcW w:type="dxa" w:w="4964"/>
            <w:tcBorders>
              <w:top w:val="none" w:color="FFFFFF" w:sz="0"/>
              <w:left w:val="none" w:color="FFFFFF" w:sz="0"/>
              <w:bottom w:val="none" w:color="FFFFFF" w:sz="0"/>
              <w:right w:val="none" w:color="FFFFFF" w:sz="0"/>
            </w:tcBorders>
            <w:tcMar>
              <w:top w:type="dxa" w:w="60"/>
              <w:left w:type="dxa" w:w="100"/>
              <w:bottom w:type="dxa" w:w="60"/>
              <w:right w:type="dxa" w:w="80"/>
            </w:tcMar>
            <w:vAlign w:val="center"/>
          </w:tcPr>
          <w:p>
            <w:r>
              <w:rPr>
                <w:rFonts w:ascii="Arial" w:cs="Arial" w:eastAsia="Arial" w:hAnsi="Arial"/>
                <w:b/>
                <w:bCs/>
                <w:color w:val="1a1a2e"/>
                <w:sz w:val="18"/>
                <w:szCs w:val="18"/>
              </w:rPr>
              <w:t xml:space="preserve">ZATAZ.com - Veille hebdomadaire</w:t>
            </w:r>
          </w:p>
        </w:tc>
        <w:tc>
          <w:tcPr>
            <w:tcW w:type="dxa" w:w="4061"/>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i/>
                <w:iCs/>
                <w:color w:val="5F5E5A"/>
                <w:sz w:val="18"/>
                <w:szCs w:val="18"/>
              </w:rPr>
              <w:t xml:space="preserve">zataz.com - mai 2026</w:t>
            </w:r>
          </w:p>
        </w:tc>
      </w:tr>
      <w:tr>
        <w:tc>
          <w:tcPr>
            <w:tcW w:type="dxa" w:w="4964"/>
            <w:tcBorders>
              <w:top w:val="none" w:color="FFFFFF" w:sz="0"/>
              <w:left w:val="none" w:color="FFFFFF" w:sz="0"/>
              <w:bottom w:val="none" w:color="FFFFFF" w:sz="0"/>
              <w:right w:val="none" w:color="FFFFFF" w:sz="0"/>
            </w:tcBorders>
            <w:tcMar>
              <w:top w:type="dxa" w:w="60"/>
              <w:left w:type="dxa" w:w="100"/>
              <w:bottom w:type="dxa" w:w="60"/>
              <w:right w:type="dxa" w:w="80"/>
            </w:tcMar>
            <w:vAlign w:val="center"/>
          </w:tcPr>
          <w:p>
            <w:r>
              <w:rPr>
                <w:rFonts w:ascii="Arial" w:cs="Arial" w:eastAsia="Arial" w:hAnsi="Arial"/>
                <w:b/>
                <w:bCs/>
                <w:color w:val="1a1a2e"/>
                <w:sz w:val="18"/>
                <w:szCs w:val="18"/>
              </w:rPr>
              <w:t xml:space="preserve">Info.gouv.fr - Plan Lecornu</w:t>
            </w:r>
          </w:p>
        </w:tc>
        <w:tc>
          <w:tcPr>
            <w:tcW w:type="dxa" w:w="4061"/>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i/>
                <w:iCs/>
                <w:color w:val="5F5E5A"/>
                <w:sz w:val="18"/>
                <w:szCs w:val="18"/>
              </w:rPr>
              <w:t xml:space="preserve">info.gouv.fr - 30 avril 2026</w:t>
            </w:r>
          </w:p>
        </w:tc>
      </w:tr>
      <w:tr>
        <w:tc>
          <w:tcPr>
            <w:tcW w:type="dxa" w:w="4964"/>
            <w:tcBorders>
              <w:top w:val="none" w:color="FFFFFF" w:sz="0"/>
              <w:left w:val="none" w:color="FFFFFF" w:sz="0"/>
              <w:bottom w:val="none" w:color="FFFFFF" w:sz="0"/>
              <w:right w:val="none" w:color="FFFFFF" w:sz="0"/>
            </w:tcBorders>
            <w:tcMar>
              <w:top w:type="dxa" w:w="60"/>
              <w:left w:type="dxa" w:w="100"/>
              <w:bottom w:type="dxa" w:w="60"/>
              <w:right w:type="dxa" w:w="80"/>
            </w:tcMar>
            <w:vAlign w:val="center"/>
          </w:tcPr>
          <w:p>
            <w:r>
              <w:rPr>
                <w:rFonts w:ascii="Arial" w:cs="Arial" w:eastAsia="Arial" w:hAnsi="Arial"/>
                <w:b/>
                <w:bCs/>
                <w:color w:val="1a1a2e"/>
                <w:sz w:val="18"/>
                <w:szCs w:val="18"/>
              </w:rPr>
              <w:t xml:space="preserve">Orange Pro - Menaces 2026</w:t>
            </w:r>
          </w:p>
        </w:tc>
        <w:tc>
          <w:tcPr>
            <w:tcW w:type="dxa" w:w="4061"/>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i/>
                <w:iCs/>
                <w:color w:val="5F5E5A"/>
                <w:sz w:val="18"/>
                <w:szCs w:val="18"/>
              </w:rPr>
              <w:t xml:space="preserve">pro.orange.fr - fevrier 2026</w:t>
            </w:r>
          </w:p>
        </w:tc>
      </w:tr>
      <w:tr>
        <w:tc>
          <w:tcPr>
            <w:tcW w:type="dxa" w:w="4964"/>
            <w:tcBorders>
              <w:top w:val="none" w:color="FFFFFF" w:sz="0"/>
              <w:left w:val="none" w:color="FFFFFF" w:sz="0"/>
              <w:bottom w:val="none" w:color="FFFFFF" w:sz="0"/>
              <w:right w:val="none" w:color="FFFFFF" w:sz="0"/>
            </w:tcBorders>
            <w:tcMar>
              <w:top w:type="dxa" w:w="60"/>
              <w:left w:type="dxa" w:w="100"/>
              <w:bottom w:type="dxa" w:w="60"/>
              <w:right w:type="dxa" w:w="80"/>
            </w:tcMar>
            <w:vAlign w:val="center"/>
          </w:tcPr>
          <w:p>
            <w:r>
              <w:rPr>
                <w:rFonts w:ascii="Arial" w:cs="Arial" w:eastAsia="Arial" w:hAnsi="Arial"/>
                <w:b/>
                <w:bCs/>
                <w:color w:val="1a1a2e"/>
                <w:sz w:val="18"/>
                <w:szCs w:val="18"/>
              </w:rPr>
              <w:t xml:space="preserve">InterCERT France - incidentologie</w:t>
            </w:r>
          </w:p>
        </w:tc>
        <w:tc>
          <w:tcPr>
            <w:tcW w:type="dxa" w:w="4061"/>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i/>
                <w:iCs/>
                <w:color w:val="5F5E5A"/>
                <w:sz w:val="18"/>
                <w:szCs w:val="18"/>
              </w:rPr>
              <w:t xml:space="preserve">datasecuritybreach.fr - mai 2026</w:t>
            </w:r>
          </w:p>
        </w:tc>
      </w:tr>
      <w:tr>
        <w:tc>
          <w:tcPr>
            <w:tcW w:type="dxa" w:w="4964"/>
            <w:tcBorders>
              <w:top w:val="none" w:color="FFFFFF" w:sz="0"/>
              <w:left w:val="none" w:color="FFFFFF" w:sz="0"/>
              <w:bottom w:val="none" w:color="FFFFFF" w:sz="0"/>
              <w:right w:val="none" w:color="FFFFFF" w:sz="0"/>
            </w:tcBorders>
            <w:tcMar>
              <w:top w:type="dxa" w:w="60"/>
              <w:left w:type="dxa" w:w="100"/>
              <w:bottom w:type="dxa" w:w="60"/>
              <w:right w:type="dxa" w:w="80"/>
            </w:tcMar>
            <w:vAlign w:val="center"/>
          </w:tcPr>
          <w:p>
            <w:r>
              <w:rPr>
                <w:rFonts w:ascii="Arial" w:cs="Arial" w:eastAsia="Arial" w:hAnsi="Arial"/>
                <w:b/>
                <w:bCs/>
                <w:color w:val="1a1a2e"/>
                <w:sz w:val="18"/>
                <w:szCs w:val="18"/>
              </w:rPr>
              <w:t xml:space="preserve">Barometre CESIN 2026</w:t>
            </w:r>
          </w:p>
        </w:tc>
        <w:tc>
          <w:tcPr>
            <w:tcW w:type="dxa" w:w="4061"/>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r>
              <w:rPr>
                <w:rFonts w:ascii="Arial" w:cs="Arial" w:eastAsia="Arial" w:hAnsi="Arial"/>
                <w:i/>
                <w:iCs/>
                <w:color w:val="5F5E5A"/>
                <w:sz w:val="18"/>
                <w:szCs w:val="18"/>
              </w:rPr>
              <w:t xml:space="preserve">cesin.fr - mars 2026</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1EFE8" w:val="clear"/>
            <w:tcMar>
              <w:top w:type="dxa" w:w="100"/>
              <w:left w:type="dxa" w:w="180"/>
              <w:bottom w:type="dxa" w:w="100"/>
              <w:right w:type="dxa" w:w="180"/>
            </w:tcMar>
          </w:tcPr>
          <w:p>
            <w:pPr>
              <w:jc w:val="center"/>
            </w:pPr>
            <w:r>
              <w:rPr>
                <w:rFonts w:ascii="Arial" w:cs="Arial" w:eastAsia="Arial" w:hAnsi="Arial"/>
                <w:i/>
                <w:iCs/>
                <w:color w:val="5F5E5A"/>
                <w:sz w:val="16"/>
                <w:szCs w:val="16"/>
              </w:rPr>
              <w:t xml:space="preserve">Rapport de veille mensuelle - Cybersecurite 2026 - BTS SIO SISR | Genere le 28 mai 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spacing w:after="0" w:before="80"/>
    </w:pPr>
    <w:r>
      <w:rPr>
        <w:rFonts w:ascii="Arial" w:cs="Arial" w:eastAsia="Arial" w:hAnsi="Arial"/>
        <w:color w:val="5F5E5A"/>
        <w:sz w:val="16"/>
        <w:szCs w:val="16"/>
      </w:rPr>
      <w:t xml:space="preserve">BTS SIO SISR - Cybersecurite - Evolution des menaces &amp; protection des infrastructures - Mai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pPr>
    <w:r>
      <w:rPr>
        <w:rFonts w:ascii="Arial" w:cs="Arial" w:eastAsia="Arial" w:hAnsi="Arial"/>
        <w:color w:val="5F5E5A"/>
        <w:sz w:val="16"/>
        <w:szCs w:val="16"/>
      </w:rPr>
      <w:t xml:space="preserve">Veille Cybersecurite | Mai 2026  |  ANSSI - CERT-FR - ZATAZ - LMI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2026-05-28T08:04:42.956Z</dcterms:created>
  <dcterms:modified xsi:type="dcterms:W3CDTF">2026-05-28T08:04:42.956Z</dcterms:modified>
</cp:coreProperties>
</file>

<file path=docProps/custom.xml><?xml version="1.0" encoding="utf-8"?>
<Properties xmlns="http://schemas.openxmlformats.org/officeDocument/2006/custom-properties" xmlns:vt="http://schemas.openxmlformats.org/officeDocument/2006/docPropsVTypes"/>
</file>