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Dual-indexed</w:t>
      </w:r>
      <w:r>
        <w:t xml:space="preserve"> </w:t>
      </w:r>
      <w:r>
        <w:t xml:space="preserve">library</w:t>
      </w:r>
      <w:r>
        <w:t xml:space="preserve"> </w:t>
      </w:r>
      <w:r>
        <w:t xml:space="preserve">preparation</w:t>
      </w:r>
      <w:r>
        <w:t xml:space="preserve"> </w:t>
      </w:r>
      <w:r>
        <w:t xml:space="preserve">of</w:t>
      </w:r>
      <w:r>
        <w:t xml:space="preserve"> </w:t>
      </w:r>
      <w:r>
        <w:t xml:space="preserve">gDNA</w:t>
      </w:r>
      <w:r>
        <w:t xml:space="preserve"> </w:t>
      </w:r>
      <w:r>
        <w:t xml:space="preserve">for</w:t>
      </w:r>
      <w:r>
        <w:t xml:space="preserve"> </w:t>
      </w:r>
      <w:r>
        <w:t xml:space="preserve">Illumina</w:t>
      </w:r>
      <w:r>
        <w:t xml:space="preserve"> </w:t>
      </w:r>
      <w:r>
        <w:t xml:space="preserve">sequencing</w:t>
      </w:r>
    </w:p>
    <w:p>
      <w:pPr>
        <w:pStyle w:val="Author"/>
      </w:pPr>
      <w:r>
        <w:t xml:space="preserve">James</w:t>
      </w:r>
      <w:r>
        <w:t xml:space="preserve"> </w:t>
      </w:r>
      <w:r>
        <w:t xml:space="preserve">S.</w:t>
      </w:r>
      <w:r>
        <w:t xml:space="preserve"> </w:t>
      </w:r>
      <w:r>
        <w:t xml:space="preserve">Santangelo</w:t>
      </w:r>
    </w:p>
    <w:p>
      <w:pPr>
        <w:pStyle w:val="Date"/>
      </w:pPr>
      <w:r>
        <w:rPr>
          <w:bCs/>
          <w:b/>
        </w:rPr>
        <w:t xml:space="preserve">Last</w:t>
      </w:r>
      <w:r>
        <w:rPr>
          <w:bCs/>
          <w:b/>
        </w:rPr>
        <w:t xml:space="preserve"> </w:t>
      </w:r>
      <w:r>
        <w:rPr>
          <w:bCs/>
          <w:b/>
        </w:rPr>
        <w:t xml:space="preserve">updated:</w:t>
      </w:r>
      <w:r>
        <w:t xml:space="preserve"> </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4" w:name="version-history"/>
    <w:p>
      <w:pPr>
        <w:pStyle w:val="Heading1"/>
      </w:pPr>
      <w:r>
        <w:t xml:space="preserve">Version history</w:t>
      </w:r>
    </w:p>
    <w:bookmarkStart w:id="20" w:name="v1.2.0-latest"/>
    <w:p>
      <w:pPr>
        <w:pStyle w:val="Heading4"/>
      </w:pPr>
      <w:r>
        <w:t xml:space="preserve">v1.2.0 (Latest)</w:t>
      </w:r>
    </w:p>
    <w:p>
      <w:pPr>
        <w:numPr>
          <w:ilvl w:val="0"/>
          <w:numId w:val="1001"/>
        </w:numPr>
        <w:pStyle w:val="Compact"/>
      </w:pPr>
      <w:r>
        <w:t xml:space="preserve">Added consumables to supplies and updated costs</w:t>
      </w:r>
    </w:p>
    <w:p>
      <w:pPr>
        <w:numPr>
          <w:ilvl w:val="0"/>
          <w:numId w:val="1001"/>
        </w:numPr>
        <w:pStyle w:val="Compact"/>
      </w:pPr>
      <w:r>
        <w:t xml:space="preserve">Updated DNA shearing conditions and added transfer step post-cleanup</w:t>
      </w:r>
    </w:p>
    <w:p>
      <w:pPr>
        <w:numPr>
          <w:ilvl w:val="0"/>
          <w:numId w:val="1001"/>
        </w:numPr>
        <w:pStyle w:val="Compact"/>
      </w:pPr>
      <w:r>
        <w:t xml:space="preserve">Updated Taq concentration for A-tailing</w:t>
      </w:r>
    </w:p>
    <w:p>
      <w:pPr>
        <w:numPr>
          <w:ilvl w:val="0"/>
          <w:numId w:val="1001"/>
        </w:numPr>
        <w:pStyle w:val="Compact"/>
      </w:pPr>
      <w:r>
        <w:t xml:space="preserve">Clarified creation of equimolar dilutions and final library pool</w:t>
      </w:r>
    </w:p>
    <w:p>
      <w:pPr>
        <w:numPr>
          <w:ilvl w:val="0"/>
          <w:numId w:val="1001"/>
        </w:numPr>
        <w:pStyle w:val="Compact"/>
      </w:pPr>
      <w:r>
        <w:t xml:space="preserve">Added QC steps for final library</w:t>
      </w:r>
    </w:p>
    <w:p>
      <w:pPr>
        <w:numPr>
          <w:ilvl w:val="0"/>
          <w:numId w:val="1001"/>
        </w:numPr>
        <w:pStyle w:val="Compact"/>
      </w:pPr>
      <w:r>
        <w:t xml:space="preserve">Minor clarifications and typo fixes</w:t>
      </w:r>
    </w:p>
    <w:bookmarkEnd w:id="20"/>
    <w:bookmarkStart w:id="21" w:name="v1.1.1"/>
    <w:p>
      <w:pPr>
        <w:pStyle w:val="Heading4"/>
      </w:pPr>
      <w:r>
        <w:t xml:space="preserve">v1.1.1</w:t>
      </w:r>
    </w:p>
    <w:p>
      <w:pPr>
        <w:numPr>
          <w:ilvl w:val="0"/>
          <w:numId w:val="1002"/>
        </w:numPr>
        <w:pStyle w:val="Compact"/>
      </w:pPr>
      <w:r>
        <w:t xml:space="preserve">Minor typo fixes</w:t>
      </w:r>
    </w:p>
    <w:p>
      <w:pPr>
        <w:numPr>
          <w:ilvl w:val="0"/>
          <w:numId w:val="1002"/>
        </w:numPr>
        <w:pStyle w:val="Compact"/>
      </w:pPr>
      <w:r>
        <w:t xml:space="preserve">Added details on performin 2nd PCR raction to increase concentrations</w:t>
      </w:r>
    </w:p>
    <w:p>
      <w:pPr>
        <w:numPr>
          <w:ilvl w:val="0"/>
          <w:numId w:val="1002"/>
        </w:numPr>
        <w:pStyle w:val="Compact"/>
      </w:pPr>
      <w:r>
        <w:t xml:space="preserve">Added details on pooling into equimolar pools for sequencing</w:t>
      </w:r>
    </w:p>
    <w:bookmarkEnd w:id="21"/>
    <w:bookmarkStart w:id="22" w:name="v1.1.0"/>
    <w:p>
      <w:pPr>
        <w:pStyle w:val="Heading4"/>
      </w:pPr>
      <w:r>
        <w:t xml:space="preserve">v1.1.0</w:t>
      </w:r>
    </w:p>
    <w:p>
      <w:pPr>
        <w:numPr>
          <w:ilvl w:val="0"/>
          <w:numId w:val="1003"/>
        </w:numPr>
        <w:pStyle w:val="Compact"/>
      </w:pPr>
      <w:r>
        <w:t xml:space="preserve">Added colored links</w:t>
      </w:r>
    </w:p>
    <w:p>
      <w:pPr>
        <w:numPr>
          <w:ilvl w:val="0"/>
          <w:numId w:val="1003"/>
        </w:numPr>
        <w:pStyle w:val="Compact"/>
      </w:pPr>
      <w:r>
        <w:t xml:space="preserve">Minor typo and syntax changes</w:t>
      </w:r>
    </w:p>
    <w:p>
      <w:pPr>
        <w:numPr>
          <w:ilvl w:val="0"/>
          <w:numId w:val="1003"/>
        </w:numPr>
        <w:pStyle w:val="Compact"/>
      </w:pPr>
      <w:r>
        <w:t xml:space="preserve">Updated end-repair master mix</w:t>
      </w:r>
    </w:p>
    <w:p>
      <w:pPr>
        <w:numPr>
          <w:ilvl w:val="0"/>
          <w:numId w:val="1003"/>
        </w:numPr>
        <w:pStyle w:val="Compact"/>
      </w:pPr>
      <w:r>
        <w:t xml:space="preserve">Added post shearing bead cleanup</w:t>
      </w:r>
    </w:p>
    <w:p>
      <w:pPr>
        <w:numPr>
          <w:ilvl w:val="0"/>
          <w:numId w:val="1003"/>
        </w:numPr>
        <w:pStyle w:val="Compact"/>
      </w:pPr>
      <w:r>
        <w:t xml:space="preserve">Autogenerated references</w:t>
      </w:r>
    </w:p>
    <w:p>
      <w:pPr>
        <w:numPr>
          <w:ilvl w:val="0"/>
          <w:numId w:val="1003"/>
        </w:numPr>
        <w:pStyle w:val="Compact"/>
      </w:pPr>
      <w:r>
        <w:t xml:space="preserve">Added YAML header to generate table of contents, title, author, and last updated</w:t>
      </w:r>
    </w:p>
    <w:bookmarkEnd w:id="22"/>
    <w:bookmarkStart w:id="23" w:name="v1.0.0-july-10-2019"/>
    <w:p>
      <w:pPr>
        <w:pStyle w:val="Heading4"/>
      </w:pPr>
      <w:r>
        <w:t xml:space="preserve">v1.0.0 (July 10, 2019)</w:t>
      </w:r>
    </w:p>
    <w:p>
      <w:pPr>
        <w:numPr>
          <w:ilvl w:val="0"/>
          <w:numId w:val="1004"/>
        </w:numPr>
        <w:pStyle w:val="Compact"/>
      </w:pPr>
      <w:r>
        <w:t xml:space="preserve">Initial commit of protocol</w:t>
      </w:r>
    </w:p>
    <w:bookmarkEnd w:id="23"/>
    <w:bookmarkEnd w:id="24"/>
    <w:bookmarkStart w:id="28" w:name="setting-up"/>
    <w:p>
      <w:pPr>
        <w:pStyle w:val="Heading1"/>
      </w:pPr>
      <w:r>
        <w:t xml:space="preserve">Setting up</w:t>
      </w:r>
    </w:p>
    <w:bookmarkStart w:id="25" w:name="reagents"/>
    <w:p>
      <w:pPr>
        <w:pStyle w:val="Heading2"/>
      </w:pPr>
      <w:r>
        <w:t xml:space="preserve">Reagents</w:t>
      </w:r>
    </w:p>
    <w:p>
      <w:pPr>
        <w:pStyle w:val="FirstParagraph"/>
      </w:pPr>
      <w:r>
        <w:rPr>
          <w:bCs/>
          <w:b/>
        </w:rPr>
        <w:t xml:space="preserve">Table 1:</w:t>
      </w:r>
      <w:r>
        <w:t xml:space="preserve"> </w:t>
      </w:r>
      <w:r>
        <w:t xml:space="preserve">Reagents and consumables used during library prep, including supplier and catalog numbers. All costs are approximate.</w:t>
      </w:r>
    </w:p>
    <w:tbl>
      <w:tblPr>
        <w:tblStyle w:val="Table"/>
        <w:tblW w:type="pct" w:w="0.0"/>
        <w:tblLook w:firstRow="1" w:lastRow="0" w:firstColumn="0" w:lastColumn="0" w:noHBand="0" w:noVBand="0" w:val="0020"/>
      </w:tblPr>
      <w:tblGrid/>
      <w:tr>
        <w:tc>
          <w:p>
            <w:pPr>
              <w:pStyle w:val="Compact"/>
              <w:jc w:val="left"/>
            </w:pPr>
            <w:r>
              <w:t xml:space="preserve">Reagent</w:t>
            </w:r>
          </w:p>
        </w:tc>
        <w:tc>
          <w:p>
            <w:pPr>
              <w:pStyle w:val="Compact"/>
              <w:jc w:val="left"/>
            </w:pPr>
            <w:r>
              <w:t xml:space="preserve">Supplier</w:t>
            </w:r>
          </w:p>
        </w:tc>
        <w:tc>
          <w:p>
            <w:pPr>
              <w:pStyle w:val="Compact"/>
              <w:jc w:val="left"/>
            </w:pPr>
            <w:r>
              <w:t xml:space="preserve">Catalog #</w:t>
            </w:r>
          </w:p>
        </w:tc>
        <w:tc>
          <w:p>
            <w:pPr>
              <w:pStyle w:val="Compact"/>
              <w:jc w:val="left"/>
            </w:pPr>
            <w:r>
              <w:t xml:space="preserve">Cost (CAD)</w:t>
            </w:r>
          </w:p>
        </w:tc>
        <w:tc>
          <w:p>
            <w:pPr>
              <w:pStyle w:val="Compact"/>
              <w:jc w:val="left"/>
            </w:pPr>
            <w:r>
              <w:t xml:space="preserve">Cost/reaction</w:t>
            </w:r>
          </w:p>
        </w:tc>
      </w:tr>
      <w:tr>
        <w:tc>
          <w:p>
            <w:pPr>
              <w:pStyle w:val="Compact"/>
              <w:jc w:val="left"/>
            </w:pPr>
            <w:r>
              <w:t xml:space="preserve">Bioruptor tubes</w:t>
            </w:r>
          </w:p>
        </w:tc>
        <w:tc>
          <w:p>
            <w:pPr>
              <w:pStyle w:val="Compact"/>
              <w:jc w:val="left"/>
            </w:pPr>
            <w:r>
              <w:t xml:space="preserve">Diagenode</w:t>
            </w:r>
          </w:p>
        </w:tc>
        <w:tc>
          <w:p>
            <w:pPr>
              <w:pStyle w:val="Compact"/>
              <w:jc w:val="left"/>
            </w:pPr>
            <w:r>
              <w:t xml:space="preserve">C30010020</w:t>
            </w:r>
          </w:p>
        </w:tc>
        <w:tc>
          <w:p>
            <w:pPr>
              <w:pStyle w:val="Compact"/>
              <w:jc w:val="left"/>
            </w:pPr>
            <w:r>
              <w:t xml:space="preserve">527.33</w:t>
            </w:r>
          </w:p>
        </w:tc>
        <w:tc>
          <w:p>
            <w:pPr>
              <w:pStyle w:val="Compact"/>
              <w:jc w:val="left"/>
            </w:pPr>
            <w:r>
              <w:t xml:space="preserve">0.53</w:t>
            </w:r>
          </w:p>
        </w:tc>
      </w:tr>
      <w:tr>
        <w:tc>
          <w:p>
            <w:pPr>
              <w:pStyle w:val="Compact"/>
              <w:jc w:val="left"/>
            </w:pPr>
            <w:r>
              <w:t xml:space="preserve">PCR Tubes</w:t>
            </w:r>
          </w:p>
        </w:tc>
        <w:tc>
          <w:p>
            <w:pPr>
              <w:pStyle w:val="Compact"/>
              <w:jc w:val="left"/>
            </w:pPr>
            <w:r>
              <w:t xml:space="preserve">VWR</w:t>
            </w:r>
          </w:p>
        </w:tc>
        <w:tc>
          <w:p>
            <w:pPr>
              <w:pStyle w:val="Compact"/>
              <w:jc w:val="left"/>
            </w:pPr>
            <w:r>
              <w:t xml:space="preserve">93001-118</w:t>
            </w:r>
          </w:p>
        </w:tc>
        <w:tc>
          <w:p>
            <w:pPr>
              <w:pStyle w:val="Compact"/>
              <w:jc w:val="left"/>
            </w:pPr>
            <w:r>
              <w:t xml:space="preserve">86.10</w:t>
            </w:r>
          </w:p>
        </w:tc>
        <w:tc>
          <w:p>
            <w:pPr>
              <w:pStyle w:val="Compact"/>
              <w:jc w:val="left"/>
            </w:pPr>
            <w:r>
              <w:t xml:space="preserve">2.87</w:t>
            </w:r>
          </w:p>
        </w:tc>
      </w:tr>
      <w:tr>
        <w:tc>
          <w:p>
            <w:pPr>
              <w:pStyle w:val="Compact"/>
              <w:jc w:val="left"/>
            </w:pPr>
            <w:r>
              <w:t xml:space="preserve">Pipette tips 200 uL</w:t>
            </w:r>
          </w:p>
        </w:tc>
        <w:tc>
          <w:p>
            <w:pPr>
              <w:pStyle w:val="Compact"/>
              <w:jc w:val="left"/>
            </w:pPr>
            <w:r>
              <w:t xml:space="preserve">TR-222-C-L</w:t>
            </w:r>
          </w:p>
        </w:tc>
        <w:tc>
          <w:p>
            <w:pPr>
              <w:pStyle w:val="Compact"/>
              <w:jc w:val="left"/>
            </w:pPr>
            <w:r>
              <w:t xml:space="preserve">Corning</w:t>
            </w:r>
          </w:p>
        </w:tc>
        <w:tc>
          <w:p>
            <w:pPr>
              <w:pStyle w:val="Compact"/>
              <w:jc w:val="left"/>
            </w:pPr>
            <w:r>
              <w:t xml:space="preserve">41.54</w:t>
            </w:r>
          </w:p>
        </w:tc>
        <w:tc>
          <w:p>
            <w:pPr>
              <w:pStyle w:val="Compact"/>
              <w:jc w:val="left"/>
            </w:pPr>
            <w:r>
              <w:t xml:space="preserve">0.83</w:t>
            </w:r>
          </w:p>
        </w:tc>
      </w:tr>
      <w:tr>
        <w:tc>
          <w:p>
            <w:pPr>
              <w:pStyle w:val="Compact"/>
              <w:jc w:val="left"/>
            </w:pPr>
            <w:r>
              <w:t xml:space="preserve">Pipetter tips 10 uL</w:t>
            </w:r>
          </w:p>
        </w:tc>
        <w:tc>
          <w:p>
            <w:pPr>
              <w:pStyle w:val="Compact"/>
              <w:jc w:val="left"/>
            </w:pPr>
            <w:r>
              <w:t xml:space="preserve">T-300-L</w:t>
            </w:r>
          </w:p>
        </w:tc>
        <w:tc>
          <w:p>
            <w:pPr>
              <w:pStyle w:val="Compact"/>
              <w:jc w:val="left"/>
            </w:pPr>
            <w:r>
              <w:t xml:space="preserve">Corning</w:t>
            </w:r>
          </w:p>
        </w:tc>
        <w:tc>
          <w:p>
            <w:pPr>
              <w:pStyle w:val="Compact"/>
              <w:jc w:val="left"/>
            </w:pPr>
            <w:r>
              <w:t xml:space="preserve">38.75</w:t>
            </w:r>
          </w:p>
        </w:tc>
        <w:tc>
          <w:p>
            <w:pPr>
              <w:pStyle w:val="Compact"/>
              <w:jc w:val="left"/>
            </w:pPr>
            <w:r>
              <w:t xml:space="preserve">0.77</w:t>
            </w:r>
          </w:p>
        </w:tc>
      </w:tr>
      <w:tr>
        <w:tc>
          <w:p>
            <w:pPr>
              <w:pStyle w:val="Compact"/>
              <w:jc w:val="left"/>
            </w:pPr>
            <w:r>
              <w:t xml:space="preserve">dNTP</w:t>
            </w:r>
          </w:p>
        </w:tc>
        <w:tc>
          <w:p>
            <w:pPr>
              <w:pStyle w:val="Compact"/>
              <w:jc w:val="left"/>
            </w:pPr>
            <w:r>
              <w:t xml:space="preserve">Fisher</w:t>
            </w:r>
          </w:p>
        </w:tc>
        <w:tc>
          <w:p>
            <w:pPr>
              <w:pStyle w:val="Compact"/>
              <w:jc w:val="left"/>
            </w:pPr>
            <w:r>
              <w:t xml:space="preserve">Fermentas R1121</w:t>
            </w:r>
          </w:p>
        </w:tc>
        <w:tc>
          <w:p>
            <w:pPr>
              <w:pStyle w:val="Compact"/>
              <w:jc w:val="left"/>
            </w:pPr>
            <w:r>
              <w:t xml:space="preserve">265</w:t>
            </w:r>
          </w:p>
        </w:tc>
        <w:tc>
          <w:p>
            <w:pPr>
              <w:pStyle w:val="Compact"/>
              <w:jc w:val="left"/>
            </w:pPr>
            <w:r>
              <w:t xml:space="preserve">0.04</w:t>
            </w:r>
          </w:p>
        </w:tc>
      </w:tr>
      <w:tr>
        <w:tc>
          <w:p>
            <w:pPr>
              <w:pStyle w:val="Compact"/>
              <w:jc w:val="left"/>
            </w:pPr>
            <w:r>
              <w:t xml:space="preserve">ATP</w:t>
            </w:r>
          </w:p>
        </w:tc>
        <w:tc>
          <w:p>
            <w:pPr>
              <w:pStyle w:val="Compact"/>
              <w:jc w:val="left"/>
            </w:pPr>
            <w:r>
              <w:t xml:space="preserve">Fisher</w:t>
            </w:r>
          </w:p>
        </w:tc>
        <w:tc>
          <w:p>
            <w:pPr>
              <w:pStyle w:val="Compact"/>
              <w:jc w:val="left"/>
            </w:pPr>
            <w:r>
              <w:t xml:space="preserve">Fermentas R0441</w:t>
            </w:r>
          </w:p>
        </w:tc>
        <w:tc>
          <w:p>
            <w:pPr>
              <w:pStyle w:val="Compact"/>
              <w:jc w:val="left"/>
            </w:pPr>
            <w:r>
              <w:t xml:space="preserve">52.25</w:t>
            </w:r>
          </w:p>
        </w:tc>
        <w:tc>
          <w:p>
            <w:pPr>
              <w:pStyle w:val="Compact"/>
              <w:jc w:val="left"/>
            </w:pPr>
            <w:r>
              <w:t xml:space="preserve">0.07</w:t>
            </w:r>
          </w:p>
        </w:tc>
      </w:tr>
      <w:tr>
        <w:tc>
          <w:p>
            <w:pPr>
              <w:pStyle w:val="Compact"/>
              <w:jc w:val="left"/>
            </w:pPr>
            <w:r>
              <w:t xml:space="preserve">Tango buffer</w:t>
            </w:r>
          </w:p>
        </w:tc>
        <w:tc>
          <w:p>
            <w:pPr>
              <w:pStyle w:val="Compact"/>
              <w:jc w:val="left"/>
            </w:pPr>
            <w:r>
              <w:t xml:space="preserve">Fisher</w:t>
            </w:r>
          </w:p>
        </w:tc>
        <w:tc>
          <w:p>
            <w:pPr>
              <w:pStyle w:val="Compact"/>
              <w:jc w:val="left"/>
            </w:pPr>
            <w:r>
              <w:t xml:space="preserve">Fermentas BY5</w:t>
            </w:r>
          </w:p>
        </w:tc>
        <w:tc>
          <w:p>
            <w:pPr>
              <w:pStyle w:val="Compact"/>
              <w:jc w:val="left"/>
            </w:pPr>
            <w:r>
              <w:t xml:space="preserve">14.3</w:t>
            </w:r>
          </w:p>
        </w:tc>
        <w:tc>
          <w:p>
            <w:pPr>
              <w:pStyle w:val="Compact"/>
              <w:jc w:val="left"/>
            </w:pPr>
            <w:r>
              <w:t xml:space="preserve">0.01</w:t>
            </w:r>
          </w:p>
        </w:tc>
      </w:tr>
      <w:tr>
        <w:tc>
          <w:p>
            <w:pPr>
              <w:pStyle w:val="Compact"/>
              <w:jc w:val="left"/>
            </w:pPr>
            <w:r>
              <w:t xml:space="preserve">T4 Polynucleotide Kinase</w:t>
            </w:r>
          </w:p>
        </w:tc>
        <w:tc>
          <w:p>
            <w:pPr>
              <w:pStyle w:val="Compact"/>
              <w:jc w:val="left"/>
            </w:pPr>
            <w:r>
              <w:t xml:space="preserve">Fisher</w:t>
            </w:r>
          </w:p>
        </w:tc>
        <w:tc>
          <w:p>
            <w:pPr>
              <w:pStyle w:val="Compact"/>
              <w:jc w:val="left"/>
            </w:pPr>
            <w:r>
              <w:t xml:space="preserve">EK0032</w:t>
            </w:r>
          </w:p>
        </w:tc>
        <w:tc>
          <w:p>
            <w:pPr>
              <w:pStyle w:val="Compact"/>
              <w:jc w:val="left"/>
            </w:pPr>
            <w:r>
              <w:t xml:space="preserve">249</w:t>
            </w:r>
          </w:p>
        </w:tc>
        <w:tc>
          <w:p>
            <w:pPr>
              <w:pStyle w:val="Compact"/>
              <w:jc w:val="left"/>
            </w:pPr>
            <w:r>
              <w:t xml:space="preserve">0.17</w:t>
            </w:r>
          </w:p>
        </w:tc>
      </w:tr>
      <w:tr>
        <w:tc>
          <w:p>
            <w:pPr>
              <w:pStyle w:val="Compact"/>
              <w:jc w:val="left"/>
            </w:pPr>
            <w:r>
              <w:t xml:space="preserve">T4 DNA polymerase</w:t>
            </w:r>
          </w:p>
        </w:tc>
        <w:tc>
          <w:p>
            <w:pPr>
              <w:pStyle w:val="Compact"/>
              <w:jc w:val="left"/>
            </w:pPr>
            <w:r>
              <w:t xml:space="preserve">Fisher</w:t>
            </w:r>
          </w:p>
        </w:tc>
        <w:tc>
          <w:p>
            <w:pPr>
              <w:pStyle w:val="Compact"/>
              <w:jc w:val="left"/>
            </w:pPr>
            <w:r>
              <w:t xml:space="preserve">EP0062</w:t>
            </w:r>
          </w:p>
        </w:tc>
        <w:tc>
          <w:p>
            <w:pPr>
              <w:pStyle w:val="Compact"/>
              <w:jc w:val="left"/>
            </w:pPr>
            <w:r>
              <w:t xml:space="preserve">249</w:t>
            </w:r>
          </w:p>
        </w:tc>
        <w:tc>
          <w:p>
            <w:pPr>
              <w:pStyle w:val="Compact"/>
              <w:jc w:val="left"/>
            </w:pPr>
            <w:r>
              <w:t xml:space="preserve">0.33</w:t>
            </w:r>
          </w:p>
        </w:tc>
      </w:tr>
      <w:tr>
        <w:tc>
          <w:p>
            <w:pPr>
              <w:pStyle w:val="Compact"/>
              <w:jc w:val="left"/>
            </w:pPr>
            <w:r>
              <w:t xml:space="preserve">Nuclease free water</w:t>
            </w:r>
          </w:p>
        </w:tc>
        <w:tc>
          <w:p>
            <w:pPr>
              <w:pStyle w:val="Compact"/>
              <w:jc w:val="left"/>
            </w:pPr>
            <w:r>
              <w:t xml:space="preserve">Fisher</w:t>
            </w:r>
          </w:p>
        </w:tc>
        <w:tc>
          <w:p>
            <w:pPr>
              <w:pStyle w:val="Compact"/>
              <w:jc w:val="left"/>
            </w:pPr>
            <w:r>
              <w:t xml:space="preserve">NA</w:t>
            </w:r>
          </w:p>
        </w:tc>
        <w:tc>
          <w:p>
            <w:pPr>
              <w:pStyle w:val="Compact"/>
              <w:jc w:val="left"/>
            </w:pPr>
            <w:r>
              <w:t xml:space="preserve">33.2</w:t>
            </w:r>
          </w:p>
        </w:tc>
        <w:tc>
          <w:p>
            <w:pPr>
              <w:pStyle w:val="Compact"/>
              <w:jc w:val="left"/>
            </w:pPr>
            <w:r>
              <w:t xml:space="preserve">0.02</w:t>
            </w:r>
          </w:p>
        </w:tc>
      </w:tr>
      <w:tr>
        <w:tc>
          <w:p>
            <w:pPr>
              <w:pStyle w:val="Compact"/>
              <w:jc w:val="left"/>
            </w:pPr>
            <w:r>
              <w:t xml:space="preserve">dATP</w:t>
            </w:r>
          </w:p>
        </w:tc>
        <w:tc>
          <w:p>
            <w:pPr>
              <w:pStyle w:val="Compact"/>
              <w:jc w:val="left"/>
            </w:pPr>
            <w:r>
              <w:t xml:space="preserve">Fisher</w:t>
            </w:r>
          </w:p>
        </w:tc>
        <w:tc>
          <w:p>
            <w:pPr>
              <w:pStyle w:val="Compact"/>
              <w:jc w:val="left"/>
            </w:pPr>
            <w:r>
              <w:t xml:space="preserve">LS10216018</w:t>
            </w:r>
          </w:p>
        </w:tc>
        <w:tc>
          <w:p>
            <w:pPr>
              <w:pStyle w:val="Compact"/>
              <w:jc w:val="left"/>
            </w:pPr>
            <w:r>
              <w:t xml:space="preserve">61.41</w:t>
            </w:r>
          </w:p>
        </w:tc>
        <w:tc>
          <w:p>
            <w:pPr>
              <w:pStyle w:val="Compact"/>
              <w:jc w:val="left"/>
            </w:pPr>
            <w:r>
              <w:t xml:space="preserve">0.04</w:t>
            </w:r>
          </w:p>
        </w:tc>
      </w:tr>
      <w:tr>
        <w:tc>
          <w:p>
            <w:pPr>
              <w:pStyle w:val="Compact"/>
              <w:jc w:val="left"/>
            </w:pPr>
            <w:r>
              <w:t xml:space="preserve">Taq</w:t>
            </w:r>
          </w:p>
        </w:tc>
        <w:tc>
          <w:p>
            <w:pPr>
              <w:pStyle w:val="Compact"/>
              <w:jc w:val="left"/>
            </w:pPr>
            <w:r>
              <w:t xml:space="preserve">Fisher</w:t>
            </w:r>
          </w:p>
        </w:tc>
        <w:tc>
          <w:p>
            <w:pPr>
              <w:pStyle w:val="Compact"/>
              <w:jc w:val="left"/>
            </w:pPr>
            <w:r>
              <w:t xml:space="preserve">LS18038067</w:t>
            </w:r>
          </w:p>
        </w:tc>
        <w:tc>
          <w:p>
            <w:pPr>
              <w:pStyle w:val="Compact"/>
              <w:jc w:val="left"/>
            </w:pPr>
            <w:r>
              <w:t xml:space="preserve">276.22</w:t>
            </w:r>
          </w:p>
        </w:tc>
        <w:tc>
          <w:p>
            <w:pPr>
              <w:pStyle w:val="Compact"/>
              <w:jc w:val="left"/>
            </w:pPr>
            <w:r>
              <w:t xml:space="preserve">0.55</w:t>
            </w:r>
          </w:p>
        </w:tc>
      </w:tr>
      <w:tr>
        <w:tc>
          <w:p>
            <w:pPr>
              <w:pStyle w:val="Compact"/>
              <w:jc w:val="left"/>
            </w:pPr>
            <w:r>
              <w:t xml:space="preserve">iTrusR2-stubRCp</w:t>
            </w:r>
          </w:p>
        </w:tc>
        <w:tc>
          <w:p>
            <w:pPr>
              <w:pStyle w:val="Compact"/>
              <w:jc w:val="left"/>
            </w:pPr>
            <w:r>
              <w:t xml:space="preserve">IDT</w:t>
            </w:r>
          </w:p>
        </w:tc>
        <w:tc>
          <w:p>
            <w:pPr>
              <w:pStyle w:val="Compact"/>
              <w:jc w:val="left"/>
            </w:pPr>
            <w:r>
              <w:t xml:space="preserve">NA</w:t>
            </w:r>
          </w:p>
        </w:tc>
        <w:tc>
          <w:p>
            <w:pPr>
              <w:pStyle w:val="Compact"/>
              <w:jc w:val="left"/>
            </w:pPr>
            <w:r>
              <w:t xml:space="preserve">65.4</w:t>
            </w:r>
          </w:p>
        </w:tc>
        <w:tc>
          <w:p>
            <w:pPr>
              <w:pStyle w:val="Compact"/>
              <w:jc w:val="left"/>
            </w:pPr>
            <w:r>
              <w:t xml:space="preserve">0.01</w:t>
            </w:r>
          </w:p>
        </w:tc>
      </w:tr>
      <w:tr>
        <w:tc>
          <w:p>
            <w:pPr>
              <w:pStyle w:val="Compact"/>
              <w:jc w:val="left"/>
            </w:pPr>
            <w:r>
              <w:t xml:space="preserve">iTrusR1-stub</w:t>
            </w:r>
          </w:p>
        </w:tc>
        <w:tc>
          <w:p>
            <w:pPr>
              <w:pStyle w:val="Compact"/>
              <w:jc w:val="left"/>
            </w:pPr>
            <w:r>
              <w:t xml:space="preserve">IDT</w:t>
            </w:r>
          </w:p>
        </w:tc>
        <w:tc>
          <w:p>
            <w:pPr>
              <w:pStyle w:val="Compact"/>
              <w:jc w:val="left"/>
            </w:pPr>
            <w:r>
              <w:t xml:space="preserve">NA</w:t>
            </w:r>
          </w:p>
        </w:tc>
        <w:tc>
          <w:p>
            <w:pPr>
              <w:pStyle w:val="Compact"/>
              <w:jc w:val="left"/>
            </w:pPr>
            <w:r>
              <w:t xml:space="preserve">35.4</w:t>
            </w:r>
          </w:p>
        </w:tc>
        <w:tc>
          <w:p>
            <w:pPr>
              <w:pStyle w:val="Compact"/>
              <w:jc w:val="left"/>
            </w:pPr>
            <w:r>
              <w:t xml:space="preserve">0.003</w:t>
            </w:r>
          </w:p>
        </w:tc>
      </w:tr>
      <w:tr>
        <w:tc>
          <w:p>
            <w:pPr>
              <w:pStyle w:val="Compact"/>
              <w:jc w:val="left"/>
            </w:pPr>
            <w:r>
              <w:t xml:space="preserve">T4 DNA ligase</w:t>
            </w:r>
          </w:p>
        </w:tc>
        <w:tc>
          <w:p>
            <w:pPr>
              <w:pStyle w:val="Compact"/>
              <w:jc w:val="left"/>
            </w:pPr>
            <w:r>
              <w:t xml:space="preserve">Fisher</w:t>
            </w:r>
          </w:p>
        </w:tc>
        <w:tc>
          <w:p>
            <w:pPr>
              <w:pStyle w:val="Compact"/>
              <w:jc w:val="left"/>
            </w:pPr>
            <w:r>
              <w:t xml:space="preserve">Fermentas EL0011</w:t>
            </w:r>
          </w:p>
        </w:tc>
        <w:tc>
          <w:p>
            <w:pPr>
              <w:pStyle w:val="Compact"/>
              <w:jc w:val="left"/>
            </w:pPr>
            <w:r>
              <w:t xml:space="preserve">279.67</w:t>
            </w:r>
          </w:p>
        </w:tc>
        <w:tc>
          <w:p>
            <w:pPr>
              <w:pStyle w:val="Compact"/>
              <w:jc w:val="left"/>
            </w:pPr>
            <w:r>
              <w:t xml:space="preserve">0.28</w:t>
            </w:r>
          </w:p>
        </w:tc>
      </w:tr>
      <w:tr>
        <w:tc>
          <w:p>
            <w:pPr>
              <w:pStyle w:val="Compact"/>
              <w:jc w:val="left"/>
            </w:pPr>
            <w:r>
              <w:t xml:space="preserve">Sera-Mag SpeedBeads</w:t>
            </w:r>
          </w:p>
        </w:tc>
        <w:tc>
          <w:p>
            <w:pPr>
              <w:pStyle w:val="Compact"/>
              <w:jc w:val="left"/>
            </w:pPr>
            <w:r>
              <w:t xml:space="preserve">Fisher</w:t>
            </w:r>
          </w:p>
        </w:tc>
        <w:tc>
          <w:p>
            <w:pPr>
              <w:pStyle w:val="Compact"/>
              <w:jc w:val="left"/>
            </w:pPr>
            <w:r>
              <w:t xml:space="preserve">09-981-123</w:t>
            </w:r>
          </w:p>
        </w:tc>
        <w:tc>
          <w:p>
            <w:pPr>
              <w:pStyle w:val="Compact"/>
              <w:jc w:val="left"/>
            </w:pPr>
            <w:r>
              <w:t xml:space="preserve">686</w:t>
            </w:r>
          </w:p>
        </w:tc>
        <w:tc>
          <w:p>
            <w:pPr>
              <w:pStyle w:val="Compact"/>
              <w:jc w:val="left"/>
            </w:pPr>
            <w:r>
              <w:t xml:space="preserve">0.23</w:t>
            </w:r>
          </w:p>
        </w:tc>
      </w:tr>
      <w:tr>
        <w:tc>
          <w:p>
            <w:pPr>
              <w:pStyle w:val="Compact"/>
              <w:jc w:val="left"/>
            </w:pPr>
            <w:r>
              <w:t xml:space="preserve">PEG-8000</w:t>
            </w:r>
          </w:p>
        </w:tc>
        <w:tc>
          <w:p>
            <w:pPr>
              <w:pStyle w:val="Compact"/>
              <w:jc w:val="left"/>
            </w:pPr>
            <w:r>
              <w:t xml:space="preserve">VWR</w:t>
            </w:r>
          </w:p>
        </w:tc>
        <w:tc>
          <w:p>
            <w:pPr>
              <w:pStyle w:val="Compact"/>
              <w:jc w:val="left"/>
            </w:pPr>
            <w:r>
              <w:t xml:space="preserve">97061-098</w:t>
            </w:r>
          </w:p>
        </w:tc>
        <w:tc>
          <w:p>
            <w:pPr>
              <w:pStyle w:val="Compact"/>
              <w:jc w:val="left"/>
            </w:pPr>
            <w:r>
              <w:t xml:space="preserve">64.83</w:t>
            </w:r>
          </w:p>
        </w:tc>
        <w:tc>
          <w:p>
            <w:pPr>
              <w:pStyle w:val="Compact"/>
              <w:jc w:val="left"/>
            </w:pPr>
            <w:r>
              <w:t xml:space="preserve">0.02</w:t>
            </w:r>
          </w:p>
        </w:tc>
      </w:tr>
      <w:tr>
        <w:tc>
          <w:p>
            <w:pPr>
              <w:pStyle w:val="Compact"/>
              <w:jc w:val="left"/>
            </w:pPr>
            <w:r>
              <w:t xml:space="preserve">EDTA</w:t>
            </w:r>
          </w:p>
        </w:tc>
        <w:tc>
          <w:p>
            <w:pPr>
              <w:pStyle w:val="Compact"/>
              <w:jc w:val="left"/>
            </w:pPr>
            <w:r>
              <w:t xml:space="preserve">VWR</w:t>
            </w:r>
          </w:p>
        </w:tc>
        <w:tc>
          <w:p>
            <w:pPr>
              <w:pStyle w:val="Compact"/>
              <w:jc w:val="left"/>
            </w:pPr>
            <w:r>
              <w:t xml:space="preserve">97062-656</w:t>
            </w:r>
          </w:p>
        </w:tc>
        <w:tc>
          <w:p>
            <w:pPr>
              <w:pStyle w:val="Compact"/>
              <w:jc w:val="left"/>
            </w:pPr>
            <w:r>
              <w:t xml:space="preserve">61.14</w:t>
            </w:r>
          </w:p>
        </w:tc>
        <w:tc>
          <w:p>
            <w:pPr>
              <w:pStyle w:val="Compact"/>
              <w:jc w:val="left"/>
            </w:pPr>
            <w:r>
              <w:t xml:space="preserve">0.02</w:t>
            </w:r>
          </w:p>
        </w:tc>
      </w:tr>
      <w:tr>
        <w:tc>
          <w:p>
            <w:pPr>
              <w:pStyle w:val="Compact"/>
              <w:jc w:val="left"/>
            </w:pPr>
            <w:r>
              <w:t xml:space="preserve">Tris Buffer</w:t>
            </w:r>
          </w:p>
        </w:tc>
        <w:tc>
          <w:p>
            <w:pPr>
              <w:pStyle w:val="Compact"/>
              <w:jc w:val="left"/>
            </w:pPr>
            <w:r>
              <w:t xml:space="preserve">VWR</w:t>
            </w:r>
          </w:p>
        </w:tc>
        <w:tc>
          <w:p>
            <w:pPr>
              <w:pStyle w:val="Compact"/>
              <w:jc w:val="left"/>
            </w:pPr>
            <w:r>
              <w:t xml:space="preserve">97062-974</w:t>
            </w:r>
          </w:p>
        </w:tc>
        <w:tc>
          <w:p>
            <w:pPr>
              <w:pStyle w:val="Compact"/>
              <w:jc w:val="left"/>
            </w:pPr>
            <w:r>
              <w:t xml:space="preserve">70.82</w:t>
            </w:r>
          </w:p>
        </w:tc>
        <w:tc>
          <w:p>
            <w:pPr>
              <w:pStyle w:val="Compact"/>
              <w:jc w:val="left"/>
            </w:pPr>
            <w:r>
              <w:t xml:space="preserve">0.02</w:t>
            </w:r>
          </w:p>
        </w:tc>
      </w:tr>
      <w:tr>
        <w:tc>
          <w:p>
            <w:pPr>
              <w:pStyle w:val="Compact"/>
              <w:jc w:val="left"/>
            </w:pPr>
            <w:r>
              <w:t xml:space="preserve">Tween 20</w:t>
            </w:r>
          </w:p>
        </w:tc>
        <w:tc>
          <w:p>
            <w:pPr>
              <w:pStyle w:val="Compact"/>
              <w:jc w:val="left"/>
            </w:pPr>
            <w:r>
              <w:t xml:space="preserve">VWR</w:t>
            </w:r>
          </w:p>
        </w:tc>
        <w:tc>
          <w:p>
            <w:pPr>
              <w:pStyle w:val="Compact"/>
              <w:jc w:val="left"/>
            </w:pPr>
            <w:r>
              <w:t xml:space="preserve">97061-384</w:t>
            </w:r>
          </w:p>
        </w:tc>
        <w:tc>
          <w:p>
            <w:pPr>
              <w:pStyle w:val="Compact"/>
              <w:jc w:val="left"/>
            </w:pPr>
            <w:r>
              <w:t xml:space="preserve">64.23</w:t>
            </w:r>
          </w:p>
        </w:tc>
        <w:tc>
          <w:p>
            <w:pPr>
              <w:pStyle w:val="Compact"/>
              <w:jc w:val="left"/>
            </w:pPr>
            <w:r>
              <w:t xml:space="preserve">0.02</w:t>
            </w:r>
          </w:p>
        </w:tc>
      </w:tr>
      <w:tr>
        <w:tc>
          <w:p>
            <w:pPr>
              <w:pStyle w:val="Compact"/>
              <w:jc w:val="left"/>
            </w:pPr>
            <w:r>
              <w:t xml:space="preserve">NaCl</w:t>
            </w:r>
          </w:p>
        </w:tc>
        <w:tc>
          <w:p>
            <w:pPr>
              <w:pStyle w:val="Compact"/>
              <w:jc w:val="left"/>
            </w:pPr>
            <w:r>
              <w:t xml:space="preserve">VWR</w:t>
            </w:r>
          </w:p>
        </w:tc>
        <w:tc>
          <w:p>
            <w:pPr>
              <w:pStyle w:val="Compact"/>
              <w:jc w:val="left"/>
            </w:pPr>
            <w:r>
              <w:t xml:space="preserve">CA12001-384</w:t>
            </w:r>
          </w:p>
        </w:tc>
        <w:tc>
          <w:p>
            <w:pPr>
              <w:pStyle w:val="Compact"/>
              <w:jc w:val="left"/>
            </w:pPr>
            <w:r>
              <w:t xml:space="preserve">56.34</w:t>
            </w:r>
          </w:p>
        </w:tc>
        <w:tc>
          <w:p>
            <w:pPr>
              <w:pStyle w:val="Compact"/>
              <w:jc w:val="left"/>
            </w:pPr>
            <w:r>
              <w:t xml:space="preserve">0.02</w:t>
            </w:r>
          </w:p>
        </w:tc>
      </w:tr>
      <w:tr>
        <w:tc>
          <w:p>
            <w:pPr>
              <w:pStyle w:val="Compact"/>
              <w:jc w:val="left"/>
            </w:pPr>
            <w:r>
              <w:t xml:space="preserve">50 bp DNA ladder</w:t>
            </w:r>
          </w:p>
        </w:tc>
        <w:tc>
          <w:p>
            <w:pPr>
              <w:pStyle w:val="Compact"/>
              <w:jc w:val="left"/>
            </w:pPr>
            <w:r>
              <w:t xml:space="preserve">Fisher</w:t>
            </w:r>
          </w:p>
        </w:tc>
        <w:tc>
          <w:p>
            <w:pPr>
              <w:pStyle w:val="Compact"/>
              <w:jc w:val="left"/>
            </w:pPr>
            <w:r>
              <w:t xml:space="preserve">FERSM0371</w:t>
            </w:r>
          </w:p>
        </w:tc>
        <w:tc>
          <w:p>
            <w:pPr>
              <w:pStyle w:val="Compact"/>
              <w:jc w:val="left"/>
            </w:pPr>
            <w:r>
              <w:t xml:space="preserve">63.75</w:t>
            </w:r>
          </w:p>
        </w:tc>
        <w:tc>
          <w:p>
            <w:pPr>
              <w:pStyle w:val="Compact"/>
              <w:jc w:val="left"/>
            </w:pPr>
            <w:r>
              <w:t xml:space="preserve">0.08</w:t>
            </w:r>
          </w:p>
        </w:tc>
      </w:tr>
      <w:tr>
        <w:tc>
          <w:p>
            <w:pPr>
              <w:pStyle w:val="Compact"/>
              <w:jc w:val="left"/>
            </w:pPr>
            <w:r>
              <w:t xml:space="preserve">ITru5_Group1_8-Indices</w:t>
            </w:r>
          </w:p>
        </w:tc>
        <w:tc>
          <w:p>
            <w:pPr>
              <w:pStyle w:val="Compact"/>
              <w:jc w:val="left"/>
            </w:pPr>
            <w:r>
              <w:t xml:space="preserve">IDT</w:t>
            </w:r>
          </w:p>
        </w:tc>
        <w:tc>
          <w:p>
            <w:pPr>
              <w:pStyle w:val="Compact"/>
              <w:jc w:val="left"/>
            </w:pPr>
            <w:r>
              <w:t xml:space="preserve">NA</w:t>
            </w:r>
          </w:p>
        </w:tc>
        <w:tc>
          <w:p>
            <w:pPr>
              <w:pStyle w:val="Compact"/>
              <w:jc w:val="left"/>
            </w:pPr>
            <w:r>
              <w:t xml:space="preserve">198.64</w:t>
            </w:r>
          </w:p>
        </w:tc>
        <w:tc>
          <w:p>
            <w:pPr>
              <w:pStyle w:val="Compact"/>
              <w:jc w:val="left"/>
            </w:pPr>
            <w:r>
              <w:t xml:space="preserve">0.59</w:t>
            </w:r>
          </w:p>
        </w:tc>
      </w:tr>
      <w:tr>
        <w:tc>
          <w:p>
            <w:pPr>
              <w:pStyle w:val="Compact"/>
              <w:jc w:val="left"/>
            </w:pPr>
            <w:r>
              <w:t xml:space="preserve">ITru7_Group1_12-Indices</w:t>
            </w:r>
          </w:p>
        </w:tc>
        <w:tc>
          <w:p>
            <w:pPr>
              <w:pStyle w:val="Compact"/>
              <w:jc w:val="left"/>
            </w:pPr>
            <w:r>
              <w:t xml:space="preserve">IDT</w:t>
            </w:r>
          </w:p>
        </w:tc>
        <w:tc>
          <w:p>
            <w:pPr>
              <w:pStyle w:val="Compact"/>
              <w:jc w:val="left"/>
            </w:pPr>
            <w:r>
              <w:t xml:space="preserve">NA</w:t>
            </w:r>
          </w:p>
        </w:tc>
        <w:tc>
          <w:p>
            <w:pPr>
              <w:pStyle w:val="Compact"/>
              <w:jc w:val="left"/>
            </w:pPr>
            <w:r>
              <w:t xml:space="preserve">255.56</w:t>
            </w:r>
          </w:p>
        </w:tc>
        <w:tc>
          <w:p>
            <w:pPr>
              <w:pStyle w:val="Compact"/>
              <w:jc w:val="left"/>
            </w:pPr>
            <w:r>
              <w:t xml:space="preserve">0.82</w:t>
            </w:r>
          </w:p>
        </w:tc>
      </w:tr>
      <w:tr>
        <w:tc>
          <w:p>
            <w:pPr>
              <w:pStyle w:val="Compact"/>
              <w:jc w:val="left"/>
            </w:pPr>
            <w:r>
              <w:t xml:space="preserve">Phusion HiFi polymerase</w:t>
            </w:r>
          </w:p>
        </w:tc>
        <w:tc>
          <w:p>
            <w:pPr>
              <w:pStyle w:val="Compact"/>
              <w:jc w:val="left"/>
            </w:pPr>
            <w:r>
              <w:t xml:space="preserve">NEB</w:t>
            </w:r>
          </w:p>
        </w:tc>
        <w:tc>
          <w:p>
            <w:pPr>
              <w:pStyle w:val="Compact"/>
              <w:jc w:val="left"/>
            </w:pPr>
            <w:r>
              <w:t xml:space="preserve">M0530S</w:t>
            </w:r>
          </w:p>
        </w:tc>
        <w:tc>
          <w:p>
            <w:pPr>
              <w:pStyle w:val="Compact"/>
              <w:jc w:val="left"/>
            </w:pPr>
            <w:r>
              <w:t xml:space="preserve">116.19</w:t>
            </w:r>
          </w:p>
        </w:tc>
        <w:tc>
          <w:p>
            <w:pPr>
              <w:pStyle w:val="Compact"/>
              <w:jc w:val="left"/>
            </w:pPr>
            <w:r>
              <w:t xml:space="preserve">0.29</w:t>
            </w:r>
          </w:p>
        </w:tc>
      </w:tr>
      <w:tr>
        <w:tc>
          <w:p>
            <w:pPr>
              <w:pStyle w:val="Compact"/>
              <w:jc w:val="left"/>
            </w:pPr>
            <w:r>
              <w:rPr>
                <w:bCs/>
                <w:b/>
              </w:rPr>
              <w:t xml:space="preserve">Total</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rPr>
                <w:bCs/>
                <w:b/>
              </w:rPr>
              <w:t xml:space="preserve">8.60</w:t>
            </w:r>
          </w:p>
        </w:tc>
      </w:tr>
    </w:tbl>
    <w:bookmarkEnd w:id="25"/>
    <w:bookmarkStart w:id="26" w:name="lab-equipment"/>
    <w:p>
      <w:pPr>
        <w:pStyle w:val="Heading2"/>
      </w:pPr>
      <w:r>
        <w:t xml:space="preserve">Lab equipment</w:t>
      </w:r>
    </w:p>
    <w:p>
      <w:pPr>
        <w:numPr>
          <w:ilvl w:val="0"/>
          <w:numId w:val="1005"/>
        </w:numPr>
        <w:pStyle w:val="Compact"/>
      </w:pPr>
      <w:r>
        <w:t xml:space="preserve">PCR thermocycler with heated lid</w:t>
      </w:r>
    </w:p>
    <w:p>
      <w:pPr>
        <w:numPr>
          <w:ilvl w:val="0"/>
          <w:numId w:val="1005"/>
        </w:numPr>
        <w:pStyle w:val="Compact"/>
      </w:pPr>
      <w:r>
        <w:t xml:space="preserve">Gel rigs</w:t>
      </w:r>
    </w:p>
    <w:p>
      <w:pPr>
        <w:numPr>
          <w:ilvl w:val="0"/>
          <w:numId w:val="1005"/>
        </w:numPr>
        <w:pStyle w:val="Compact"/>
      </w:pPr>
      <w:r>
        <w:t xml:space="preserve">96-well plate magnet (e.g., Dynamag-96 well #12331D)</w:t>
      </w:r>
    </w:p>
    <w:p>
      <w:pPr>
        <w:numPr>
          <w:ilvl w:val="0"/>
          <w:numId w:val="1005"/>
        </w:numPr>
        <w:pStyle w:val="Compact"/>
      </w:pPr>
      <w:r>
        <w:t xml:space="preserve">Racks for 0.2 mL PCR tubes or plates</w:t>
      </w:r>
    </w:p>
    <w:p>
      <w:pPr>
        <w:numPr>
          <w:ilvl w:val="0"/>
          <w:numId w:val="1005"/>
        </w:numPr>
        <w:pStyle w:val="Compact"/>
      </w:pPr>
      <w:r>
        <w:t xml:space="preserve">PCR plates or tubes</w:t>
      </w:r>
    </w:p>
    <w:p>
      <w:pPr>
        <w:numPr>
          <w:ilvl w:val="0"/>
          <w:numId w:val="1005"/>
        </w:numPr>
        <w:pStyle w:val="Compact"/>
      </w:pPr>
      <w:r>
        <w:t xml:space="preserve">10 and 100 μL multichannel or singlechannel pipettes</w:t>
      </w:r>
    </w:p>
    <w:bookmarkEnd w:id="26"/>
    <w:bookmarkStart w:id="27" w:name="sec:2.3"/>
    <w:p>
      <w:pPr>
        <w:pStyle w:val="Heading2"/>
      </w:pPr>
      <w:r>
        <w:t xml:space="preserve">Before starting</w:t>
      </w:r>
    </w:p>
    <w:p>
      <w:pPr>
        <w:pStyle w:val="FirstParagraph"/>
      </w:pPr>
      <w:r>
        <w:t xml:space="preserve">This protocol is used for preparing dual-indexed, Illumina-compatible gDNA libraries for whole genome sequencing. It doesn’t rely on any commercial kits; rather, the protocol uses home-made master mixes for all reactions to minimize costs. References will be provided throughout to credit the original publications.</w:t>
      </w:r>
    </w:p>
    <w:p>
      <w:pPr>
        <w:pStyle w:val="BodyText"/>
      </w:pPr>
      <w:r>
        <w:t xml:space="preserve">Briefly, this protocol uses an</w:t>
      </w:r>
      <w:r>
        <w:t xml:space="preserve"> </w:t>
      </w:r>
      <w:r>
        <w:t xml:space="preserve">“</w:t>
      </w:r>
      <w:r>
        <w:t xml:space="preserve">on-bead</w:t>
      </w:r>
      <w:r>
        <w:t xml:space="preserve">”</w:t>
      </w:r>
      <w:r>
        <w:t xml:space="preserve"> </w:t>
      </w:r>
      <w:r>
        <w:t xml:space="preserve">library preparation (</w:t>
      </w:r>
      <w:r>
        <w:t xml:space="preserve">Fisher et al. (2011)</w:t>
      </w:r>
      <w:r>
        <w:t xml:space="preserve">) with</w:t>
      </w:r>
      <w:r>
        <w:t xml:space="preserve"> </w:t>
      </w:r>
      <w:r>
        <w:t xml:space="preserve">“</w:t>
      </w:r>
      <w:r>
        <w:t xml:space="preserve">home-brewed</w:t>
      </w:r>
      <w:r>
        <w:t xml:space="preserve">”</w:t>
      </w:r>
      <w:r>
        <w:t xml:space="preserve"> </w:t>
      </w:r>
      <w:r>
        <w:t xml:space="preserve">master mixes (</w:t>
      </w:r>
      <w:r>
        <w:t xml:space="preserve">Kobs (1997)</w:t>
      </w:r>
      <w:r>
        <w:t xml:space="preserve">;</w:t>
      </w:r>
      <w:r>
        <w:t xml:space="preserve"> </w:t>
      </w:r>
      <w:r>
        <w:t xml:space="preserve">Meyer and Kircher (2010)</w:t>
      </w:r>
      <w:r>
        <w:t xml:space="preserve">;</w:t>
      </w:r>
      <w:r>
        <w:t xml:space="preserve"> </w:t>
      </w:r>
      <w:r>
        <w:t xml:space="preserve">Fisher et al. (2011)</w:t>
      </w:r>
      <w:r>
        <w:t xml:space="preserve">) and SPRI beads (</w:t>
      </w:r>
      <w:r>
        <w:t xml:space="preserve">Rohland and Reich (2012)</w:t>
      </w:r>
      <w:r>
        <w:t xml:space="preserve">), and incorporates i5 and i7 Ilummina indices into adapters through PCR (</w:t>
      </w:r>
      <w:r>
        <w:t xml:space="preserve">Glenn et al. (2019)</w:t>
      </w:r>
      <w:r>
        <w:t xml:space="preserve">).</w:t>
      </w:r>
    </w:p>
    <w:p>
      <w:pPr>
        <w:pStyle w:val="BodyText"/>
      </w:pPr>
      <w:r>
        <w:t xml:space="preserve">This protocol assumes that you have:</w:t>
      </w:r>
    </w:p>
    <w:p>
      <w:pPr>
        <w:numPr>
          <w:ilvl w:val="0"/>
          <w:numId w:val="1006"/>
        </w:numPr>
        <w:pStyle w:val="Compact"/>
      </w:pPr>
      <w:r>
        <w:t xml:space="preserve">Hydrated all of index-containing forward and reverse PCR primers (described in supplementary file:</w:t>
      </w:r>
      <w:r>
        <w:t xml:space="preserve"> </w:t>
      </w:r>
      <w:r>
        <w:rPr>
          <w:iCs/>
          <w:i/>
        </w:rPr>
        <w:t xml:space="preserve">Protocol for preparing 1.25 nmol iTru primer aliquots for use during library preparation</w:t>
      </w:r>
      <w:r>
        <w:t xml:space="preserve"> </w:t>
      </w:r>
      <w:r>
        <w:t xml:space="preserve">in</w:t>
      </w:r>
      <w:r>
        <w:t xml:space="preserve"> </w:t>
      </w:r>
      <w:r>
        <w:t xml:space="preserve">Glenn et al. (2019)</w:t>
      </w:r>
      <w:r>
        <w:t xml:space="preserve">). These are diluted to 5 μM.</w:t>
      </w:r>
    </w:p>
    <w:p>
      <w:pPr>
        <w:numPr>
          <w:ilvl w:val="0"/>
          <w:numId w:val="1006"/>
        </w:numPr>
        <w:pStyle w:val="Compact"/>
      </w:pPr>
      <w:r>
        <w:t xml:space="preserve">Annealed the adapter stubs (i.e., iTrusR2-stubRCp, iTrusR1-stub) to form the Y-yoke adapter (supplementary file:</w:t>
      </w:r>
      <w:r>
        <w:rPr>
          <w:iCs/>
          <w:i/>
        </w:rPr>
        <w:t xml:space="preserve">Protocol for preparing double-stranded iTru adapters for use during library preparation</w:t>
      </w:r>
      <w:r>
        <w:t xml:space="preserve"> </w:t>
      </w:r>
      <w:r>
        <w:t xml:space="preserve">in</w:t>
      </w:r>
      <w:r>
        <w:t xml:space="preserve"> </w:t>
      </w:r>
      <w:r>
        <w:t xml:space="preserve">Glenn et al. (2019)</w:t>
      </w:r>
      <w:r>
        <w:t xml:space="preserve">). These are diluted to 5 μM. This is referred to as the</w:t>
      </w:r>
      <w:r>
        <w:t xml:space="preserve"> </w:t>
      </w:r>
      <w:r>
        <w:rPr>
          <w:iCs/>
          <w:i/>
        </w:rPr>
        <w:t xml:space="preserve">adaptor mix</w:t>
      </w:r>
      <w:r>
        <w:t xml:space="preserve"> </w:t>
      </w:r>
      <w:r>
        <w:t xml:space="preserve">throughout the protocol_</w:t>
      </w:r>
    </w:p>
    <w:p>
      <w:pPr>
        <w:numPr>
          <w:ilvl w:val="0"/>
          <w:numId w:val="1006"/>
        </w:numPr>
        <w:pStyle w:val="Compact"/>
      </w:pPr>
      <w:r>
        <w:t xml:space="preserve">Prepared the SPRI bead solution, which replaces Ampure XP beads for cleaning enzymatic reations (</w:t>
      </w:r>
      <w:r>
        <w:t xml:space="preserve">Rohland and Reich (2012)</w:t>
      </w:r>
      <w:r>
        <w:t xml:space="preserve">; reproduced in supplementary file:</w:t>
      </w:r>
      <w:r>
        <w:rPr>
          <w:iCs/>
          <w:i/>
        </w:rPr>
        <w:t xml:space="preserve">Protocol for preparing an inexpensive substitute for AMPure</w:t>
      </w:r>
      <w:r>
        <w:t xml:space="preserve"> </w:t>
      </w:r>
      <w:r>
        <w:t xml:space="preserve">in</w:t>
      </w:r>
      <w:r>
        <w:t xml:space="preserve"> </w:t>
      </w:r>
      <w:r>
        <w:t xml:space="preserve">Glenn et al. (2019)</w:t>
      </w:r>
      <w:r>
        <w:t xml:space="preserve">). Be sure to also prepare a PEG solution lacking the actual SPRI beads (described in the same file, which will be used throughout the protocol.</w:t>
      </w:r>
    </w:p>
    <w:p>
      <w:pPr>
        <w:numPr>
          <w:ilvl w:val="0"/>
          <w:numId w:val="1006"/>
        </w:numPr>
        <w:pStyle w:val="Compact"/>
      </w:pPr>
      <w:r>
        <w:t xml:space="preserve">Prepared a fresh aliquot of 80% ethanol. Addition of 0.05% Tween-20 to this PEG/NaCl solution will greatly facilitate the bead washed</w:t>
      </w:r>
    </w:p>
    <w:bookmarkEnd w:id="27"/>
    <w:bookmarkEnd w:id="28"/>
    <w:bookmarkStart w:id="56" w:name="protocol"/>
    <w:p>
      <w:pPr>
        <w:pStyle w:val="Heading1"/>
      </w:pPr>
      <w:r>
        <w:t xml:space="preserve">Protocol</w:t>
      </w:r>
    </w:p>
    <w:bookmarkStart w:id="31" w:name="dna-shearing-and-cleanup"/>
    <w:p>
      <w:pPr>
        <w:pStyle w:val="Heading2"/>
      </w:pPr>
      <w:r>
        <w:t xml:space="preserve">DNA Shearing and Cleanup</w:t>
      </w:r>
    </w:p>
    <w:bookmarkStart w:id="29" w:name="shearing"/>
    <w:p>
      <w:pPr>
        <w:pStyle w:val="Heading3"/>
      </w:pPr>
      <w:r>
        <w:t xml:space="preserve">Shearing</w:t>
      </w:r>
    </w:p>
    <w:p>
      <w:pPr>
        <w:numPr>
          <w:ilvl w:val="0"/>
          <w:numId w:val="1007"/>
        </w:numPr>
        <w:pStyle w:val="Compact"/>
      </w:pPr>
      <w:r>
        <w:t xml:space="preserve">Normalize DNA to 10 ng/μL (quantified by Qubit) in 25 μL of low-TE (10 mM Tris-HCl ph8 and 0.1 mM EDTA) in Bioruptor tubes. You can shear more than 25 μL if you want multiple shots at the library prep per smaple.</w:t>
      </w:r>
    </w:p>
    <w:p>
      <w:pPr>
        <w:numPr>
          <w:ilvl w:val="1"/>
          <w:numId w:val="1008"/>
        </w:numPr>
        <w:pStyle w:val="Compact"/>
      </w:pPr>
      <w:r>
        <w:rPr>
          <w:iCs/>
          <w:i/>
        </w:rPr>
        <w:t xml:space="preserve">Note:</w:t>
      </w:r>
      <w:r>
        <w:t xml:space="preserve"> </w:t>
      </w:r>
      <w:r>
        <w:t xml:space="preserve">We’ve had success using lower concentrations if DNA quantity is an issue</w:t>
      </w:r>
    </w:p>
    <w:p>
      <w:pPr>
        <w:numPr>
          <w:ilvl w:val="1"/>
          <w:numId w:val="1008"/>
        </w:numPr>
        <w:pStyle w:val="Compact"/>
      </w:pPr>
      <w:r>
        <w:rPr>
          <w:bCs/>
          <w:b/>
        </w:rPr>
        <w:t xml:space="preserve">Note for Inder:</w:t>
      </w:r>
      <w:r>
        <w:t xml:space="preserve"> </w:t>
      </w:r>
      <w:r>
        <w:t xml:space="preserve">gDNA is stored in the -80 freezer in DV2014A. DNA is already normalized in 0.2 mL microtubes for Bioruptor Pico</w:t>
      </w:r>
    </w:p>
    <w:p>
      <w:pPr>
        <w:numPr>
          <w:ilvl w:val="0"/>
          <w:numId w:val="1007"/>
        </w:numPr>
        <w:pStyle w:val="Compact"/>
      </w:pPr>
      <w:r>
        <w:t xml:space="preserve">Shear DNA by sonication to mean fragment size of ~500 bp.</w:t>
      </w:r>
    </w:p>
    <w:p>
      <w:pPr>
        <w:numPr>
          <w:ilvl w:val="1"/>
          <w:numId w:val="1009"/>
        </w:numPr>
        <w:pStyle w:val="Compact"/>
      </w:pPr>
      <w:r>
        <w:t xml:space="preserve">For our samples we used 3 cycles of 15 seconds ON, 30 seconds OFF on a Bioruptor Pico</w:t>
      </w:r>
    </w:p>
    <w:p>
      <w:pPr>
        <w:numPr>
          <w:ilvl w:val="1"/>
          <w:numId w:val="1009"/>
        </w:numPr>
        <w:pStyle w:val="Compact"/>
      </w:pPr>
      <w:r>
        <w:rPr>
          <w:iCs/>
          <w:i/>
        </w:rPr>
        <w:t xml:space="preserve">Note:</w:t>
      </w:r>
      <w:r>
        <w:t xml:space="preserve"> </w:t>
      </w:r>
      <w:r>
        <w:t xml:space="preserve">We sheared DNA using a Bioruptor Pico, but any acoustic shearing device would likely be fine (e.g., Covaris).</w:t>
      </w:r>
    </w:p>
    <w:p>
      <w:pPr>
        <w:numPr>
          <w:ilvl w:val="2"/>
          <w:numId w:val="1010"/>
        </w:numPr>
        <w:pStyle w:val="Compact"/>
      </w:pPr>
      <w:r>
        <w:rPr>
          <w:bCs/>
          <w:b/>
        </w:rPr>
        <w:t xml:space="preserve">Note for Inder:</w:t>
      </w:r>
      <w:r>
        <w:t xml:space="preserve"> </w:t>
      </w:r>
      <w:r>
        <w:t xml:space="preserve">Bioruptor Pico is in the Rhea lab, straight through the Ness lab, on the left bench before the fume hood.</w:t>
      </w:r>
    </w:p>
    <w:p>
      <w:pPr>
        <w:numPr>
          <w:ilvl w:val="1"/>
          <w:numId w:val="1009"/>
        </w:numPr>
        <w:pStyle w:val="Compact"/>
      </w:pPr>
      <w:r>
        <w:rPr>
          <w:iCs/>
          <w:i/>
        </w:rPr>
        <w:t xml:space="preserve">Note:</w:t>
      </w:r>
      <w:r>
        <w:t xml:space="preserve"> </w:t>
      </w:r>
      <w:r>
        <w:t xml:space="preserve">It’s a good idea to perform a few different rounds of shearing with different settings and running these on a gel and/or Bioanalyzer make sure you’re getting the correct fragment size distribution.</w:t>
      </w:r>
    </w:p>
    <w:p>
      <w:pPr>
        <w:numPr>
          <w:ilvl w:val="0"/>
          <w:numId w:val="1007"/>
        </w:numPr>
        <w:pStyle w:val="Compact"/>
      </w:pPr>
      <w:r>
        <w:t xml:space="preserve">After shearing, move 25 μL of DNA to empty PCR tube and proceed to post-shearing cleanup.</w:t>
      </w:r>
    </w:p>
    <w:bookmarkEnd w:id="29"/>
    <w:bookmarkStart w:id="30" w:name="sec:3.1.2"/>
    <w:p>
      <w:pPr>
        <w:pStyle w:val="Heading3"/>
      </w:pPr>
      <w:r>
        <w:t xml:space="preserve">Post-shearing cleanup</w:t>
      </w:r>
    </w:p>
    <w:p>
      <w:pPr>
        <w:numPr>
          <w:ilvl w:val="0"/>
          <w:numId w:val="1011"/>
        </w:numPr>
        <w:pStyle w:val="Compact"/>
      </w:pPr>
      <w:r>
        <w:t xml:space="preserve">Add 20 μL of SPRI bead solution to each sample. This is a 0.8X Bead:DNA ratio, which is meant to remove fragment &lt; ~250 base pairs.</w:t>
      </w:r>
    </w:p>
    <w:p>
      <w:pPr>
        <w:numPr>
          <w:ilvl w:val="0"/>
          <w:numId w:val="1011"/>
        </w:numPr>
        <w:pStyle w:val="Compact"/>
      </w:pPr>
      <w:r>
        <w:t xml:space="preserve">Incubate at room temperature for 5 minutes.</w:t>
      </w:r>
    </w:p>
    <w:p>
      <w:pPr>
        <w:numPr>
          <w:ilvl w:val="0"/>
          <w:numId w:val="1011"/>
        </w:numPr>
        <w:pStyle w:val="Compact"/>
      </w:pPr>
      <w:r>
        <w:t xml:space="preserve">Place samples on magnetic rack and allow the beads to bind to the side of the tube. The supernatant should be clear.</w:t>
      </w:r>
    </w:p>
    <w:p>
      <w:pPr>
        <w:numPr>
          <w:ilvl w:val="0"/>
          <w:numId w:val="1011"/>
        </w:numPr>
        <w:pStyle w:val="Compact"/>
      </w:pPr>
      <w:r>
        <w:t xml:space="preserve">Remove and discard the supernatant (the DNA is bound to the beads so won’t be lost).</w:t>
      </w:r>
    </w:p>
    <w:p>
      <w:pPr>
        <w:numPr>
          <w:ilvl w:val="0"/>
          <w:numId w:val="1011"/>
        </w:numPr>
        <w:pStyle w:val="Compact"/>
      </w:pPr>
      <w:r>
        <w:t xml:space="preserve">Add 80 μL of freshly prepared 80% ethanol. Let sit on magnetic rack for 30 to 60 seconds and discard ethanol using a pipette.</w:t>
      </w:r>
    </w:p>
    <w:p>
      <w:pPr>
        <w:numPr>
          <w:ilvl w:val="0"/>
          <w:numId w:val="1011"/>
        </w:numPr>
        <w:pStyle w:val="Compact"/>
      </w:pPr>
      <w:r>
        <w:t xml:space="preserve">Perform another ethanol wash as in step 5.</w:t>
      </w:r>
    </w:p>
    <w:p>
      <w:pPr>
        <w:numPr>
          <w:ilvl w:val="0"/>
          <w:numId w:val="1011"/>
        </w:numPr>
        <w:pStyle w:val="Compact"/>
      </w:pPr>
      <w:r>
        <w:t xml:space="preserve">Remove any residual ethanol using a 10 μL a pipette. Let samples sit uncovered at room temperature for 5 to 10 minutes or until all ethanol has evaporated.</w:t>
      </w:r>
    </w:p>
    <w:p>
      <w:pPr>
        <w:numPr>
          <w:ilvl w:val="1"/>
          <w:numId w:val="1012"/>
        </w:numPr>
        <w:pStyle w:val="Compact"/>
      </w:pPr>
      <w:r>
        <w:rPr>
          <w:bCs/>
          <w:b/>
        </w:rPr>
        <w:t xml:space="preserve">Important:</w:t>
      </w:r>
      <w:r>
        <w:t xml:space="preserve"> </w:t>
      </w:r>
      <w:r>
        <w:t xml:space="preserve">Do not let beads dry out too much as this will reduce yield. Beads should be matte brown (not glossy). Dry beads with begin to crack.</w:t>
      </w:r>
    </w:p>
    <w:p>
      <w:pPr>
        <w:numPr>
          <w:ilvl w:val="0"/>
          <w:numId w:val="1011"/>
        </w:numPr>
        <w:pStyle w:val="Compact"/>
      </w:pPr>
      <w:r>
        <w:t xml:space="preserve">Elute DNA in 20 μL low-TE (or dH</w:t>
      </w:r>
      <w:r>
        <w:t xml:space="preserve">2</w:t>
      </w:r>
      <w:r>
        <w:t xml:space="preserve">0). Pipette mix to homogenize beads and TE. The DNA will now be in solution.</w:t>
      </w:r>
    </w:p>
    <w:p>
      <w:pPr>
        <w:pStyle w:val="FirstParagraph"/>
      </w:pPr>
      <w:r>
        <w:rPr>
          <w:bCs/>
          <w:b/>
        </w:rPr>
        <w:t xml:space="preserve">Note:</w:t>
      </w:r>
      <w:r>
        <w:t xml:space="preserve"> </w:t>
      </w:r>
      <w:r>
        <w:t xml:space="preserve">The beads from the above reaction will be kept through all subsequent enzymatic reactions and reused for all SPRI bead cleanups (except PCR). The beads do not interfere with the reactions (</w:t>
      </w:r>
      <w:r>
        <w:t xml:space="preserve">Fisher et al. (2011)</w:t>
      </w:r>
      <w:r>
        <w:t xml:space="preserve">).</w:t>
      </w:r>
    </w:p>
    <w:bookmarkEnd w:id="30"/>
    <w:bookmarkEnd w:id="31"/>
    <w:bookmarkStart w:id="34" w:name="end-repair-and-cleanup"/>
    <w:p>
      <w:pPr>
        <w:pStyle w:val="Heading2"/>
      </w:pPr>
      <w:r>
        <w:t xml:space="preserve">End-repair and cleanup</w:t>
      </w:r>
    </w:p>
    <w:bookmarkStart w:id="32" w:name="end-repair"/>
    <w:p>
      <w:pPr>
        <w:pStyle w:val="Heading3"/>
      </w:pPr>
      <w:r>
        <w:t xml:space="preserve">End-repair</w:t>
      </w:r>
    </w:p>
    <w:p>
      <w:pPr>
        <w:numPr>
          <w:ilvl w:val="0"/>
          <w:numId w:val="1013"/>
        </w:numPr>
      </w:pPr>
      <w:r>
        <w:t xml:space="preserve">Prepare the end-repair master mix below shown in table 2. Each reaction requires 10 μL. It’s a good idea to prepare more than you’ll need (e.g., enough for 9 samples if you’re preparing 8 libraries)</w:t>
      </w:r>
    </w:p>
    <w:p>
      <w:pPr>
        <w:numPr>
          <w:ilvl w:val="0"/>
          <w:numId w:val="1000"/>
        </w:numPr>
      </w:pPr>
      <w:r>
        <w:rPr>
          <w:bCs/>
          <w:b/>
        </w:rPr>
        <w:t xml:space="preserve">Table 2:</w:t>
      </w:r>
      <w:r>
        <w:t xml:space="preserve"> </w:t>
      </w:r>
      <w:r>
        <w:t xml:space="preserve">End-repair master mix from</w:t>
      </w:r>
      <w:r>
        <w:t xml:space="preserve"> </w:t>
      </w:r>
      <w:r>
        <w:t xml:space="preserve">Meyer and Kircher (2010)</w:t>
      </w:r>
      <w:r>
        <w:t xml:space="preserve">. All volumes in μL. Final concentrations calculated from total sample volume (i.e., master mix + samplei = 30 μL)</w:t>
      </w:r>
    </w:p>
    <w:tbl>
      <w:tblPr>
        <w:tblStyle w:val="Table"/>
        <w:tblW w:type="pct" w:w="0.0"/>
        <w:tblLook w:firstRow="1" w:lastRow="0" w:firstColumn="0" w:lastColumn="0" w:noHBand="0" w:noVBand="0" w:val="0020"/>
      </w:tblPr>
      <w:tblGrid/>
      <w:tr>
        <w:tc>
          <w:p>
            <w:pPr>
              <w:numPr>
                <w:ilvl w:val="0"/>
                <w:numId w:val="1000"/>
              </w:numPr>
              <w:pStyle w:val="Compact"/>
              <w:jc w:val="left"/>
            </w:pPr>
            <w:r>
              <w:t xml:space="preserve">Reagent</w:t>
            </w:r>
          </w:p>
        </w:tc>
        <w:tc>
          <w:p>
            <w:pPr>
              <w:numPr>
                <w:ilvl w:val="0"/>
                <w:numId w:val="1000"/>
              </w:numPr>
              <w:pStyle w:val="Compact"/>
              <w:jc w:val="left"/>
            </w:pPr>
            <w:r>
              <w:t xml:space="preserve">Units</w:t>
            </w:r>
          </w:p>
        </w:tc>
        <w:tc>
          <w:p>
            <w:pPr>
              <w:numPr>
                <w:ilvl w:val="0"/>
                <w:numId w:val="1000"/>
              </w:numPr>
              <w:pStyle w:val="Compact"/>
              <w:jc w:val="left"/>
            </w:pPr>
            <w:r>
              <w:t xml:space="preserve">Initial conc.</w:t>
            </w:r>
          </w:p>
        </w:tc>
        <w:tc>
          <w:p>
            <w:pPr>
              <w:numPr>
                <w:ilvl w:val="0"/>
                <w:numId w:val="1000"/>
              </w:numPr>
              <w:pStyle w:val="Compact"/>
              <w:jc w:val="left"/>
            </w:pPr>
            <w:r>
              <w:t xml:space="preserve">Vol.</w:t>
            </w:r>
          </w:p>
        </w:tc>
        <w:tc>
          <w:p>
            <w:pPr>
              <w:numPr>
                <w:ilvl w:val="0"/>
                <w:numId w:val="1000"/>
              </w:numPr>
              <w:pStyle w:val="Compact"/>
              <w:jc w:val="left"/>
            </w:pPr>
            <w:r>
              <w:t xml:space="preserve">Final conc.</w:t>
            </w:r>
          </w:p>
        </w:tc>
      </w:tr>
      <w:tr>
        <w:tc>
          <w:p>
            <w:pPr>
              <w:numPr>
                <w:ilvl w:val="0"/>
                <w:numId w:val="1000"/>
              </w:numPr>
              <w:pStyle w:val="Compact"/>
              <w:jc w:val="left"/>
            </w:pPr>
            <w:r>
              <w:t xml:space="preserve">Tango buffer</w:t>
            </w:r>
          </w:p>
        </w:tc>
        <w:tc>
          <w:p>
            <w:pPr>
              <w:numPr>
                <w:ilvl w:val="0"/>
                <w:numId w:val="1000"/>
              </w:numPr>
              <w:pStyle w:val="Compact"/>
              <w:jc w:val="left"/>
            </w:pPr>
            <w:r>
              <w:t xml:space="preserve">X</w:t>
            </w:r>
          </w:p>
        </w:tc>
        <w:tc>
          <w:p>
            <w:pPr>
              <w:numPr>
                <w:ilvl w:val="0"/>
                <w:numId w:val="1000"/>
              </w:numPr>
              <w:pStyle w:val="Compact"/>
              <w:jc w:val="left"/>
            </w:pPr>
            <w:r>
              <w:t xml:space="preserve">10</w:t>
            </w:r>
          </w:p>
        </w:tc>
        <w:tc>
          <w:p>
            <w:pPr>
              <w:numPr>
                <w:ilvl w:val="0"/>
                <w:numId w:val="1000"/>
              </w:numPr>
              <w:pStyle w:val="Compact"/>
              <w:jc w:val="left"/>
            </w:pPr>
            <w:r>
              <w:t xml:space="preserve">3</w:t>
            </w:r>
          </w:p>
        </w:tc>
        <w:tc>
          <w:p>
            <w:pPr>
              <w:numPr>
                <w:ilvl w:val="0"/>
                <w:numId w:val="1000"/>
              </w:numPr>
              <w:pStyle w:val="Compact"/>
              <w:jc w:val="left"/>
            </w:pPr>
            <w:r>
              <w:t xml:space="preserve">1</w:t>
            </w:r>
          </w:p>
        </w:tc>
      </w:tr>
      <w:tr>
        <w:tc>
          <w:p>
            <w:pPr>
              <w:numPr>
                <w:ilvl w:val="0"/>
                <w:numId w:val="1000"/>
              </w:numPr>
              <w:pStyle w:val="Compact"/>
              <w:jc w:val="left"/>
            </w:pPr>
            <w:r>
              <w:t xml:space="preserve">ATP</w:t>
            </w:r>
          </w:p>
        </w:tc>
        <w:tc>
          <w:p>
            <w:pPr>
              <w:numPr>
                <w:ilvl w:val="0"/>
                <w:numId w:val="1000"/>
              </w:numPr>
              <w:pStyle w:val="Compact"/>
              <w:jc w:val="left"/>
            </w:pPr>
            <w:r>
              <w:t xml:space="preserve">mM</w:t>
            </w:r>
          </w:p>
        </w:tc>
        <w:tc>
          <w:p>
            <w:pPr>
              <w:numPr>
                <w:ilvl w:val="0"/>
                <w:numId w:val="1000"/>
              </w:numPr>
              <w:pStyle w:val="Compact"/>
              <w:jc w:val="left"/>
            </w:pPr>
            <w:r>
              <w:t xml:space="preserve">10</w:t>
            </w:r>
          </w:p>
        </w:tc>
        <w:tc>
          <w:p>
            <w:pPr>
              <w:numPr>
                <w:ilvl w:val="0"/>
                <w:numId w:val="1000"/>
              </w:numPr>
              <w:pStyle w:val="Compact"/>
              <w:jc w:val="left"/>
            </w:pPr>
            <w:r>
              <w:t xml:space="preserve">3</w:t>
            </w:r>
          </w:p>
        </w:tc>
        <w:tc>
          <w:p>
            <w:pPr>
              <w:numPr>
                <w:ilvl w:val="0"/>
                <w:numId w:val="1000"/>
              </w:numPr>
              <w:pStyle w:val="Compact"/>
              <w:jc w:val="left"/>
            </w:pPr>
            <w:r>
              <w:t xml:space="preserve">1</w:t>
            </w:r>
          </w:p>
        </w:tc>
      </w:tr>
      <w:tr>
        <w:tc>
          <w:p>
            <w:pPr>
              <w:numPr>
                <w:ilvl w:val="0"/>
                <w:numId w:val="1000"/>
              </w:numPr>
              <w:pStyle w:val="Compact"/>
              <w:jc w:val="left"/>
            </w:pPr>
            <w:r>
              <w:t xml:space="preserve">dNTP</w:t>
            </w:r>
          </w:p>
        </w:tc>
        <w:tc>
          <w:p>
            <w:pPr>
              <w:numPr>
                <w:ilvl w:val="0"/>
                <w:numId w:val="1000"/>
              </w:numPr>
              <w:pStyle w:val="Compact"/>
              <w:jc w:val="left"/>
            </w:pPr>
            <w:r>
              <w:t xml:space="preserve">mM</w:t>
            </w:r>
          </w:p>
        </w:tc>
        <w:tc>
          <w:p>
            <w:pPr>
              <w:numPr>
                <w:ilvl w:val="0"/>
                <w:numId w:val="1000"/>
              </w:numPr>
              <w:pStyle w:val="Compact"/>
              <w:jc w:val="left"/>
            </w:pPr>
            <w:r>
              <w:t xml:space="preserve">10</w:t>
            </w:r>
          </w:p>
        </w:tc>
        <w:tc>
          <w:p>
            <w:pPr>
              <w:numPr>
                <w:ilvl w:val="0"/>
                <w:numId w:val="1000"/>
              </w:numPr>
              <w:pStyle w:val="Compact"/>
              <w:jc w:val="left"/>
            </w:pPr>
            <w:r>
              <w:t xml:space="preserve">0.3</w:t>
            </w:r>
          </w:p>
        </w:tc>
        <w:tc>
          <w:p>
            <w:pPr>
              <w:numPr>
                <w:ilvl w:val="0"/>
                <w:numId w:val="1000"/>
              </w:numPr>
              <w:pStyle w:val="Compact"/>
              <w:jc w:val="left"/>
            </w:pPr>
            <w:r>
              <w:t xml:space="preserve">0.1</w:t>
            </w:r>
          </w:p>
        </w:tc>
      </w:tr>
      <w:tr>
        <w:tc>
          <w:p>
            <w:pPr>
              <w:numPr>
                <w:ilvl w:val="0"/>
                <w:numId w:val="1000"/>
              </w:numPr>
              <w:pStyle w:val="Compact"/>
              <w:jc w:val="left"/>
            </w:pPr>
            <w:r>
              <w:t xml:space="preserve">T4 PNK</w:t>
            </w:r>
          </w:p>
        </w:tc>
        <w:tc>
          <w:p>
            <w:pPr>
              <w:numPr>
                <w:ilvl w:val="0"/>
                <w:numId w:val="1000"/>
              </w:numPr>
              <w:pStyle w:val="Compact"/>
              <w:jc w:val="left"/>
            </w:pPr>
            <w:r>
              <w:t xml:space="preserve">U/uL</w:t>
            </w:r>
          </w:p>
        </w:tc>
        <w:tc>
          <w:p>
            <w:pPr>
              <w:numPr>
                <w:ilvl w:val="0"/>
                <w:numId w:val="1000"/>
              </w:numPr>
              <w:pStyle w:val="Compact"/>
              <w:jc w:val="left"/>
            </w:pPr>
            <w:r>
              <w:t xml:space="preserve">10</w:t>
            </w:r>
          </w:p>
        </w:tc>
        <w:tc>
          <w:p>
            <w:pPr>
              <w:numPr>
                <w:ilvl w:val="0"/>
                <w:numId w:val="1000"/>
              </w:numPr>
              <w:pStyle w:val="Compact"/>
              <w:jc w:val="left"/>
            </w:pPr>
            <w:r>
              <w:t xml:space="preserve">1.5</w:t>
            </w:r>
          </w:p>
        </w:tc>
        <w:tc>
          <w:p>
            <w:pPr>
              <w:numPr>
                <w:ilvl w:val="0"/>
                <w:numId w:val="1000"/>
              </w:numPr>
              <w:pStyle w:val="Compact"/>
              <w:jc w:val="left"/>
            </w:pPr>
            <w:r>
              <w:t xml:space="preserve">0.5</w:t>
            </w:r>
          </w:p>
        </w:tc>
      </w:tr>
      <w:tr>
        <w:tc>
          <w:p>
            <w:pPr>
              <w:numPr>
                <w:ilvl w:val="0"/>
                <w:numId w:val="1000"/>
              </w:numPr>
              <w:pStyle w:val="Compact"/>
              <w:jc w:val="left"/>
            </w:pPr>
            <w:r>
              <w:t xml:space="preserve">T4 POL</w:t>
            </w:r>
          </w:p>
        </w:tc>
        <w:tc>
          <w:p>
            <w:pPr>
              <w:numPr>
                <w:ilvl w:val="0"/>
                <w:numId w:val="1000"/>
              </w:numPr>
              <w:pStyle w:val="Compact"/>
              <w:jc w:val="left"/>
            </w:pPr>
            <w:r>
              <w:t xml:space="preserve">U/uL</w:t>
            </w:r>
          </w:p>
        </w:tc>
        <w:tc>
          <w:p>
            <w:pPr>
              <w:numPr>
                <w:ilvl w:val="0"/>
                <w:numId w:val="1000"/>
              </w:numPr>
              <w:pStyle w:val="Compact"/>
              <w:jc w:val="left"/>
            </w:pPr>
            <w:r>
              <w:t xml:space="preserve">5</w:t>
            </w:r>
          </w:p>
        </w:tc>
        <w:tc>
          <w:p>
            <w:pPr>
              <w:numPr>
                <w:ilvl w:val="0"/>
                <w:numId w:val="1000"/>
              </w:numPr>
              <w:pStyle w:val="Compact"/>
              <w:jc w:val="left"/>
            </w:pPr>
            <w:r>
              <w:t xml:space="preserve">0.6</w:t>
            </w:r>
          </w:p>
        </w:tc>
        <w:tc>
          <w:p>
            <w:pPr>
              <w:numPr>
                <w:ilvl w:val="0"/>
                <w:numId w:val="1000"/>
              </w:numPr>
              <w:pStyle w:val="Compact"/>
              <w:jc w:val="left"/>
            </w:pPr>
            <w:r>
              <w:t xml:space="preserve">0.1</w:t>
            </w:r>
          </w:p>
        </w:tc>
      </w:tr>
      <w:tr>
        <w:tc>
          <w:p>
            <w:pPr>
              <w:numPr>
                <w:ilvl w:val="0"/>
                <w:numId w:val="1000"/>
              </w:numPr>
              <w:pStyle w:val="Compact"/>
              <w:jc w:val="left"/>
            </w:pPr>
            <w:r>
              <w:t xml:space="preserve">Water</w:t>
            </w:r>
          </w:p>
        </w:tc>
        <w:tc>
          <w:p>
            <w:pPr>
              <w:numPr>
                <w:ilvl w:val="0"/>
                <w:numId w:val="1000"/>
              </w:numPr>
              <w:pStyle w:val="Compact"/>
              <w:jc w:val="left"/>
            </w:pPr>
            <w:r>
              <w:t xml:space="preserve">NA</w:t>
            </w:r>
          </w:p>
        </w:tc>
        <w:tc>
          <w:p>
            <w:pPr>
              <w:numPr>
                <w:ilvl w:val="0"/>
                <w:numId w:val="1000"/>
              </w:numPr>
              <w:pStyle w:val="Compact"/>
              <w:jc w:val="left"/>
            </w:pPr>
            <w:r>
              <w:t xml:space="preserve">NA</w:t>
            </w:r>
          </w:p>
        </w:tc>
        <w:tc>
          <w:p>
            <w:pPr>
              <w:numPr>
                <w:ilvl w:val="0"/>
                <w:numId w:val="1000"/>
              </w:numPr>
              <w:pStyle w:val="Compact"/>
              <w:jc w:val="left"/>
            </w:pPr>
            <w:r>
              <w:t xml:space="preserve">1.6</w:t>
            </w:r>
          </w:p>
        </w:tc>
        <w:tc>
          <w:p>
            <w:pPr>
              <w:numPr>
                <w:ilvl w:val="0"/>
                <w:numId w:val="1000"/>
              </w:numPr>
              <w:pStyle w:val="Compact"/>
              <w:jc w:val="left"/>
            </w:pPr>
            <w:r>
              <w:t xml:space="preserve">NA</w:t>
            </w:r>
          </w:p>
        </w:tc>
      </w:tr>
      <w:tr>
        <w:tc>
          <w:p>
            <w:pPr>
              <w:numPr>
                <w:ilvl w:val="0"/>
                <w:numId w:val="1000"/>
              </w:numPr>
              <w:pStyle w:val="Compact"/>
              <w:jc w:val="left"/>
            </w:pPr>
            <w:r>
              <w:rPr>
                <w:bCs/>
                <w:b/>
              </w:rPr>
              <w:t xml:space="preserve">Total</w:t>
            </w:r>
          </w:p>
        </w:tc>
        <w:tc>
          <w:p>
            <w:pPr>
              <w:numPr>
                <w:ilvl w:val="0"/>
                <w:numId w:val="1000"/>
              </w:numPr>
              <w:pStyle w:val="Compact"/>
              <w:jc w:val="left"/>
            </w:pPr>
            <w:r>
              <w:t xml:space="preserve">NA</w:t>
            </w:r>
          </w:p>
        </w:tc>
        <w:tc>
          <w:p>
            <w:pPr>
              <w:numPr>
                <w:ilvl w:val="0"/>
                <w:numId w:val="1000"/>
              </w:numPr>
              <w:pStyle w:val="Compact"/>
              <w:jc w:val="left"/>
            </w:pPr>
            <w:r>
              <w:t xml:space="preserve">NA</w:t>
            </w:r>
          </w:p>
        </w:tc>
        <w:tc>
          <w:p>
            <w:pPr>
              <w:numPr>
                <w:ilvl w:val="0"/>
                <w:numId w:val="1000"/>
              </w:numPr>
              <w:pStyle w:val="Compact"/>
              <w:jc w:val="left"/>
            </w:pPr>
            <w:r>
              <w:rPr>
                <w:bCs/>
                <w:b/>
              </w:rPr>
              <w:t xml:space="preserve">10</w:t>
            </w:r>
          </w:p>
        </w:tc>
        <w:tc>
          <w:p>
            <w:pPr>
              <w:numPr>
                <w:ilvl w:val="0"/>
                <w:numId w:val="1000"/>
              </w:numPr>
              <w:pStyle w:val="Compact"/>
              <w:jc w:val="left"/>
            </w:pPr>
            <w:r>
              <w:t xml:space="preserve">NA</w:t>
            </w:r>
          </w:p>
        </w:tc>
      </w:tr>
    </w:tbl>
    <w:p>
      <w:pPr>
        <w:numPr>
          <w:ilvl w:val="0"/>
          <w:numId w:val="1013"/>
        </w:numPr>
      </w:pPr>
      <w:r>
        <w:t xml:space="preserve">Pipette 10 μL of master mix in to 25 μL of each DNA sample. Mix throughly by pipetting or flicking.</w:t>
      </w:r>
    </w:p>
    <w:p>
      <w:pPr>
        <w:numPr>
          <w:ilvl w:val="0"/>
          <w:numId w:val="1013"/>
        </w:numPr>
      </w:pPr>
      <w:r>
        <w:t xml:space="preserve">Incubate reation in thermocycler using the following conditions (from Fisher</w:t>
      </w:r>
      <w:r>
        <w:t xml:space="preserve"> </w:t>
      </w:r>
      <w:r>
        <w:rPr>
          <w:iCs/>
          <w:i/>
        </w:rPr>
        <w:t xml:space="preserve">et al.</w:t>
      </w:r>
      <w:r>
        <w:t xml:space="preserve"> </w:t>
      </w:r>
      <w:r>
        <w:t xml:space="preserve">2011):</w:t>
      </w:r>
    </w:p>
    <w:p>
      <w:pPr>
        <w:numPr>
          <w:ilvl w:val="1"/>
          <w:numId w:val="1014"/>
        </w:numPr>
        <w:pStyle w:val="Compact"/>
      </w:pPr>
      <w:r>
        <w:t xml:space="preserve">15 mins at 12°C followed by 15 mins at 25°C (30 mins total).</w:t>
      </w:r>
    </w:p>
    <w:bookmarkEnd w:id="32"/>
    <w:bookmarkStart w:id="33" w:name="post-end-repair-cleanup"/>
    <w:p>
      <w:pPr>
        <w:pStyle w:val="Heading3"/>
      </w:pPr>
      <w:r>
        <w:t xml:space="preserve">Post end-repair cleanup</w:t>
      </w:r>
    </w:p>
    <w:p>
      <w:pPr>
        <w:numPr>
          <w:ilvl w:val="0"/>
          <w:numId w:val="1015"/>
        </w:numPr>
        <w:pStyle w:val="Compact"/>
      </w:pPr>
      <w:r>
        <w:t xml:space="preserve">Add 84 μL of 20% PEG-8000/2.5M NaCl (i.e. SPRI bead solution without the beads) to samples. This is a 2.8X Bead:DNA ratio (</w:t>
      </w:r>
      <w:r>
        <w:t xml:space="preserve">Fisher et al. (2011)</w:t>
      </w:r>
      <w:r>
        <w:t xml:space="preserve">).</w:t>
      </w:r>
    </w:p>
    <w:p>
      <w:pPr>
        <w:numPr>
          <w:ilvl w:val="0"/>
          <w:numId w:val="1015"/>
        </w:numPr>
        <w:pStyle w:val="Compact"/>
      </w:pPr>
      <w:r>
        <w:t xml:space="preserve">Perform bead cleanup as in sec. 3.1.2, eluting DNA in 20 μL of low-TE.</w:t>
      </w:r>
    </w:p>
    <w:bookmarkEnd w:id="33"/>
    <w:bookmarkEnd w:id="34"/>
    <w:bookmarkStart w:id="38" w:name="a-tailing-and-cleanup"/>
    <w:p>
      <w:pPr>
        <w:pStyle w:val="Heading2"/>
      </w:pPr>
      <w:r>
        <w:t xml:space="preserve">A-tailing and cleanup</w:t>
      </w:r>
    </w:p>
    <w:bookmarkStart w:id="36" w:name="a-tailing"/>
    <w:p>
      <w:pPr>
        <w:pStyle w:val="Heading3"/>
      </w:pPr>
      <w:r>
        <w:t xml:space="preserve">A-tailing</w:t>
      </w:r>
    </w:p>
    <w:p>
      <w:pPr>
        <w:numPr>
          <w:ilvl w:val="0"/>
          <w:numId w:val="1016"/>
        </w:numPr>
      </w:pPr>
      <w:r>
        <w:t xml:space="preserve">Prepare the A-tailing master mix shown in table 3. Each sample requires 10 μL.</w:t>
      </w:r>
    </w:p>
    <w:p>
      <w:pPr>
        <w:numPr>
          <w:ilvl w:val="0"/>
          <w:numId w:val="1000"/>
        </w:numPr>
      </w:pPr>
      <w:r>
        <w:rPr>
          <w:bCs/>
          <w:b/>
        </w:rPr>
        <w:t xml:space="preserve">Table 3:</w:t>
      </w:r>
      <w:r>
        <w:t xml:space="preserve"> </w:t>
      </w:r>
      <w:r>
        <w:t xml:space="preserve">See</w:t>
      </w:r>
      <w:r>
        <w:t xml:space="preserve"> </w:t>
      </w:r>
      <w:r>
        <w:t xml:space="preserve">Kobs (1997)</w:t>
      </w:r>
      <w:r>
        <w:t xml:space="preserve"> </w:t>
      </w:r>
      <w:r>
        <w:t xml:space="preserve">and</w:t>
      </w:r>
      <w:r>
        <w:t xml:space="preserve"> </w:t>
      </w:r>
      <w:hyperlink r:id="rId35">
        <w:r>
          <w:rPr>
            <w:rStyle w:val="Hyperlink"/>
          </w:rPr>
          <w:t xml:space="preserve">this wiki from the Rausher lab at Duke</w:t>
        </w:r>
      </w:hyperlink>
      <w:r>
        <w:t xml:space="preserve"> </w:t>
      </w:r>
      <w:r>
        <w:t xml:space="preserve">for details on A-tailing. All volumes in μL. Final concentrations calculated from total sample volume (i.e., master mix + sample = 30 μL)</w:t>
      </w:r>
    </w:p>
    <w:tbl>
      <w:tblPr>
        <w:tblStyle w:val="Table"/>
        <w:tblW w:type="pct" w:w="0.0"/>
        <w:tblLook w:firstRow="1" w:lastRow="0" w:firstColumn="0" w:lastColumn="0" w:noHBand="0" w:noVBand="0" w:val="0020"/>
      </w:tblPr>
      <w:tblGrid/>
      <w:tr>
        <w:tc>
          <w:p>
            <w:pPr>
              <w:numPr>
                <w:ilvl w:val="0"/>
                <w:numId w:val="1000"/>
              </w:numPr>
              <w:pStyle w:val="Compact"/>
              <w:jc w:val="left"/>
            </w:pPr>
            <w:r>
              <w:t xml:space="preserve">Reagent</w:t>
            </w:r>
          </w:p>
        </w:tc>
        <w:tc>
          <w:p>
            <w:pPr>
              <w:numPr>
                <w:ilvl w:val="0"/>
                <w:numId w:val="1000"/>
              </w:numPr>
              <w:pStyle w:val="Compact"/>
              <w:jc w:val="left"/>
            </w:pPr>
            <w:r>
              <w:t xml:space="preserve">Units</w:t>
            </w:r>
          </w:p>
        </w:tc>
        <w:tc>
          <w:p>
            <w:pPr>
              <w:numPr>
                <w:ilvl w:val="0"/>
                <w:numId w:val="1000"/>
              </w:numPr>
              <w:pStyle w:val="Compact"/>
              <w:jc w:val="left"/>
            </w:pPr>
            <w:r>
              <w:t xml:space="preserve">Initial conc.</w:t>
            </w:r>
          </w:p>
        </w:tc>
        <w:tc>
          <w:p>
            <w:pPr>
              <w:numPr>
                <w:ilvl w:val="0"/>
                <w:numId w:val="1000"/>
              </w:numPr>
              <w:pStyle w:val="Compact"/>
              <w:jc w:val="left"/>
            </w:pPr>
            <w:r>
              <w:t xml:space="preserve">Vol.</w:t>
            </w:r>
          </w:p>
        </w:tc>
        <w:tc>
          <w:p>
            <w:pPr>
              <w:numPr>
                <w:ilvl w:val="0"/>
                <w:numId w:val="1000"/>
              </w:numPr>
              <w:pStyle w:val="Compact"/>
              <w:jc w:val="left"/>
            </w:pPr>
            <w:r>
              <w:t xml:space="preserve">Final conc.</w:t>
            </w:r>
          </w:p>
        </w:tc>
      </w:tr>
      <w:tr>
        <w:tc>
          <w:p>
            <w:pPr>
              <w:numPr>
                <w:ilvl w:val="0"/>
                <w:numId w:val="1000"/>
              </w:numPr>
              <w:pStyle w:val="Compact"/>
              <w:jc w:val="left"/>
            </w:pPr>
            <w:r>
              <w:t xml:space="preserve">Taq buffer</w:t>
            </w:r>
          </w:p>
        </w:tc>
        <w:tc>
          <w:p>
            <w:pPr>
              <w:numPr>
                <w:ilvl w:val="0"/>
                <w:numId w:val="1000"/>
              </w:numPr>
              <w:pStyle w:val="Compact"/>
              <w:jc w:val="left"/>
            </w:pPr>
            <w:r>
              <w:t xml:space="preserve">X</w:t>
            </w:r>
          </w:p>
        </w:tc>
        <w:tc>
          <w:p>
            <w:pPr>
              <w:numPr>
                <w:ilvl w:val="0"/>
                <w:numId w:val="1000"/>
              </w:numPr>
              <w:pStyle w:val="Compact"/>
              <w:jc w:val="left"/>
            </w:pPr>
            <w:r>
              <w:t xml:space="preserve">10</w:t>
            </w:r>
          </w:p>
        </w:tc>
        <w:tc>
          <w:p>
            <w:pPr>
              <w:numPr>
                <w:ilvl w:val="0"/>
                <w:numId w:val="1000"/>
              </w:numPr>
              <w:pStyle w:val="Compact"/>
              <w:jc w:val="left"/>
            </w:pPr>
            <w:r>
              <w:t xml:space="preserve">3</w:t>
            </w:r>
          </w:p>
        </w:tc>
        <w:tc>
          <w:p>
            <w:pPr>
              <w:numPr>
                <w:ilvl w:val="0"/>
                <w:numId w:val="1000"/>
              </w:numPr>
              <w:pStyle w:val="Compact"/>
              <w:jc w:val="left"/>
            </w:pPr>
            <w:r>
              <w:t xml:space="preserve">1</w:t>
            </w:r>
          </w:p>
        </w:tc>
      </w:tr>
      <w:tr>
        <w:tc>
          <w:p>
            <w:pPr>
              <w:numPr>
                <w:ilvl w:val="0"/>
                <w:numId w:val="1000"/>
              </w:numPr>
              <w:pStyle w:val="Compact"/>
              <w:jc w:val="left"/>
            </w:pPr>
            <w:r>
              <w:t xml:space="preserve">dATP</w:t>
            </w:r>
          </w:p>
        </w:tc>
        <w:tc>
          <w:p>
            <w:pPr>
              <w:numPr>
                <w:ilvl w:val="0"/>
                <w:numId w:val="1000"/>
              </w:numPr>
              <w:pStyle w:val="Compact"/>
              <w:jc w:val="left"/>
            </w:pPr>
            <w:r>
              <w:t xml:space="preserve">mM</w:t>
            </w:r>
          </w:p>
        </w:tc>
        <w:tc>
          <w:p>
            <w:pPr>
              <w:numPr>
                <w:ilvl w:val="0"/>
                <w:numId w:val="1000"/>
              </w:numPr>
              <w:pStyle w:val="Compact"/>
              <w:jc w:val="left"/>
            </w:pPr>
            <w:r>
              <w:t xml:space="preserve">10</w:t>
            </w:r>
          </w:p>
        </w:tc>
        <w:tc>
          <w:p>
            <w:pPr>
              <w:numPr>
                <w:ilvl w:val="0"/>
                <w:numId w:val="1000"/>
              </w:numPr>
              <w:pStyle w:val="Compact"/>
              <w:jc w:val="left"/>
            </w:pPr>
            <w:r>
              <w:t xml:space="preserve">0.6</w:t>
            </w:r>
          </w:p>
        </w:tc>
        <w:tc>
          <w:p>
            <w:pPr>
              <w:numPr>
                <w:ilvl w:val="0"/>
                <w:numId w:val="1000"/>
              </w:numPr>
              <w:pStyle w:val="Compact"/>
              <w:jc w:val="left"/>
            </w:pPr>
            <w:r>
              <w:t xml:space="preserve">0.2</w:t>
            </w:r>
          </w:p>
        </w:tc>
      </w:tr>
      <w:tr>
        <w:tc>
          <w:p>
            <w:pPr>
              <w:numPr>
                <w:ilvl w:val="0"/>
                <w:numId w:val="1000"/>
              </w:numPr>
              <w:pStyle w:val="Compact"/>
              <w:jc w:val="left"/>
            </w:pPr>
            <w:r>
              <w:t xml:space="preserve">Taq</w:t>
            </w:r>
          </w:p>
        </w:tc>
        <w:tc>
          <w:p>
            <w:pPr>
              <w:numPr>
                <w:ilvl w:val="0"/>
                <w:numId w:val="1000"/>
              </w:numPr>
              <w:pStyle w:val="Compact"/>
              <w:jc w:val="left"/>
            </w:pPr>
            <w:r>
              <w:t xml:space="preserve">U</w:t>
            </w:r>
          </w:p>
        </w:tc>
        <w:tc>
          <w:p>
            <w:pPr>
              <w:numPr>
                <w:ilvl w:val="0"/>
                <w:numId w:val="1000"/>
              </w:numPr>
              <w:pStyle w:val="Compact"/>
              <w:jc w:val="left"/>
            </w:pPr>
            <w:r>
              <w:t xml:space="preserve">5</w:t>
            </w:r>
          </w:p>
        </w:tc>
        <w:tc>
          <w:p>
            <w:pPr>
              <w:numPr>
                <w:ilvl w:val="0"/>
                <w:numId w:val="1000"/>
              </w:numPr>
              <w:pStyle w:val="Compact"/>
              <w:jc w:val="left"/>
            </w:pPr>
            <w:r>
              <w:t xml:space="preserve">0.75</w:t>
            </w:r>
          </w:p>
        </w:tc>
        <w:tc>
          <w:p>
            <w:pPr>
              <w:numPr>
                <w:ilvl w:val="0"/>
                <w:numId w:val="1000"/>
              </w:numPr>
              <w:pStyle w:val="Compact"/>
              <w:jc w:val="left"/>
            </w:pPr>
            <w:r>
              <w:t xml:space="preserve">0.125</w:t>
            </w:r>
          </w:p>
        </w:tc>
      </w:tr>
      <w:tr>
        <w:tc>
          <w:p>
            <w:pPr>
              <w:numPr>
                <w:ilvl w:val="0"/>
                <w:numId w:val="1000"/>
              </w:numPr>
              <w:pStyle w:val="Compact"/>
              <w:jc w:val="left"/>
            </w:pPr>
            <w:r>
              <w:t xml:space="preserve">MgCl2</w:t>
            </w:r>
          </w:p>
        </w:tc>
        <w:tc>
          <w:p>
            <w:pPr>
              <w:numPr>
                <w:ilvl w:val="0"/>
                <w:numId w:val="1000"/>
              </w:numPr>
              <w:pStyle w:val="Compact"/>
              <w:jc w:val="left"/>
            </w:pPr>
            <w:r>
              <w:t xml:space="preserve">mM</w:t>
            </w:r>
          </w:p>
        </w:tc>
        <w:tc>
          <w:p>
            <w:pPr>
              <w:numPr>
                <w:ilvl w:val="0"/>
                <w:numId w:val="1000"/>
              </w:numPr>
              <w:pStyle w:val="Compact"/>
              <w:jc w:val="left"/>
            </w:pPr>
            <w:r>
              <w:t xml:space="preserve">50</w:t>
            </w:r>
          </w:p>
        </w:tc>
        <w:tc>
          <w:p>
            <w:pPr>
              <w:numPr>
                <w:ilvl w:val="0"/>
                <w:numId w:val="1000"/>
              </w:numPr>
              <w:pStyle w:val="Compact"/>
              <w:jc w:val="left"/>
            </w:pPr>
            <w:r>
              <w:t xml:space="preserve">1.5</w:t>
            </w:r>
          </w:p>
        </w:tc>
        <w:tc>
          <w:p>
            <w:pPr>
              <w:numPr>
                <w:ilvl w:val="0"/>
                <w:numId w:val="1000"/>
              </w:numPr>
              <w:pStyle w:val="Compact"/>
              <w:jc w:val="left"/>
            </w:pPr>
            <w:r>
              <w:t xml:space="preserve">2.5</w:t>
            </w:r>
          </w:p>
        </w:tc>
      </w:tr>
      <w:tr>
        <w:tc>
          <w:p>
            <w:pPr>
              <w:numPr>
                <w:ilvl w:val="0"/>
                <w:numId w:val="1000"/>
              </w:numPr>
              <w:pStyle w:val="Compact"/>
              <w:jc w:val="left"/>
            </w:pPr>
            <w:r>
              <w:t xml:space="preserve">Water</w:t>
            </w:r>
          </w:p>
        </w:tc>
        <w:tc>
          <w:p>
            <w:pPr>
              <w:numPr>
                <w:ilvl w:val="0"/>
                <w:numId w:val="1000"/>
              </w:numPr>
              <w:pStyle w:val="Compact"/>
              <w:jc w:val="left"/>
            </w:pPr>
            <w:r>
              <w:t xml:space="preserve">NA</w:t>
            </w:r>
          </w:p>
        </w:tc>
        <w:tc>
          <w:p>
            <w:pPr>
              <w:numPr>
                <w:ilvl w:val="0"/>
                <w:numId w:val="1000"/>
              </w:numPr>
              <w:pStyle w:val="Compact"/>
              <w:jc w:val="left"/>
            </w:pPr>
            <w:r>
              <w:t xml:space="preserve">NA</w:t>
            </w:r>
          </w:p>
        </w:tc>
        <w:tc>
          <w:p>
            <w:pPr>
              <w:numPr>
                <w:ilvl w:val="0"/>
                <w:numId w:val="1000"/>
              </w:numPr>
              <w:pStyle w:val="Compact"/>
              <w:jc w:val="left"/>
            </w:pPr>
            <w:r>
              <w:t xml:space="preserve">4.15</w:t>
            </w:r>
          </w:p>
        </w:tc>
        <w:tc>
          <w:p>
            <w:pPr>
              <w:numPr>
                <w:ilvl w:val="0"/>
                <w:numId w:val="1000"/>
              </w:numPr>
              <w:pStyle w:val="Compact"/>
              <w:jc w:val="left"/>
            </w:pPr>
            <w:r>
              <w:t xml:space="preserve">NA</w:t>
            </w:r>
          </w:p>
        </w:tc>
      </w:tr>
      <w:tr>
        <w:tc>
          <w:p>
            <w:pPr>
              <w:numPr>
                <w:ilvl w:val="0"/>
                <w:numId w:val="1000"/>
              </w:numPr>
              <w:pStyle w:val="Compact"/>
              <w:jc w:val="left"/>
            </w:pPr>
            <w:r>
              <w:rPr>
                <w:bCs/>
                <w:b/>
              </w:rPr>
              <w:t xml:space="preserve">Total</w:t>
            </w:r>
          </w:p>
        </w:tc>
        <w:tc>
          <w:p>
            <w:pPr>
              <w:numPr>
                <w:ilvl w:val="0"/>
                <w:numId w:val="1000"/>
              </w:numPr>
              <w:pStyle w:val="Compact"/>
              <w:jc w:val="left"/>
            </w:pPr>
            <w:r>
              <w:t xml:space="preserve">NA</w:t>
            </w:r>
          </w:p>
        </w:tc>
        <w:tc>
          <w:p>
            <w:pPr>
              <w:numPr>
                <w:ilvl w:val="0"/>
                <w:numId w:val="1000"/>
              </w:numPr>
              <w:pStyle w:val="Compact"/>
              <w:jc w:val="left"/>
            </w:pPr>
            <w:r>
              <w:t xml:space="preserve">NA</w:t>
            </w:r>
          </w:p>
        </w:tc>
        <w:tc>
          <w:p>
            <w:pPr>
              <w:numPr>
                <w:ilvl w:val="0"/>
                <w:numId w:val="1000"/>
              </w:numPr>
              <w:pStyle w:val="Compact"/>
              <w:jc w:val="left"/>
            </w:pPr>
            <w:r>
              <w:rPr>
                <w:bCs/>
                <w:b/>
              </w:rPr>
              <w:t xml:space="preserve">10</w:t>
            </w:r>
          </w:p>
        </w:tc>
        <w:tc>
          <w:p>
            <w:pPr>
              <w:numPr>
                <w:ilvl w:val="0"/>
                <w:numId w:val="1000"/>
              </w:numPr>
              <w:pStyle w:val="Compact"/>
              <w:jc w:val="left"/>
            </w:pPr>
            <w:r>
              <w:t xml:space="preserve">NA</w:t>
            </w:r>
          </w:p>
        </w:tc>
      </w:tr>
    </w:tbl>
    <w:p>
      <w:pPr>
        <w:numPr>
          <w:ilvl w:val="0"/>
          <w:numId w:val="1016"/>
        </w:numPr>
      </w:pPr>
      <w:r>
        <w:t xml:space="preserve">Add 10 μL of master mix to 20 μL each DNA sample.</w:t>
      </w:r>
    </w:p>
    <w:p>
      <w:pPr>
        <w:numPr>
          <w:ilvl w:val="0"/>
          <w:numId w:val="1016"/>
        </w:numPr>
      </w:pPr>
      <w:r>
        <w:t xml:space="preserve">Incubate in thermocycler for 30 minutes at 70°C.</w:t>
      </w:r>
    </w:p>
    <w:bookmarkEnd w:id="36"/>
    <w:bookmarkStart w:id="37" w:name="post-a-tailing-cleanup"/>
    <w:p>
      <w:pPr>
        <w:pStyle w:val="Heading3"/>
      </w:pPr>
      <w:r>
        <w:t xml:space="preserve">Post A-tailing cleanup</w:t>
      </w:r>
    </w:p>
    <w:p>
      <w:pPr>
        <w:numPr>
          <w:ilvl w:val="0"/>
          <w:numId w:val="1017"/>
        </w:numPr>
        <w:pStyle w:val="Compact"/>
      </w:pPr>
      <w:r>
        <w:t xml:space="preserve">Add 66 μL of 20% PEG-8000/2.5M NaCl (i.e. SPRI bead solution without the beads) to samples. This is a 2.2X Bead:DNA ratio (</w:t>
      </w:r>
      <w:r>
        <w:t xml:space="preserve">Fisher et al. (2011)</w:t>
      </w:r>
      <w:r>
        <w:t xml:space="preserve">).</w:t>
      </w:r>
    </w:p>
    <w:p>
      <w:pPr>
        <w:numPr>
          <w:ilvl w:val="0"/>
          <w:numId w:val="1017"/>
        </w:numPr>
        <w:pStyle w:val="Compact"/>
      </w:pPr>
      <w:r>
        <w:t xml:space="preserve">Perform bead cleanup as in sec. 3.1.2, eluting DNA in 20 μL of low-TE.</w:t>
      </w:r>
    </w:p>
    <w:bookmarkEnd w:id="37"/>
    <w:bookmarkEnd w:id="38"/>
    <w:bookmarkStart w:id="41" w:name="adapter-ligation-and-cleanup"/>
    <w:p>
      <w:pPr>
        <w:pStyle w:val="Heading2"/>
      </w:pPr>
      <w:r>
        <w:t xml:space="preserve">Adapter ligation and cleanup</w:t>
      </w:r>
    </w:p>
    <w:bookmarkStart w:id="39" w:name="adapter-ligation"/>
    <w:p>
      <w:pPr>
        <w:pStyle w:val="Heading3"/>
      </w:pPr>
      <w:r>
        <w:t xml:space="preserve">Adapter ligation</w:t>
      </w:r>
    </w:p>
    <w:p>
      <w:pPr>
        <w:numPr>
          <w:ilvl w:val="0"/>
          <w:numId w:val="1018"/>
        </w:numPr>
      </w:pPr>
      <w:r>
        <w:t xml:space="preserve">Prepare the adapter ligation master mix shown in table 4. Each sample requires 10 μL.</w:t>
      </w:r>
    </w:p>
    <w:p>
      <w:pPr>
        <w:numPr>
          <w:ilvl w:val="0"/>
          <w:numId w:val="1000"/>
        </w:numPr>
      </w:pPr>
      <w:r>
        <w:rPr>
          <w:bCs/>
          <w:b/>
        </w:rPr>
        <w:t xml:space="preserve">Table 4:</w:t>
      </w:r>
      <w:r>
        <w:t xml:space="preserve"> </w:t>
      </w:r>
      <w:r>
        <w:t xml:space="preserve">Adapter ligation master mix from</w:t>
      </w:r>
      <w:r>
        <w:t xml:space="preserve"> </w:t>
      </w:r>
      <w:r>
        <w:t xml:space="preserve">Meyer and Kircher (2010)</w:t>
      </w:r>
      <w:r>
        <w:t xml:space="preserve">. All volumes in μL. Final concentrations calculated from total sample volume (i.e., master mix + adapters + sample = 35 μL)</w:t>
      </w:r>
    </w:p>
    <w:tbl>
      <w:tblPr>
        <w:tblStyle w:val="Table"/>
        <w:tblW w:type="pct" w:w="0.0"/>
        <w:tblLook w:firstRow="1" w:lastRow="0" w:firstColumn="0" w:lastColumn="0" w:noHBand="0" w:noVBand="0" w:val="0020"/>
      </w:tblPr>
      <w:tblGrid/>
      <w:tr>
        <w:tc>
          <w:p>
            <w:pPr>
              <w:numPr>
                <w:ilvl w:val="0"/>
                <w:numId w:val="1000"/>
              </w:numPr>
              <w:pStyle w:val="Compact"/>
              <w:jc w:val="left"/>
            </w:pPr>
            <w:r>
              <w:t xml:space="preserve">Reagent</w:t>
            </w:r>
          </w:p>
        </w:tc>
        <w:tc>
          <w:p>
            <w:pPr>
              <w:numPr>
                <w:ilvl w:val="0"/>
                <w:numId w:val="1000"/>
              </w:numPr>
              <w:pStyle w:val="Compact"/>
              <w:jc w:val="left"/>
            </w:pPr>
            <w:r>
              <w:t xml:space="preserve">Units</w:t>
            </w:r>
          </w:p>
        </w:tc>
        <w:tc>
          <w:p>
            <w:pPr>
              <w:numPr>
                <w:ilvl w:val="0"/>
                <w:numId w:val="1000"/>
              </w:numPr>
              <w:pStyle w:val="Compact"/>
              <w:jc w:val="left"/>
            </w:pPr>
            <w:r>
              <w:t xml:space="preserve">Initial conc.</w:t>
            </w:r>
          </w:p>
        </w:tc>
        <w:tc>
          <w:p>
            <w:pPr>
              <w:numPr>
                <w:ilvl w:val="0"/>
                <w:numId w:val="1000"/>
              </w:numPr>
              <w:pStyle w:val="Compact"/>
              <w:jc w:val="left"/>
            </w:pPr>
            <w:r>
              <w:t xml:space="preserve">Vol.</w:t>
            </w:r>
          </w:p>
        </w:tc>
        <w:tc>
          <w:p>
            <w:pPr>
              <w:numPr>
                <w:ilvl w:val="0"/>
                <w:numId w:val="1000"/>
              </w:numPr>
              <w:pStyle w:val="Compact"/>
              <w:jc w:val="left"/>
            </w:pPr>
            <w:r>
              <w:t xml:space="preserve">Final conc.</w:t>
            </w:r>
          </w:p>
        </w:tc>
      </w:tr>
      <w:tr>
        <w:tc>
          <w:p>
            <w:pPr>
              <w:numPr>
                <w:ilvl w:val="0"/>
                <w:numId w:val="1000"/>
              </w:numPr>
              <w:pStyle w:val="Compact"/>
              <w:jc w:val="left"/>
            </w:pPr>
            <w:r>
              <w:t xml:space="preserve">Ligase buffer</w:t>
            </w:r>
          </w:p>
        </w:tc>
        <w:tc>
          <w:p>
            <w:pPr>
              <w:numPr>
                <w:ilvl w:val="0"/>
                <w:numId w:val="1000"/>
              </w:numPr>
              <w:pStyle w:val="Compact"/>
              <w:jc w:val="left"/>
            </w:pPr>
            <w:r>
              <w:t xml:space="preserve">X</w:t>
            </w:r>
          </w:p>
        </w:tc>
        <w:tc>
          <w:p>
            <w:pPr>
              <w:numPr>
                <w:ilvl w:val="0"/>
                <w:numId w:val="1000"/>
              </w:numPr>
              <w:pStyle w:val="Compact"/>
              <w:jc w:val="left"/>
            </w:pPr>
            <w:r>
              <w:t xml:space="preserve">10</w:t>
            </w:r>
          </w:p>
        </w:tc>
        <w:tc>
          <w:p>
            <w:pPr>
              <w:numPr>
                <w:ilvl w:val="0"/>
                <w:numId w:val="1000"/>
              </w:numPr>
              <w:pStyle w:val="Compact"/>
              <w:jc w:val="left"/>
            </w:pPr>
            <w:r>
              <w:t xml:space="preserve">3.5</w:t>
            </w:r>
          </w:p>
        </w:tc>
        <w:tc>
          <w:p>
            <w:pPr>
              <w:numPr>
                <w:ilvl w:val="0"/>
                <w:numId w:val="1000"/>
              </w:numPr>
              <w:pStyle w:val="Compact"/>
              <w:jc w:val="left"/>
            </w:pPr>
            <w:r>
              <w:t xml:space="preserve">1</w:t>
            </w:r>
          </w:p>
        </w:tc>
      </w:tr>
      <w:tr>
        <w:tc>
          <w:p>
            <w:pPr>
              <w:numPr>
                <w:ilvl w:val="0"/>
                <w:numId w:val="1000"/>
              </w:numPr>
              <w:pStyle w:val="Compact"/>
              <w:jc w:val="left"/>
            </w:pPr>
            <w:r>
              <w:t xml:space="preserve">PEG-4000</w:t>
            </w:r>
          </w:p>
        </w:tc>
        <w:tc>
          <w:p>
            <w:pPr>
              <w:numPr>
                <w:ilvl w:val="0"/>
                <w:numId w:val="1000"/>
              </w:numPr>
              <w:pStyle w:val="Compact"/>
              <w:jc w:val="left"/>
            </w:pPr>
            <w:r>
              <w:t xml:space="preserve">mM</w:t>
            </w:r>
          </w:p>
        </w:tc>
        <w:tc>
          <w:p>
            <w:pPr>
              <w:numPr>
                <w:ilvl w:val="0"/>
                <w:numId w:val="1000"/>
              </w:numPr>
              <w:pStyle w:val="Compact"/>
              <w:jc w:val="left"/>
            </w:pPr>
            <w:r>
              <w:t xml:space="preserve">50</w:t>
            </w:r>
          </w:p>
        </w:tc>
        <w:tc>
          <w:p>
            <w:pPr>
              <w:numPr>
                <w:ilvl w:val="0"/>
                <w:numId w:val="1000"/>
              </w:numPr>
              <w:pStyle w:val="Compact"/>
              <w:jc w:val="left"/>
            </w:pPr>
            <w:r>
              <w:t xml:space="preserve">3.5</w:t>
            </w:r>
          </w:p>
        </w:tc>
        <w:tc>
          <w:p>
            <w:pPr>
              <w:numPr>
                <w:ilvl w:val="0"/>
                <w:numId w:val="1000"/>
              </w:numPr>
              <w:pStyle w:val="Compact"/>
              <w:jc w:val="left"/>
            </w:pPr>
            <w:r>
              <w:t xml:space="preserve">5</w:t>
            </w:r>
          </w:p>
        </w:tc>
      </w:tr>
      <w:tr>
        <w:tc>
          <w:p>
            <w:pPr>
              <w:numPr>
                <w:ilvl w:val="0"/>
                <w:numId w:val="1000"/>
              </w:numPr>
              <w:pStyle w:val="Compact"/>
              <w:jc w:val="left"/>
            </w:pPr>
            <w:r>
              <w:t xml:space="preserve">T4 Ligase</w:t>
            </w:r>
          </w:p>
        </w:tc>
        <w:tc>
          <w:p>
            <w:pPr>
              <w:numPr>
                <w:ilvl w:val="0"/>
                <w:numId w:val="1000"/>
              </w:numPr>
              <w:pStyle w:val="Compact"/>
              <w:jc w:val="left"/>
            </w:pPr>
            <w:r>
              <w:t xml:space="preserve">U</w:t>
            </w:r>
          </w:p>
        </w:tc>
        <w:tc>
          <w:p>
            <w:pPr>
              <w:numPr>
                <w:ilvl w:val="0"/>
                <w:numId w:val="1000"/>
              </w:numPr>
              <w:pStyle w:val="Compact"/>
              <w:jc w:val="left"/>
            </w:pPr>
            <w:r>
              <w:t xml:space="preserve">5</w:t>
            </w:r>
          </w:p>
        </w:tc>
        <w:tc>
          <w:p>
            <w:pPr>
              <w:numPr>
                <w:ilvl w:val="0"/>
                <w:numId w:val="1000"/>
              </w:numPr>
              <w:pStyle w:val="Compact"/>
              <w:jc w:val="left"/>
            </w:pPr>
            <w:r>
              <w:t xml:space="preserve">0.88</w:t>
            </w:r>
          </w:p>
        </w:tc>
        <w:tc>
          <w:p>
            <w:pPr>
              <w:numPr>
                <w:ilvl w:val="0"/>
                <w:numId w:val="1000"/>
              </w:numPr>
              <w:pStyle w:val="Compact"/>
              <w:jc w:val="left"/>
            </w:pPr>
            <w:r>
              <w:t xml:space="preserve">0.125</w:t>
            </w:r>
          </w:p>
        </w:tc>
      </w:tr>
      <w:tr>
        <w:tc>
          <w:p>
            <w:pPr>
              <w:numPr>
                <w:ilvl w:val="0"/>
                <w:numId w:val="1000"/>
              </w:numPr>
              <w:pStyle w:val="Compact"/>
              <w:jc w:val="left"/>
            </w:pPr>
            <w:r>
              <w:t xml:space="preserve">Water</w:t>
            </w:r>
          </w:p>
        </w:tc>
        <w:tc>
          <w:p>
            <w:pPr>
              <w:numPr>
                <w:ilvl w:val="0"/>
                <w:numId w:val="1000"/>
              </w:numPr>
              <w:pStyle w:val="Compact"/>
              <w:jc w:val="left"/>
            </w:pPr>
            <w:r>
              <w:t xml:space="preserve">NA</w:t>
            </w:r>
          </w:p>
        </w:tc>
        <w:tc>
          <w:p>
            <w:pPr>
              <w:numPr>
                <w:ilvl w:val="0"/>
                <w:numId w:val="1000"/>
              </w:numPr>
              <w:pStyle w:val="Compact"/>
              <w:jc w:val="left"/>
            </w:pPr>
            <w:r>
              <w:t xml:space="preserve">NA</w:t>
            </w:r>
          </w:p>
        </w:tc>
        <w:tc>
          <w:p>
            <w:pPr>
              <w:numPr>
                <w:ilvl w:val="0"/>
                <w:numId w:val="1000"/>
              </w:numPr>
              <w:pStyle w:val="Compact"/>
              <w:jc w:val="left"/>
            </w:pPr>
            <w:r>
              <w:t xml:space="preserve">2.12</w:t>
            </w:r>
          </w:p>
        </w:tc>
        <w:tc>
          <w:p>
            <w:pPr>
              <w:numPr>
                <w:ilvl w:val="0"/>
                <w:numId w:val="1000"/>
              </w:numPr>
              <w:pStyle w:val="Compact"/>
              <w:jc w:val="left"/>
            </w:pPr>
            <w:r>
              <w:t xml:space="preserve">NA</w:t>
            </w:r>
          </w:p>
        </w:tc>
      </w:tr>
      <w:tr>
        <w:tc>
          <w:p>
            <w:pPr>
              <w:numPr>
                <w:ilvl w:val="0"/>
                <w:numId w:val="1000"/>
              </w:numPr>
              <w:pStyle w:val="Compact"/>
              <w:jc w:val="left"/>
            </w:pPr>
            <w:r>
              <w:rPr>
                <w:bCs/>
                <w:b/>
              </w:rPr>
              <w:t xml:space="preserve">Total</w:t>
            </w:r>
          </w:p>
        </w:tc>
        <w:tc>
          <w:p>
            <w:pPr>
              <w:numPr>
                <w:ilvl w:val="0"/>
                <w:numId w:val="1000"/>
              </w:numPr>
              <w:pStyle w:val="Compact"/>
              <w:jc w:val="left"/>
            </w:pPr>
            <w:r>
              <w:t xml:space="preserve">NA</w:t>
            </w:r>
          </w:p>
        </w:tc>
        <w:tc>
          <w:p>
            <w:pPr>
              <w:numPr>
                <w:ilvl w:val="0"/>
                <w:numId w:val="1000"/>
              </w:numPr>
              <w:pStyle w:val="Compact"/>
              <w:jc w:val="left"/>
            </w:pPr>
            <w:r>
              <w:t xml:space="preserve">NA</w:t>
            </w:r>
          </w:p>
        </w:tc>
        <w:tc>
          <w:p>
            <w:pPr>
              <w:numPr>
                <w:ilvl w:val="0"/>
                <w:numId w:val="1000"/>
              </w:numPr>
              <w:pStyle w:val="Compact"/>
              <w:jc w:val="left"/>
            </w:pPr>
            <w:r>
              <w:rPr>
                <w:bCs/>
                <w:b/>
              </w:rPr>
              <w:t xml:space="preserve">10</w:t>
            </w:r>
          </w:p>
        </w:tc>
        <w:tc>
          <w:p>
            <w:pPr>
              <w:numPr>
                <w:ilvl w:val="0"/>
                <w:numId w:val="1000"/>
              </w:numPr>
              <w:pStyle w:val="Compact"/>
              <w:jc w:val="left"/>
            </w:pPr>
            <w:r>
              <w:t xml:space="preserve">NA</w:t>
            </w:r>
          </w:p>
        </w:tc>
      </w:tr>
    </w:tbl>
    <w:p>
      <w:pPr>
        <w:numPr>
          <w:ilvl w:val="0"/>
          <w:numId w:val="1018"/>
        </w:numPr>
      </w:pPr>
      <w:r>
        <w:t xml:space="preserve">Add 5 μL of 5 μM adapter mix (see point 2 in sec. 2.3) to each DNA sample.</w:t>
      </w:r>
    </w:p>
    <w:p>
      <w:pPr>
        <w:numPr>
          <w:ilvl w:val="0"/>
          <w:numId w:val="1018"/>
        </w:numPr>
      </w:pPr>
      <w:r>
        <w:t xml:space="preserve">Add 10 μL of master mix to each sample. Pipette mix thoroughly. The total volume should now be 35 μL.</w:t>
      </w:r>
    </w:p>
    <w:p>
      <w:pPr>
        <w:numPr>
          <w:ilvl w:val="0"/>
          <w:numId w:val="1018"/>
        </w:numPr>
      </w:pPr>
      <w:r>
        <w:t xml:space="preserve">Incubate in thermocycler for 30 minutes at 25°C</w:t>
      </w:r>
    </w:p>
    <w:bookmarkEnd w:id="39"/>
    <w:bookmarkStart w:id="40" w:name="post-adapter-ligation-cleanup"/>
    <w:p>
      <w:pPr>
        <w:pStyle w:val="Heading3"/>
      </w:pPr>
      <w:r>
        <w:t xml:space="preserve">Post-adapter ligation cleanup</w:t>
      </w:r>
    </w:p>
    <w:p>
      <w:pPr>
        <w:numPr>
          <w:ilvl w:val="0"/>
          <w:numId w:val="1019"/>
        </w:numPr>
        <w:pStyle w:val="Compact"/>
      </w:pPr>
      <w:r>
        <w:t xml:space="preserve">Add 31.5 μL of 20% PEG/2.5M NaCl (i.e. speedbeads without the beads) to samples. This is a 0.9X bead:DNA ratio. This will get rid of smaller DNA fragments (e.g., &lt; ~250 bp) like adapter dimers that may have formed during the ligation reaction.</w:t>
      </w:r>
    </w:p>
    <w:p>
      <w:pPr>
        <w:numPr>
          <w:ilvl w:val="0"/>
          <w:numId w:val="1019"/>
        </w:numPr>
        <w:pStyle w:val="Compact"/>
      </w:pPr>
      <w:r>
        <w:t xml:space="preserve">Perform bead cleanup as in sec. 3.1.2, eluting DNA in 20 μL of low-TE.</w:t>
      </w:r>
    </w:p>
    <w:p>
      <w:pPr>
        <w:numPr>
          <w:ilvl w:val="0"/>
          <w:numId w:val="1019"/>
        </w:numPr>
        <w:pStyle w:val="Compact"/>
      </w:pPr>
      <w:r>
        <w:t xml:space="preserve">After elution, place beads on magnet and carefully transfer the supernatant to new tube/plate by slowly drawing up the supernatant with a pipette. The DNA is in the supernatant. This will be used for indexing PCR.</w:t>
      </w:r>
    </w:p>
    <w:bookmarkEnd w:id="40"/>
    <w:bookmarkEnd w:id="41"/>
    <w:bookmarkStart w:id="46" w:name="indexing-pcr-and-cleanup"/>
    <w:p>
      <w:pPr>
        <w:pStyle w:val="Heading2"/>
      </w:pPr>
      <w:r>
        <w:t xml:space="preserve">Indexing PCR and cleanup</w:t>
      </w:r>
    </w:p>
    <w:bookmarkStart w:id="43" w:name="indexing-pcr"/>
    <w:p>
      <w:pPr>
        <w:pStyle w:val="Heading3"/>
      </w:pPr>
      <w:r>
        <w:t xml:space="preserve">Indexing PCR</w:t>
      </w:r>
    </w:p>
    <w:p>
      <w:pPr>
        <w:numPr>
          <w:ilvl w:val="0"/>
          <w:numId w:val="1020"/>
        </w:numPr>
      </w:pPr>
      <w:r>
        <w:t xml:space="preserve">Prepare the PCR master mix shown in table 5. Each reaction requires 12.5 μL.</w:t>
      </w:r>
    </w:p>
    <w:p>
      <w:pPr>
        <w:numPr>
          <w:ilvl w:val="0"/>
          <w:numId w:val="1000"/>
        </w:numPr>
      </w:pPr>
      <w:r>
        <w:rPr>
          <w:bCs/>
          <w:b/>
        </w:rPr>
        <w:t xml:space="preserve">Table 5:</w:t>
      </w:r>
      <w:r>
        <w:t xml:space="preserve"> </w:t>
      </w:r>
      <w:hyperlink r:id="rId42">
        <w:r>
          <w:rPr>
            <w:rStyle w:val="Hyperlink"/>
          </w:rPr>
          <w:t xml:space="preserve">PCR master mix</w:t>
        </w:r>
      </w:hyperlink>
      <w:r>
        <w:t xml:space="preserve">. All volumes in μL. Final concentrations calculated from total sample volume (i.e., master mix + primers + sample = 25 μL)</w:t>
      </w:r>
    </w:p>
    <w:tbl>
      <w:tblPr>
        <w:tblStyle w:val="Table"/>
        <w:tblW w:type="pct" w:w="0.0"/>
        <w:tblLook w:firstRow="1" w:lastRow="0" w:firstColumn="0" w:lastColumn="0" w:noHBand="0" w:noVBand="0" w:val="0020"/>
      </w:tblPr>
      <w:tblGrid/>
      <w:tr>
        <w:tc>
          <w:p>
            <w:pPr>
              <w:numPr>
                <w:ilvl w:val="0"/>
                <w:numId w:val="1000"/>
              </w:numPr>
              <w:pStyle w:val="Compact"/>
              <w:jc w:val="left"/>
            </w:pPr>
            <w:r>
              <w:t xml:space="preserve">Reagent</w:t>
            </w:r>
          </w:p>
        </w:tc>
        <w:tc>
          <w:p>
            <w:pPr>
              <w:numPr>
                <w:ilvl w:val="0"/>
                <w:numId w:val="1000"/>
              </w:numPr>
              <w:pStyle w:val="Compact"/>
              <w:jc w:val="left"/>
            </w:pPr>
            <w:r>
              <w:t xml:space="preserve">Units</w:t>
            </w:r>
          </w:p>
        </w:tc>
        <w:tc>
          <w:p>
            <w:pPr>
              <w:numPr>
                <w:ilvl w:val="0"/>
                <w:numId w:val="1000"/>
              </w:numPr>
              <w:pStyle w:val="Compact"/>
              <w:jc w:val="left"/>
            </w:pPr>
            <w:r>
              <w:t xml:space="preserve">Initial conc.</w:t>
            </w:r>
          </w:p>
        </w:tc>
        <w:tc>
          <w:p>
            <w:pPr>
              <w:numPr>
                <w:ilvl w:val="0"/>
                <w:numId w:val="1000"/>
              </w:numPr>
              <w:pStyle w:val="Compact"/>
              <w:jc w:val="left"/>
            </w:pPr>
            <w:r>
              <w:t xml:space="preserve">Vol.</w:t>
            </w:r>
          </w:p>
        </w:tc>
        <w:tc>
          <w:p>
            <w:pPr>
              <w:numPr>
                <w:ilvl w:val="0"/>
                <w:numId w:val="1000"/>
              </w:numPr>
              <w:pStyle w:val="Compact"/>
              <w:jc w:val="left"/>
            </w:pPr>
            <w:r>
              <w:t xml:space="preserve">Final conc.</w:t>
            </w:r>
          </w:p>
        </w:tc>
      </w:tr>
      <w:tr>
        <w:tc>
          <w:p>
            <w:pPr>
              <w:numPr>
                <w:ilvl w:val="0"/>
                <w:numId w:val="1000"/>
              </w:numPr>
              <w:pStyle w:val="Compact"/>
              <w:jc w:val="left"/>
            </w:pPr>
            <w:r>
              <w:t xml:space="preserve">Phusion buffer</w:t>
            </w:r>
          </w:p>
        </w:tc>
        <w:tc>
          <w:p>
            <w:pPr>
              <w:numPr>
                <w:ilvl w:val="0"/>
                <w:numId w:val="1000"/>
              </w:numPr>
              <w:pStyle w:val="Compact"/>
              <w:jc w:val="left"/>
            </w:pPr>
            <w:r>
              <w:t xml:space="preserve">X</w:t>
            </w:r>
          </w:p>
        </w:tc>
        <w:tc>
          <w:p>
            <w:pPr>
              <w:numPr>
                <w:ilvl w:val="0"/>
                <w:numId w:val="1000"/>
              </w:numPr>
              <w:pStyle w:val="Compact"/>
              <w:jc w:val="left"/>
            </w:pPr>
            <w:r>
              <w:t xml:space="preserve">5</w:t>
            </w:r>
          </w:p>
        </w:tc>
        <w:tc>
          <w:p>
            <w:pPr>
              <w:numPr>
                <w:ilvl w:val="0"/>
                <w:numId w:val="1000"/>
              </w:numPr>
              <w:pStyle w:val="Compact"/>
              <w:jc w:val="left"/>
            </w:pPr>
            <w:r>
              <w:t xml:space="preserve">5</w:t>
            </w:r>
          </w:p>
        </w:tc>
        <w:tc>
          <w:p>
            <w:pPr>
              <w:numPr>
                <w:ilvl w:val="0"/>
                <w:numId w:val="1000"/>
              </w:numPr>
              <w:pStyle w:val="Compact"/>
              <w:jc w:val="left"/>
            </w:pPr>
            <w:r>
              <w:t xml:space="preserve">1</w:t>
            </w:r>
          </w:p>
        </w:tc>
      </w:tr>
      <w:tr>
        <w:tc>
          <w:p>
            <w:pPr>
              <w:numPr>
                <w:ilvl w:val="0"/>
                <w:numId w:val="1000"/>
              </w:numPr>
              <w:pStyle w:val="Compact"/>
              <w:jc w:val="left"/>
            </w:pPr>
            <w:r>
              <w:t xml:space="preserve">dNTP</w:t>
            </w:r>
          </w:p>
        </w:tc>
        <w:tc>
          <w:p>
            <w:pPr>
              <w:numPr>
                <w:ilvl w:val="0"/>
                <w:numId w:val="1000"/>
              </w:numPr>
              <w:pStyle w:val="Compact"/>
              <w:jc w:val="left"/>
            </w:pPr>
            <w:r>
              <w:t xml:space="preserve">mM</w:t>
            </w:r>
          </w:p>
        </w:tc>
        <w:tc>
          <w:p>
            <w:pPr>
              <w:numPr>
                <w:ilvl w:val="0"/>
                <w:numId w:val="1000"/>
              </w:numPr>
              <w:pStyle w:val="Compact"/>
              <w:jc w:val="left"/>
            </w:pPr>
            <w:r>
              <w:t xml:space="preserve">10</w:t>
            </w:r>
          </w:p>
        </w:tc>
        <w:tc>
          <w:p>
            <w:pPr>
              <w:numPr>
                <w:ilvl w:val="0"/>
                <w:numId w:val="1000"/>
              </w:numPr>
              <w:pStyle w:val="Compact"/>
              <w:jc w:val="left"/>
            </w:pPr>
            <w:r>
              <w:t xml:space="preserve">0.5</w:t>
            </w:r>
          </w:p>
        </w:tc>
        <w:tc>
          <w:p>
            <w:pPr>
              <w:numPr>
                <w:ilvl w:val="0"/>
                <w:numId w:val="1000"/>
              </w:numPr>
              <w:pStyle w:val="Compact"/>
              <w:jc w:val="left"/>
            </w:pPr>
            <w:r>
              <w:t xml:space="preserve">0.2</w:t>
            </w:r>
          </w:p>
        </w:tc>
      </w:tr>
      <w:tr>
        <w:tc>
          <w:p>
            <w:pPr>
              <w:numPr>
                <w:ilvl w:val="0"/>
                <w:numId w:val="1000"/>
              </w:numPr>
              <w:pStyle w:val="Compact"/>
              <w:jc w:val="left"/>
            </w:pPr>
            <w:r>
              <w:t xml:space="preserve">Phusion polymerase</w:t>
            </w:r>
          </w:p>
        </w:tc>
        <w:tc>
          <w:p>
            <w:pPr>
              <w:numPr>
                <w:ilvl w:val="0"/>
                <w:numId w:val="1000"/>
              </w:numPr>
              <w:pStyle w:val="Compact"/>
              <w:jc w:val="left"/>
            </w:pPr>
            <w:r>
              <w:t xml:space="preserve">U/uL</w:t>
            </w:r>
          </w:p>
        </w:tc>
        <w:tc>
          <w:p>
            <w:pPr>
              <w:numPr>
                <w:ilvl w:val="0"/>
                <w:numId w:val="1000"/>
              </w:numPr>
              <w:pStyle w:val="Compact"/>
              <w:jc w:val="left"/>
            </w:pPr>
            <w:r>
              <w:t xml:space="preserve">2</w:t>
            </w:r>
          </w:p>
        </w:tc>
        <w:tc>
          <w:p>
            <w:pPr>
              <w:numPr>
                <w:ilvl w:val="0"/>
                <w:numId w:val="1000"/>
              </w:numPr>
              <w:pStyle w:val="Compact"/>
              <w:jc w:val="left"/>
            </w:pPr>
            <w:r>
              <w:t xml:space="preserve">0.25</w:t>
            </w:r>
          </w:p>
        </w:tc>
        <w:tc>
          <w:p>
            <w:pPr>
              <w:numPr>
                <w:ilvl w:val="0"/>
                <w:numId w:val="1000"/>
              </w:numPr>
              <w:pStyle w:val="Compact"/>
              <w:jc w:val="left"/>
            </w:pPr>
            <w:r>
              <w:t xml:space="preserve">0.02</w:t>
            </w:r>
          </w:p>
        </w:tc>
      </w:tr>
      <w:tr>
        <w:tc>
          <w:p>
            <w:pPr>
              <w:numPr>
                <w:ilvl w:val="0"/>
                <w:numId w:val="1000"/>
              </w:numPr>
              <w:pStyle w:val="Compact"/>
              <w:jc w:val="left"/>
            </w:pPr>
            <w:r>
              <w:t xml:space="preserve">Water</w:t>
            </w:r>
          </w:p>
        </w:tc>
        <w:tc>
          <w:p>
            <w:pPr>
              <w:numPr>
                <w:ilvl w:val="0"/>
                <w:numId w:val="1000"/>
              </w:numPr>
              <w:pStyle w:val="Compact"/>
              <w:jc w:val="left"/>
            </w:pPr>
            <w:r>
              <w:t xml:space="preserve">NA</w:t>
            </w:r>
          </w:p>
        </w:tc>
        <w:tc>
          <w:p>
            <w:pPr>
              <w:numPr>
                <w:ilvl w:val="0"/>
                <w:numId w:val="1000"/>
              </w:numPr>
              <w:pStyle w:val="Compact"/>
              <w:jc w:val="left"/>
            </w:pPr>
            <w:r>
              <w:t xml:space="preserve">NA</w:t>
            </w:r>
          </w:p>
        </w:tc>
        <w:tc>
          <w:p>
            <w:pPr>
              <w:numPr>
                <w:ilvl w:val="0"/>
                <w:numId w:val="1000"/>
              </w:numPr>
              <w:pStyle w:val="Compact"/>
              <w:jc w:val="left"/>
            </w:pPr>
            <w:r>
              <w:t xml:space="preserve">6.75</w:t>
            </w:r>
          </w:p>
        </w:tc>
        <w:tc>
          <w:p>
            <w:pPr>
              <w:numPr>
                <w:ilvl w:val="0"/>
                <w:numId w:val="1000"/>
              </w:numPr>
              <w:pStyle w:val="Compact"/>
              <w:jc w:val="left"/>
            </w:pPr>
            <w:r>
              <w:t xml:space="preserve">NA</w:t>
            </w:r>
          </w:p>
        </w:tc>
      </w:tr>
      <w:tr>
        <w:tc>
          <w:p>
            <w:pPr>
              <w:numPr>
                <w:ilvl w:val="0"/>
                <w:numId w:val="1000"/>
              </w:numPr>
              <w:pStyle w:val="Compact"/>
              <w:jc w:val="left"/>
            </w:pPr>
            <w:r>
              <w:rPr>
                <w:bCs/>
                <w:b/>
              </w:rPr>
              <w:t xml:space="preserve">Total</w:t>
            </w:r>
          </w:p>
        </w:tc>
        <w:tc>
          <w:p>
            <w:pPr>
              <w:numPr>
                <w:ilvl w:val="0"/>
                <w:numId w:val="1000"/>
              </w:numPr>
              <w:pStyle w:val="Compact"/>
              <w:jc w:val="left"/>
            </w:pPr>
            <w:r>
              <w:t xml:space="preserve">NA</w:t>
            </w:r>
          </w:p>
        </w:tc>
        <w:tc>
          <w:p>
            <w:pPr>
              <w:numPr>
                <w:ilvl w:val="0"/>
                <w:numId w:val="1000"/>
              </w:numPr>
              <w:pStyle w:val="Compact"/>
              <w:jc w:val="left"/>
            </w:pPr>
            <w:r>
              <w:t xml:space="preserve">NA</w:t>
            </w:r>
          </w:p>
        </w:tc>
        <w:tc>
          <w:p>
            <w:pPr>
              <w:numPr>
                <w:ilvl w:val="0"/>
                <w:numId w:val="1000"/>
              </w:numPr>
              <w:pStyle w:val="Compact"/>
              <w:jc w:val="left"/>
            </w:pPr>
            <w:r>
              <w:rPr>
                <w:bCs/>
                <w:b/>
              </w:rPr>
              <w:t xml:space="preserve">12.5</w:t>
            </w:r>
          </w:p>
        </w:tc>
        <w:tc>
          <w:p>
            <w:pPr>
              <w:numPr>
                <w:ilvl w:val="0"/>
                <w:numId w:val="1000"/>
              </w:numPr>
              <w:pStyle w:val="Compact"/>
              <w:jc w:val="left"/>
            </w:pPr>
            <w:r>
              <w:t xml:space="preserve">NA</w:t>
            </w:r>
          </w:p>
        </w:tc>
      </w:tr>
    </w:tbl>
    <w:p>
      <w:pPr>
        <w:numPr>
          <w:ilvl w:val="0"/>
          <w:numId w:val="1020"/>
        </w:numPr>
      </w:pPr>
      <w:r>
        <w:t xml:space="preserve">Add 12.5 μL of master mix to empty PCR tubes/plates corresponding to the number of samples to be amplified and indexed.</w:t>
      </w:r>
    </w:p>
    <w:p>
      <w:pPr>
        <w:numPr>
          <w:ilvl w:val="0"/>
          <w:numId w:val="1020"/>
        </w:numPr>
      </w:pPr>
      <w:r>
        <w:t xml:space="preserve">Add 10 μL of DNA sample to each well containing PCR master mix.</w:t>
      </w:r>
    </w:p>
    <w:p>
      <w:pPr>
        <w:numPr>
          <w:ilvl w:val="0"/>
          <w:numId w:val="1020"/>
        </w:numPr>
      </w:pPr>
      <w:r>
        <w:t xml:space="preserve">Add 1.25 μL of forward primer and 1.25 μL of reverse primer to each sample.</w:t>
      </w:r>
    </w:p>
    <w:p>
      <w:pPr>
        <w:numPr>
          <w:ilvl w:val="1"/>
          <w:numId w:val="1021"/>
        </w:numPr>
        <w:pStyle w:val="Compact"/>
      </w:pPr>
      <w:r>
        <w:rPr>
          <w:iCs/>
          <w:i/>
        </w:rPr>
        <w:t xml:space="preserve">Note:</w:t>
      </w:r>
      <w:r>
        <w:t xml:space="preserve"> </w:t>
      </w:r>
      <w:r>
        <w:t xml:space="preserve">Each sample should receive a unique combination of forward and reverse primers since these will incorporate the indices into the libraries. 8 forward + 12 reverse primers can uniquely tag 96 individuals.</w:t>
      </w:r>
    </w:p>
    <w:p>
      <w:pPr>
        <w:numPr>
          <w:ilvl w:val="0"/>
          <w:numId w:val="1020"/>
        </w:numPr>
      </w:pPr>
      <w:r>
        <w:t xml:space="preserve">Perform PCR using the following conditions. See</w:t>
      </w:r>
      <w:r>
        <w:t xml:space="preserve"> </w:t>
      </w:r>
      <w:r>
        <w:t xml:space="preserve">Glenn et al. (2019)</w:t>
      </w:r>
      <w:r>
        <w:t xml:space="preserve"> </w:t>
      </w:r>
      <w:r>
        <w:t xml:space="preserve">for details on these primers.</w:t>
      </w:r>
    </w:p>
    <w:p>
      <w:pPr>
        <w:numPr>
          <w:ilvl w:val="1"/>
          <w:numId w:val="1022"/>
        </w:numPr>
        <w:pStyle w:val="Compact"/>
      </w:pPr>
      <w:r>
        <w:rPr>
          <w:bCs/>
          <w:b/>
        </w:rPr>
        <w:t xml:space="preserve">Note for Inder:</w:t>
      </w:r>
      <w:r>
        <w:t xml:space="preserve"> </w:t>
      </w:r>
      <w:r>
        <w:t xml:space="preserve">PCR protocols are in the machine under the James/Beata folder and are numbered in order of execution</w:t>
      </w:r>
    </w:p>
    <w:p>
      <w:pPr>
        <w:numPr>
          <w:ilvl w:val="1"/>
          <w:numId w:val="1022"/>
        </w:numPr>
        <w:pStyle w:val="Compact"/>
      </w:pPr>
      <w:r>
        <w:t xml:space="preserve">98 °C for 30 seconds</w:t>
      </w:r>
    </w:p>
    <w:p>
      <w:pPr>
        <w:numPr>
          <w:ilvl w:val="1"/>
          <w:numId w:val="1022"/>
        </w:numPr>
        <w:pStyle w:val="Compact"/>
      </w:pPr>
      <w:r>
        <w:t xml:space="preserve">8 to 14 cycles of:</w:t>
      </w:r>
    </w:p>
    <w:p>
      <w:pPr>
        <w:numPr>
          <w:ilvl w:val="2"/>
          <w:numId w:val="1023"/>
        </w:numPr>
        <w:pStyle w:val="Compact"/>
      </w:pPr>
      <w:r>
        <w:t xml:space="preserve">98 °C for 30 seconds</w:t>
      </w:r>
    </w:p>
    <w:p>
      <w:pPr>
        <w:numPr>
          <w:ilvl w:val="2"/>
          <w:numId w:val="1023"/>
        </w:numPr>
        <w:pStyle w:val="Compact"/>
      </w:pPr>
      <w:r>
        <w:t xml:space="preserve">65 °C for 30 seconds</w:t>
      </w:r>
    </w:p>
    <w:p>
      <w:pPr>
        <w:numPr>
          <w:ilvl w:val="2"/>
          <w:numId w:val="1023"/>
        </w:numPr>
        <w:pStyle w:val="Compact"/>
      </w:pPr>
      <w:r>
        <w:t xml:space="preserve">72 °C for 60 seconds</w:t>
      </w:r>
    </w:p>
    <w:p>
      <w:pPr>
        <w:numPr>
          <w:ilvl w:val="1"/>
          <w:numId w:val="1022"/>
        </w:numPr>
        <w:pStyle w:val="Compact"/>
      </w:pPr>
      <w:r>
        <w:t xml:space="preserve">72 °C for 1 minute</w:t>
      </w:r>
    </w:p>
    <w:bookmarkEnd w:id="43"/>
    <w:bookmarkStart w:id="44" w:name="nd-indexing-pcr-and-pooling-optional"/>
    <w:p>
      <w:pPr>
        <w:pStyle w:val="Heading3"/>
      </w:pPr>
      <w:r>
        <w:t xml:space="preserve">2nd indexing PCR and pooling (optional)</w:t>
      </w:r>
    </w:p>
    <w:p>
      <w:pPr>
        <w:pStyle w:val="FirstParagraph"/>
      </w:pPr>
      <w:r>
        <w:t xml:space="preserve">Because only 10 μL of the pre-PCR (i.e., ligated) library is used in the indexing PCR, each library prep allows for a total of two PCR reactions. If you find that final library concentrations (i.e., after cleaning, see sec. 3.5.3) are too low, you can perform a second PCR reaction on the remaining pre-PCR library using the same conditions as above. These two reaction can then be pooled prior to cleaning, and then eluted in a lower volume to increase concentrations (see sec. 3.5.3 below).</w:t>
      </w:r>
      <w:r>
        <w:t xml:space="preserve"> </w:t>
      </w:r>
      <w:r>
        <w:t xml:space="preserve">*</w:t>
      </w:r>
      <w:r>
        <w:t xml:space="preserve"> </w:t>
      </w:r>
      <w:r>
        <w:rPr>
          <w:bCs/>
          <w:b/>
        </w:rPr>
        <w:t xml:space="preserve">Note for Inder:</w:t>
      </w:r>
      <w:r>
        <w:t xml:space="preserve"> </w:t>
      </w:r>
      <w:r>
        <w:t xml:space="preserve">We’re aiming for around 0.8 ng/μL of cleaned-post-PCR library</w:t>
      </w:r>
    </w:p>
    <w:bookmarkEnd w:id="44"/>
    <w:bookmarkStart w:id="45" w:name="sec:3.5.3"/>
    <w:p>
      <w:pPr>
        <w:pStyle w:val="Heading3"/>
      </w:pPr>
      <w:r>
        <w:t xml:space="preserve">Post PCR cleanup</w:t>
      </w:r>
    </w:p>
    <w:p>
      <w:pPr>
        <w:numPr>
          <w:ilvl w:val="0"/>
          <w:numId w:val="1024"/>
        </w:numPr>
        <w:pStyle w:val="Compact"/>
      </w:pPr>
      <w:r>
        <w:t xml:space="preserve">Add 1X the post-PCR DNA volume in SPRI bead solution to each sample. If you only performed a single PCR reaction, this should be approximately 25 μL. If you pooled two 25 μL PCR reactions, this should be approximately 50 μL of SPRI bead solution. This should remvove primer dimers and other small fragments remaining from PCR.</w:t>
      </w:r>
    </w:p>
    <w:p>
      <w:pPr>
        <w:numPr>
          <w:ilvl w:val="0"/>
          <w:numId w:val="1024"/>
        </w:numPr>
        <w:pStyle w:val="Compact"/>
      </w:pPr>
      <w:r>
        <w:t xml:space="preserve">Perform bead cleanup as in sec. 3.1.2, eluting in 23 μL (i.e., 20 μL for sequencing and 3 μL for post-cleaning QC)</w:t>
      </w:r>
    </w:p>
    <w:p>
      <w:pPr>
        <w:numPr>
          <w:ilvl w:val="0"/>
          <w:numId w:val="1024"/>
        </w:numPr>
        <w:pStyle w:val="Compact"/>
      </w:pPr>
      <w:r>
        <w:t xml:space="preserve">QC library by visualizing on a gel using the 50 bp Fermentas ladder or by passing through an Agilent Bioanalyzer with a DNA 1000 high sensitivity chip.</w:t>
      </w:r>
    </w:p>
    <w:p>
      <w:pPr>
        <w:numPr>
          <w:ilvl w:val="1"/>
          <w:numId w:val="1025"/>
        </w:numPr>
        <w:pStyle w:val="Compact"/>
      </w:pPr>
      <w:r>
        <w:rPr>
          <w:bCs/>
          <w:b/>
        </w:rPr>
        <w:t xml:space="preserve">Note for Inder:</w:t>
      </w:r>
      <w:r>
        <w:t xml:space="preserve"> </w:t>
      </w:r>
      <w:r>
        <w:t xml:space="preserve">We haven’t been doing the gels or bioanalyzer traces for all libraries</w:t>
      </w:r>
    </w:p>
    <w:bookmarkEnd w:id="45"/>
    <w:bookmarkEnd w:id="46"/>
    <w:bookmarkStart w:id="50" w:name="pooling-for-sequencing"/>
    <w:p>
      <w:pPr>
        <w:pStyle w:val="Heading2"/>
      </w:pPr>
      <w:r>
        <w:t xml:space="preserve">Pooling for sequencing</w:t>
      </w:r>
    </w:p>
    <w:p>
      <w:pPr>
        <w:pStyle w:val="FirstParagraph"/>
      </w:pPr>
      <w:r>
        <w:t xml:space="preserve">For multiplexed sequencing, dual-indexed libraries need to be pooled into equimolar ratio pools to ensure approximately equal sequencing coverage. This is done in two steps: (1) Creating equimolar dilutions for each sample, and (2) Creating an equimolar pool for all samples to be multiplexed on a single lane.</w:t>
      </w:r>
    </w:p>
    <w:bookmarkStart w:id="48" w:name="creating-equimolar-dilutions"/>
    <w:p>
      <w:pPr>
        <w:pStyle w:val="Heading3"/>
      </w:pPr>
      <w:r>
        <w:t xml:space="preserve">Creating equimolar dilutions</w:t>
      </w:r>
    </w:p>
    <w:p>
      <w:pPr>
        <w:numPr>
          <w:ilvl w:val="0"/>
          <w:numId w:val="1026"/>
        </w:numPr>
        <w:pStyle w:val="Compact"/>
      </w:pPr>
      <w:r>
        <w:t xml:space="preserve">Create equimolar dilutions for each sample, diluting the concentration down to that of the least concentrated sample. For highly concentrated samples, serial dilution may be required. The script in step 1 will output the volume required for each library, in addition to the volume of low-TE required to create the equimolar pool. It will additionally indicate whether serial dilutions are necessary and any required volumes.</w:t>
      </w:r>
    </w:p>
    <w:p>
      <w:pPr>
        <w:numPr>
          <w:ilvl w:val="1"/>
          <w:numId w:val="1027"/>
        </w:numPr>
        <w:pStyle w:val="Compact"/>
      </w:pPr>
      <w:r>
        <w:rPr>
          <w:iCs/>
          <w:i/>
        </w:rPr>
        <w:t xml:space="preserve">Note:</w:t>
      </w:r>
      <w:r>
        <w:t xml:space="preserve"> </w:t>
      </w:r>
      <w:hyperlink r:id="rId47">
        <w:r>
          <w:rPr>
            <w:rStyle w:val="Hyperlink"/>
          </w:rPr>
          <w:t xml:space="preserve">This script</w:t>
        </w:r>
      </w:hyperlink>
      <w:r>
        <w:t xml:space="preserve"> </w:t>
      </w:r>
      <w:r>
        <w:t xml:space="preserve">can facilitate determining the library volumes required to create equimolar pools for sequencing.</w:t>
      </w:r>
    </w:p>
    <w:bookmarkEnd w:id="48"/>
    <w:bookmarkStart w:id="49" w:name="creating-equimolar-pool"/>
    <w:p>
      <w:pPr>
        <w:pStyle w:val="Heading3"/>
      </w:pPr>
      <w:r>
        <w:t xml:space="preserve">Creating equimolar pool</w:t>
      </w:r>
    </w:p>
    <w:p>
      <w:pPr>
        <w:numPr>
          <w:ilvl w:val="0"/>
          <w:numId w:val="1028"/>
        </w:numPr>
        <w:pStyle w:val="Compact"/>
      </w:pPr>
      <w:r>
        <w:t xml:space="preserve">Pipette the same volume from each sample (which are now normalized to the same concentration from the step above) into the appropriate tube. You should have 1 tube for each sequencing lane.</w:t>
      </w:r>
    </w:p>
    <w:p>
      <w:pPr>
        <w:numPr>
          <w:ilvl w:val="1"/>
          <w:numId w:val="1029"/>
        </w:numPr>
        <w:pStyle w:val="Compact"/>
      </w:pPr>
      <w:r>
        <w:rPr>
          <w:iCs/>
          <w:i/>
        </w:rPr>
        <w:t xml:space="preserve">Note:</w:t>
      </w:r>
      <w:r>
        <w:t xml:space="preserve"> </w:t>
      </w:r>
      <w:r>
        <w:t xml:space="preserve">To avoid pipetting error associated with using very small volumes, it’s best to ensure that at least 2 μL is being taken from each sample when creating the equimolar pool.</w:t>
      </w:r>
    </w:p>
    <w:bookmarkEnd w:id="49"/>
    <w:bookmarkEnd w:id="50"/>
    <w:bookmarkStart w:id="51" w:name="qc-of-final-libraries"/>
    <w:p>
      <w:pPr>
        <w:pStyle w:val="Heading2"/>
      </w:pPr>
      <w:r>
        <w:t xml:space="preserve">QC of final libraries</w:t>
      </w:r>
    </w:p>
    <w:p>
      <w:pPr>
        <w:pStyle w:val="FirstParagraph"/>
      </w:pPr>
      <w:r>
        <w:t xml:space="preserve">Sequencing centers generally suggest that customers send any relevant library QC data along with their library shipments. We will perform these QC steps here.</w:t>
      </w:r>
    </w:p>
    <w:p>
      <w:pPr>
        <w:numPr>
          <w:ilvl w:val="0"/>
          <w:numId w:val="1030"/>
        </w:numPr>
        <w:pStyle w:val="Compact"/>
      </w:pPr>
      <w:r>
        <w:t xml:space="preserve">Quantify the concentration of the final library pools to be sequenced using a Qubit. Quantify each lane separately.</w:t>
      </w:r>
    </w:p>
    <w:p>
      <w:pPr>
        <w:numPr>
          <w:ilvl w:val="0"/>
          <w:numId w:val="1030"/>
        </w:numPr>
        <w:pStyle w:val="Compact"/>
      </w:pPr>
      <w:r>
        <w:t xml:space="preserve">Visualize the library on a gel</w:t>
      </w:r>
    </w:p>
    <w:p>
      <w:pPr>
        <w:numPr>
          <w:ilvl w:val="1"/>
          <w:numId w:val="1031"/>
        </w:numPr>
        <w:pStyle w:val="Compact"/>
      </w:pPr>
      <w:r>
        <w:t xml:space="preserve">Use 50 bp Fermentas Gene Ruler</w:t>
      </w:r>
    </w:p>
    <w:p>
      <w:pPr>
        <w:numPr>
          <w:ilvl w:val="1"/>
          <w:numId w:val="1031"/>
        </w:numPr>
        <w:pStyle w:val="Compact"/>
      </w:pPr>
      <w:r>
        <w:t xml:space="preserve">Use a 1.5% agarose gel with 3 μL of 1% Ethidium Bromide (EtBr) added to gel</w:t>
      </w:r>
    </w:p>
    <w:p>
      <w:pPr>
        <w:numPr>
          <w:ilvl w:val="1"/>
          <w:numId w:val="1031"/>
        </w:numPr>
        <w:pStyle w:val="Compact"/>
      </w:pPr>
      <w:r>
        <w:t xml:space="preserve">Run gel for 60 minutes at 100 V with 3 μL EtBr added to buffer</w:t>
      </w:r>
    </w:p>
    <w:p>
      <w:pPr>
        <w:numPr>
          <w:ilvl w:val="0"/>
          <w:numId w:val="1030"/>
        </w:numPr>
        <w:pStyle w:val="Compact"/>
      </w:pPr>
      <w:r>
        <w:t xml:space="preserve">(optional) Visualize fragment size distribution using an Agilent Bioanalyzer with a DNA 1000 High Sensitivity chip</w:t>
      </w:r>
    </w:p>
    <w:bookmarkEnd w:id="51"/>
    <w:bookmarkStart w:id="55" w:name="testing-the-libraries"/>
    <w:p>
      <w:pPr>
        <w:pStyle w:val="Heading2"/>
      </w:pPr>
      <w:r>
        <w:t xml:space="preserve">Testing the libraries</w:t>
      </w:r>
    </w:p>
    <w:p>
      <w:pPr>
        <w:pStyle w:val="FirstParagraph"/>
      </w:pPr>
      <w:r>
        <w:t xml:space="preserve">We tested the protocol above by shotgun sequencing two white clover (</w:t>
      </w:r>
      <w:r>
        <w:rPr>
          <w:iCs/>
          <w:i/>
        </w:rPr>
        <w:t xml:space="preserve">Trifolium repens</w:t>
      </w:r>
      <w:r>
        <w:t xml:space="preserve">) genomes to 35X coverage on a lane of HiSeq 4000.</w:t>
      </w:r>
      <w:r>
        <w:t xml:space="preserve"> </w:t>
      </w:r>
      <w:hyperlink r:id="rId52">
        <w:r>
          <w:rPr>
            <w:rStyle w:val="Hyperlink"/>
          </w:rPr>
          <w:t xml:space="preserve">FastQC</w:t>
        </w:r>
      </w:hyperlink>
      <w:r>
        <w:t xml:space="preserve"> </w:t>
      </w:r>
      <w:r>
        <w:t xml:space="preserve">reports for both sequencing libraries are available</w:t>
      </w:r>
      <w:r>
        <w:t xml:space="preserve"> </w:t>
      </w:r>
      <w:hyperlink r:id="rId53">
        <w:r>
          <w:rPr>
            <w:rStyle w:val="Hyperlink"/>
          </w:rPr>
          <w:t xml:space="preserve">HERE</w:t>
        </w:r>
      </w:hyperlink>
      <w:r>
        <w:t xml:space="preserve">. While the reports show some warnings, these can be largely eliminated by the adapter trimming performed using</w:t>
      </w:r>
      <w:r>
        <w:t xml:space="preserve"> </w:t>
      </w:r>
      <w:hyperlink r:id="rId54">
        <w:r>
          <w:rPr>
            <w:rStyle w:val="Hyperlink"/>
          </w:rPr>
          <w:t xml:space="preserve">bbduk</w:t>
        </w:r>
      </w:hyperlink>
      <w:r>
        <w:t xml:space="preserve">. The adapter contamination occured because we sheared DNA to a mean size of 300 bp, resulting adapter read-though of some smaller fragments during sequencing. We now recommend shaering to 500bp to minimize this. Nonetheless, few reads were lost and all remaining reads were high quality.</w:t>
      </w:r>
    </w:p>
    <w:bookmarkEnd w:id="55"/>
    <w:bookmarkEnd w:id="56"/>
    <w:bookmarkStart w:id="66" w:name="references"/>
    <w:p>
      <w:pPr>
        <w:pStyle w:val="Heading1"/>
      </w:pPr>
      <w:r>
        <w:t xml:space="preserve">References</w:t>
      </w:r>
    </w:p>
    <w:bookmarkStart w:id="65" w:name="refs"/>
    <w:bookmarkStart w:id="57" w:name="ref-Fisher2011"/>
    <w:p>
      <w:pPr>
        <w:pStyle w:val="Bibliography"/>
      </w:pPr>
      <w:r>
        <w:t xml:space="preserve">Fisher, Sheila, Andrew Barry, Justin Abreu, Brian Minie, Jillian Nolan, Toni M Delorey, Geneva Young, et al. 2011.</w:t>
      </w:r>
      <w:r>
        <w:t xml:space="preserve"> </w:t>
      </w:r>
      <w:r>
        <w:t xml:space="preserve">“</w:t>
      </w:r>
      <w:r>
        <w:t xml:space="preserve">A scalable, fully automated process for construction of sequence-ready human exome targeted capture libraries</w:t>
      </w:r>
      <w:r>
        <w:t xml:space="preserve">.”</w:t>
      </w:r>
      <w:r>
        <w:t xml:space="preserve"> </w:t>
      </w:r>
      <w:r>
        <w:rPr>
          <w:iCs/>
          <w:i/>
        </w:rPr>
        <w:t xml:space="preserve">Genome Biology</w:t>
      </w:r>
      <w:r>
        <w:t xml:space="preserve"> </w:t>
      </w:r>
      <w:r>
        <w:t xml:space="preserve">12: 1–15.</w:t>
      </w:r>
    </w:p>
    <w:bookmarkEnd w:id="57"/>
    <w:bookmarkStart w:id="59" w:name="ref-Glenn2019"/>
    <w:p>
      <w:pPr>
        <w:pStyle w:val="Bibliography"/>
      </w:pPr>
      <w:r>
        <w:t xml:space="preserve">Glenn, Travis C, Roger A Nilsen, Troy J Kieran, Jon G Sanders, Natalia J Bayona-Vásquez, John W Finger, Todd W Pierson, et al. 2019.</w:t>
      </w:r>
      <w:r>
        <w:t xml:space="preserve"> </w:t>
      </w:r>
      <w:r>
        <w:t xml:space="preserve">“</w:t>
      </w:r>
      <w:r>
        <w:t xml:space="preserve">Adapterama I: Universal stubs and primers for 384 unique dual-indexed or 147,456 combinatorially-indexed Illumina libraries (iTru</w:t>
      </w:r>
      <w:r>
        <w:t xml:space="preserve"> </w:t>
      </w:r>
      <w:r>
        <w:t xml:space="preserve">&amp;</w:t>
      </w:r>
      <w:r>
        <w:t xml:space="preserve"> </w:t>
      </w:r>
      <w:r>
        <w:t xml:space="preserve">iNext)</w:t>
      </w:r>
      <w:r>
        <w:t xml:space="preserve">.”</w:t>
      </w:r>
      <w:r>
        <w:t xml:space="preserve"> </w:t>
      </w:r>
      <w:r>
        <w:rPr>
          <w:iCs/>
          <w:i/>
        </w:rPr>
        <w:t xml:space="preserve">PeerJ</w:t>
      </w:r>
      <w:r>
        <w:t xml:space="preserve"> </w:t>
      </w:r>
      <w:r>
        <w:t xml:space="preserve">2019 (10): 1–31.</w:t>
      </w:r>
      <w:r>
        <w:t xml:space="preserve"> </w:t>
      </w:r>
      <w:hyperlink r:id="rId58">
        <w:r>
          <w:rPr>
            <w:rStyle w:val="Hyperlink"/>
          </w:rPr>
          <w:t xml:space="preserve">https://doi.org/10.7717/peerj.7755</w:t>
        </w:r>
      </w:hyperlink>
      <w:r>
        <w:t xml:space="preserve">.</w:t>
      </w:r>
    </w:p>
    <w:bookmarkEnd w:id="59"/>
    <w:bookmarkStart w:id="60" w:name="ref-Kobs1997"/>
    <w:p>
      <w:pPr>
        <w:pStyle w:val="Bibliography"/>
      </w:pPr>
      <w:r>
        <w:t xml:space="preserve">Kobs, By Gary. 1997.</w:t>
      </w:r>
      <w:r>
        <w:t xml:space="preserve"> </w:t>
      </w:r>
      <w:r>
        <w:t xml:space="preserve">“</w:t>
      </w:r>
      <w:r>
        <w:t xml:space="preserve">Cloning Blunt-End DNA Fragments Into the pGEM</w:t>
      </w:r>
      <w:r>
        <w:t xml:space="preserve"> </w:t>
      </w:r>
      <w:r>
        <w:t xml:space="preserve"> </w:t>
      </w:r>
      <w:r>
        <w:t xml:space="preserve">-T Vector Systems</w:t>
      </w:r>
      <w:r>
        <w:t xml:space="preserve">.”</w:t>
      </w:r>
      <w:r>
        <w:t xml:space="preserve"> </w:t>
      </w:r>
      <w:r>
        <w:rPr>
          <w:iCs/>
          <w:i/>
        </w:rPr>
        <w:t xml:space="preserve">Promega Notes Magazine</w:t>
      </w:r>
      <w:r>
        <w:t xml:space="preserve"> </w:t>
      </w:r>
      <w:r>
        <w:t xml:space="preserve">62 (62): 1–15.</w:t>
      </w:r>
    </w:p>
    <w:bookmarkEnd w:id="60"/>
    <w:bookmarkStart w:id="62" w:name="ref-Meyer2010"/>
    <w:p>
      <w:pPr>
        <w:pStyle w:val="Bibliography"/>
      </w:pPr>
      <w:r>
        <w:t xml:space="preserve">Meyer, Matthias, and Martin Kircher. 2010.</w:t>
      </w:r>
      <w:r>
        <w:t xml:space="preserve"> </w:t>
      </w:r>
      <w:r>
        <w:t xml:space="preserve">“</w:t>
      </w:r>
      <w:r>
        <w:t xml:space="preserve">Illumina sequencing library preparation for highly multiplexed target capture and sequencing</w:t>
      </w:r>
      <w:r>
        <w:t xml:space="preserve">.”</w:t>
      </w:r>
      <w:r>
        <w:t xml:space="preserve"> </w:t>
      </w:r>
      <w:r>
        <w:rPr>
          <w:iCs/>
          <w:i/>
        </w:rPr>
        <w:t xml:space="preserve">Cold Spring Harbor Protocol</w:t>
      </w:r>
      <w:r>
        <w:t xml:space="preserve"> </w:t>
      </w:r>
      <w:r>
        <w:t xml:space="preserve">2010 (6): 1–10.</w:t>
      </w:r>
      <w:r>
        <w:t xml:space="preserve"> </w:t>
      </w:r>
      <w:hyperlink r:id="rId61">
        <w:r>
          <w:rPr>
            <w:rStyle w:val="Hyperlink"/>
          </w:rPr>
          <w:t xml:space="preserve">https://doi.org/10.1101/pdb.prot5448</w:t>
        </w:r>
      </w:hyperlink>
      <w:r>
        <w:t xml:space="preserve">.</w:t>
      </w:r>
    </w:p>
    <w:bookmarkEnd w:id="62"/>
    <w:bookmarkStart w:id="64" w:name="ref-Rohland2012"/>
    <w:p>
      <w:pPr>
        <w:pStyle w:val="Bibliography"/>
      </w:pPr>
      <w:r>
        <w:t xml:space="preserve">Rohland, Nadin, and David Reich. 2012.</w:t>
      </w:r>
      <w:r>
        <w:t xml:space="preserve"> </w:t>
      </w:r>
      <w:r>
        <w:t xml:space="preserve">“</w:t>
      </w:r>
      <w:r>
        <w:t xml:space="preserve">Cost-effective, high-throughput DNA sequencing libraries for multiplexed target capture</w:t>
      </w:r>
      <w:r>
        <w:t xml:space="preserve">.”</w:t>
      </w:r>
      <w:r>
        <w:t xml:space="preserve"> </w:t>
      </w:r>
      <w:r>
        <w:rPr>
          <w:iCs/>
          <w:i/>
        </w:rPr>
        <w:t xml:space="preserve">Genome Research</w:t>
      </w:r>
      <w:r>
        <w:t xml:space="preserve"> </w:t>
      </w:r>
      <w:r>
        <w:t xml:space="preserve">22: 939–46.</w:t>
      </w:r>
      <w:r>
        <w:t xml:space="preserve"> </w:t>
      </w:r>
      <w:hyperlink r:id="rId63">
        <w:r>
          <w:rPr>
            <w:rStyle w:val="Hyperlink"/>
          </w:rPr>
          <w:t xml:space="preserve">https://doi.org/10.1101/gr.128124.111.22</w:t>
        </w:r>
      </w:hyperlink>
      <w:r>
        <w:t xml:space="preserve">.</w:t>
      </w:r>
    </w:p>
    <w:bookmarkEnd w:id="64"/>
    <w:bookmarkEnd w:id="65"/>
    <w:bookmarkEnd w:id="6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71315dca"/>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3" Target="./fastqc_reports/" TargetMode="External" /><Relationship Type="http://schemas.openxmlformats.org/officeDocument/2006/relationships/hyperlink" Id="rId63" Target="https://doi.org/10.1101/gr.128124.111.22" TargetMode="External" /><Relationship Type="http://schemas.openxmlformats.org/officeDocument/2006/relationships/hyperlink" Id="rId61" Target="https://doi.org/10.1101/pdb.prot5448" TargetMode="External" /><Relationship Type="http://schemas.openxmlformats.org/officeDocument/2006/relationships/hyperlink" Id="rId58" Target="https://doi.org/10.7717/peerj.7755" TargetMode="External" /><Relationship Type="http://schemas.openxmlformats.org/officeDocument/2006/relationships/hyperlink" Id="rId47" Target="https://github.com/ness-lab/illumina-pooling" TargetMode="External" /><Relationship Type="http://schemas.openxmlformats.org/officeDocument/2006/relationships/hyperlink" Id="rId42" Target="https://international.neb.com/Protocols/0001/01/01/pcr-protocol-m0530" TargetMode="External" /><Relationship Type="http://schemas.openxmlformats.org/officeDocument/2006/relationships/hyperlink" Id="rId54" Target="https://jgi.doe.gov/data-and-tools/bbtools/bb-tools-user-guide/bbduk-guide/" TargetMode="External" /><Relationship Type="http://schemas.openxmlformats.org/officeDocument/2006/relationships/hyperlink" Id="rId35" Target="https://wiki.duke.edu/display/rausherlab/A-tailing+of+PCR+products" TargetMode="External" /><Relationship Type="http://schemas.openxmlformats.org/officeDocument/2006/relationships/hyperlink" Id="rId52" Target="https://www.bioinformatics.babraham.ac.uk/projects/fastqc/" TargetMode="External" /></Relationships>
</file>

<file path=word/_rels/footnotes.xml.rels><?xml version="1.0" encoding="UTF-8"?>
<Relationships xmlns="http://schemas.openxmlformats.org/package/2006/relationships"><Relationship Type="http://schemas.openxmlformats.org/officeDocument/2006/relationships/hyperlink" Id="rId53" Target="./fastqc_reports/" TargetMode="External" /><Relationship Type="http://schemas.openxmlformats.org/officeDocument/2006/relationships/hyperlink" Id="rId63" Target="https://doi.org/10.1101/gr.128124.111.22" TargetMode="External" /><Relationship Type="http://schemas.openxmlformats.org/officeDocument/2006/relationships/hyperlink" Id="rId61" Target="https://doi.org/10.1101/pdb.prot5448" TargetMode="External" /><Relationship Type="http://schemas.openxmlformats.org/officeDocument/2006/relationships/hyperlink" Id="rId58" Target="https://doi.org/10.7717/peerj.7755" TargetMode="External" /><Relationship Type="http://schemas.openxmlformats.org/officeDocument/2006/relationships/hyperlink" Id="rId47" Target="https://github.com/ness-lab/illumina-pooling" TargetMode="External" /><Relationship Type="http://schemas.openxmlformats.org/officeDocument/2006/relationships/hyperlink" Id="rId42" Target="https://international.neb.com/Protocols/0001/01/01/pcr-protocol-m0530" TargetMode="External" /><Relationship Type="http://schemas.openxmlformats.org/officeDocument/2006/relationships/hyperlink" Id="rId54" Target="https://jgi.doe.gov/data-and-tools/bbtools/bb-tools-user-guide/bbduk-guide/" TargetMode="External" /><Relationship Type="http://schemas.openxmlformats.org/officeDocument/2006/relationships/hyperlink" Id="rId35" Target="https://wiki.duke.edu/display/rausherlab/A-tailing+of+PCR+products" TargetMode="External" /><Relationship Type="http://schemas.openxmlformats.org/officeDocument/2006/relationships/hyperlink" Id="rId52" Target="https://www.bioinformatics.babraham.ac.uk/projects/fastq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Dual-indexed library preparation of gDNA for Illumina sequencing</dc:title>
  <dc:creator>James S. Santangelo</dc:creator>
  <cp:keywords/>
  <dcterms:created xsi:type="dcterms:W3CDTF">2021-02-22T19:41:54Z</dcterms:created>
  <dcterms:modified xsi:type="dcterms:W3CDTF">2021-02-22T19:41:54Z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references.bib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date">
    <vt:lpwstr>Last updated: </vt:lpwstr>
  </property>
  <property fmtid="{D5CDD505-2E9C-101B-9397-08002B2CF9AE}" pid="15" name="eqLabels">
    <vt:lpwstr>arabic</vt:lpwstr>
  </property>
  <property fmtid="{D5CDD505-2E9C-101B-9397-08002B2CF9AE}" pid="16" name="eqnPrefix">
    <vt:lpwstr/>
  </property>
  <property fmtid="{D5CDD505-2E9C-101B-9397-08002B2CF9AE}" pid="17" name="eqnPrefixTemplate">
    <vt:lpwstr>p i</vt:lpwstr>
  </property>
  <property fmtid="{D5CDD505-2E9C-101B-9397-08002B2CF9AE}" pid="18" name="figLabels">
    <vt:lpwstr>arabic</vt:lpwstr>
  </property>
  <property fmtid="{D5CDD505-2E9C-101B-9397-08002B2CF9AE}" pid="19" name="figPrefix">
    <vt:lpwstr/>
  </property>
  <property fmtid="{D5CDD505-2E9C-101B-9397-08002B2CF9AE}" pid="20" name="figPrefixTemplate">
    <vt:lpwstr>p i</vt:lpwstr>
  </property>
  <property fmtid="{D5CDD505-2E9C-101B-9397-08002B2CF9AE}" pid="21" name="figureTemplate">
    <vt:lpwstr>figureTitle ititleDelim t</vt:lpwstr>
  </property>
  <property fmtid="{D5CDD505-2E9C-101B-9397-08002B2CF9AE}" pid="22" name="figureTitle">
    <vt:lpwstr>Figure</vt:lpwstr>
  </property>
  <property fmtid="{D5CDD505-2E9C-101B-9397-08002B2CF9AE}" pid="23" name="lastDelim">
    <vt:lpwstr>, </vt:lpwstr>
  </property>
  <property fmtid="{D5CDD505-2E9C-101B-9397-08002B2CF9AE}" pid="24" name="linkReferences">
    <vt:lpwstr>False</vt:lpwstr>
  </property>
  <property fmtid="{D5CDD505-2E9C-101B-9397-08002B2CF9AE}" pid="25" name="linkcolor">
    <vt:lpwstr>blue</vt:lpwstr>
  </property>
  <property fmtid="{D5CDD505-2E9C-101B-9397-08002B2CF9AE}" pid="26" name="listingTemplate">
    <vt:lpwstr>listingTitle ititleDelim t</vt:lpwstr>
  </property>
  <property fmtid="{D5CDD505-2E9C-101B-9397-08002B2CF9AE}" pid="27" name="listingTitle">
    <vt:lpwstr>Listing</vt:lpwstr>
  </property>
  <property fmtid="{D5CDD505-2E9C-101B-9397-08002B2CF9AE}" pid="28" name="listings">
    <vt:lpwstr>False</vt:lpwstr>
  </property>
  <property fmtid="{D5CDD505-2E9C-101B-9397-08002B2CF9AE}" pid="29" name="lofTitle">
    <vt:lpwstr>List of Figures</vt:lpwstr>
  </property>
  <property fmtid="{D5CDD505-2E9C-101B-9397-08002B2CF9AE}" pid="30" name="lolTitle">
    <vt:lpwstr>List of Listings</vt:lpwstr>
  </property>
  <property fmtid="{D5CDD505-2E9C-101B-9397-08002B2CF9AE}" pid="31" name="lotTitle">
    <vt:lpwstr>List of Tables</vt:lpwstr>
  </property>
  <property fmtid="{D5CDD505-2E9C-101B-9397-08002B2CF9AE}" pid="32" name="lstLabels">
    <vt:lpwstr>arabic</vt:lpwstr>
  </property>
  <property fmtid="{D5CDD505-2E9C-101B-9397-08002B2CF9AE}" pid="33" name="lstPrefix">
    <vt:lpwstr/>
  </property>
  <property fmtid="{D5CDD505-2E9C-101B-9397-08002B2CF9AE}" pid="34" name="lstPrefixTemplate">
    <vt:lpwstr>p i</vt:lpwstr>
  </property>
  <property fmtid="{D5CDD505-2E9C-101B-9397-08002B2CF9AE}" pid="35" name="nameInLink">
    <vt:lpwstr>False</vt:lpwstr>
  </property>
  <property fmtid="{D5CDD505-2E9C-101B-9397-08002B2CF9AE}" pid="36" name="numberSections">
    <vt:lpwstr>False</vt:lpwstr>
  </property>
  <property fmtid="{D5CDD505-2E9C-101B-9397-08002B2CF9AE}" pid="37" name="numbersections">
    <vt:lpwstr>True</vt:lpwstr>
  </property>
  <property fmtid="{D5CDD505-2E9C-101B-9397-08002B2CF9AE}" pid="38" name="pairDelim">
    <vt:lpwstr>, </vt:lpwstr>
  </property>
  <property fmtid="{D5CDD505-2E9C-101B-9397-08002B2CF9AE}" pid="39" name="rangeDelim">
    <vt:lpwstr>-</vt:lpwstr>
  </property>
  <property fmtid="{D5CDD505-2E9C-101B-9397-08002B2CF9AE}" pid="40" name="refDelim">
    <vt:lpwstr>, </vt:lpwstr>
  </property>
  <property fmtid="{D5CDD505-2E9C-101B-9397-08002B2CF9AE}" pid="41" name="refIndexTemplate">
    <vt:lpwstr>isuf</vt:lpwstr>
  </property>
  <property fmtid="{D5CDD505-2E9C-101B-9397-08002B2CF9AE}" pid="42" name="secHeaderDelim">
    <vt:lpwstr> </vt:lpwstr>
  </property>
  <property fmtid="{D5CDD505-2E9C-101B-9397-08002B2CF9AE}" pid="43" name="secHeaderTemplate">
    <vt:lpwstr>isecHeaderDelim[n]t</vt:lpwstr>
  </property>
  <property fmtid="{D5CDD505-2E9C-101B-9397-08002B2CF9AE}" pid="44" name="secLabels">
    <vt:lpwstr>arabic</vt:lpwstr>
  </property>
  <property fmtid="{D5CDD505-2E9C-101B-9397-08002B2CF9AE}" pid="45" name="secPrefix">
    <vt:lpwstr/>
  </property>
  <property fmtid="{D5CDD505-2E9C-101B-9397-08002B2CF9AE}" pid="46" name="secPrefixTemplate">
    <vt:lpwstr>p i</vt:lpwstr>
  </property>
  <property fmtid="{D5CDD505-2E9C-101B-9397-08002B2CF9AE}" pid="47" name="sectionsDepth">
    <vt:lpwstr>0</vt:lpwstr>
  </property>
  <property fmtid="{D5CDD505-2E9C-101B-9397-08002B2CF9AE}" pid="48" name="subfigGrid">
    <vt:lpwstr>False</vt:lpwstr>
  </property>
  <property fmtid="{D5CDD505-2E9C-101B-9397-08002B2CF9AE}" pid="49" name="subfigLabels">
    <vt:lpwstr>alpha a</vt:lpwstr>
  </property>
  <property fmtid="{D5CDD505-2E9C-101B-9397-08002B2CF9AE}" pid="50" name="subfigureChildTemplate">
    <vt:lpwstr>i</vt:lpwstr>
  </property>
  <property fmtid="{D5CDD505-2E9C-101B-9397-08002B2CF9AE}" pid="51" name="subfigureRefIndexTemplate">
    <vt:lpwstr>isuf (s)</vt:lpwstr>
  </property>
  <property fmtid="{D5CDD505-2E9C-101B-9397-08002B2CF9AE}" pid="52" name="subfigureTemplate">
    <vt:lpwstr>figureTitle ititleDelim t. ccs</vt:lpwstr>
  </property>
  <property fmtid="{D5CDD505-2E9C-101B-9397-08002B2CF9AE}" pid="53" name="tableEqns">
    <vt:lpwstr>False</vt:lpwstr>
  </property>
  <property fmtid="{D5CDD505-2E9C-101B-9397-08002B2CF9AE}" pid="54" name="tableTemplate">
    <vt:lpwstr>tableTitle ititleDelim t</vt:lpwstr>
  </property>
  <property fmtid="{D5CDD505-2E9C-101B-9397-08002B2CF9AE}" pid="55" name="tableTitle">
    <vt:lpwstr>Table</vt:lpwstr>
  </property>
  <property fmtid="{D5CDD505-2E9C-101B-9397-08002B2CF9AE}" pid="56" name="tblLabels">
    <vt:lpwstr>arabic</vt:lpwstr>
  </property>
  <property fmtid="{D5CDD505-2E9C-101B-9397-08002B2CF9AE}" pid="57" name="tblPrefix">
    <vt:lpwstr/>
  </property>
  <property fmtid="{D5CDD505-2E9C-101B-9397-08002B2CF9AE}" pid="58" name="tblPrefixTemplate">
    <vt:lpwstr>p i</vt:lpwstr>
  </property>
  <property fmtid="{D5CDD505-2E9C-101B-9397-08002B2CF9AE}" pid="59" name="titleDelim">
    <vt:lpwstr>:</vt:lpwstr>
  </property>
  <property fmtid="{D5CDD505-2E9C-101B-9397-08002B2CF9AE}" pid="60" name="toc">
    <vt:lpwstr>True</vt:lpwstr>
  </property>
  <property fmtid="{D5CDD505-2E9C-101B-9397-08002B2CF9AE}" pid="61" name="toc-title">
    <vt:lpwstr>Table of contents</vt:lpwstr>
  </property>
</Properties>
</file>