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学生综合评语</w:t>
      </w:r>
    </w:p>
    <w:p>
      <w:r>
        <w:t>张三同学在2025–2026学年表现突出，专业课平均分88分，稳居班级前10%，展现出扎实的专业基础和持续的学习内驱力；作为ACM社团骨干，积极参与训练与协作，并在校程序设计竞赛中荣获二等奖，体现了良好的算法思维与实践能力；担任学习委员期间主动整理笔记、组织复习交流，乐于为同学答疑解惑，深受大家信任。尤为可贵的是其踏实谦逊的态度与稳定向上的成长节奏。建议在今后的小组汇报、技术分享等场合有意识锻炼表达能力，如尝试担任小型活动主持人或录制讲解视频，逐步提升临场自信与语言感染力。期待你在夯实技术深度的同时，成长为兼具实力与影响力的复合型计算机人才。</w:t>
      </w:r>
    </w:p>
    <w:p/>
    <w:p>
      <w:r>
        <w:rPr>
          <w:i/>
          <w:sz w:val="18"/>
        </w:rPr>
        <w:t>⚠️ 本文件由 AI 生成，仅为草稿，涉及学生/思政/危机材料必须人工复核。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