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2A2017"/>
          <w:sz w:val="56"/>
          <w:szCs w:val="56"/>
        </w:rPr>
        <w:t xml:space="preserve">Ziqpu</w:t>
      </w:r>
    </w:p>
    <w:p>
      <w:pPr>
        <w:spacing w:after="80"/>
        <w:jc w:val="center"/>
      </w:pPr>
      <w:r>
        <w:rPr>
          <w:b/>
          <w:bCs/>
          <w:color w:val="27408B"/>
          <w:sz w:val="32"/>
          <w:szCs w:val="32"/>
        </w:rPr>
        <w:t xml:space="preserve">Product Requirements Document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2.0   ·   2026-07-07   ·   Pursuit NYC Fellowship, Cycle 3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Aisling Leiva-Davila (lead)   ·   Ahsan Abbasi   ·   Nathan Hutton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pre-build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Original spec (vision, agent architecture, roadmap).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2026-07-07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Updated to reflect the implemented foundation: pluggable ephemeris (13 bodies, dual backends, JPL-validated), contained Postgres seeded with 5,271 real tickers (4,507 chartable), the read-only sidecar, phase-gated CI, and the domain-agnostic dataset model. Scope and guardrails unchanged from v1.</w:t>
            </w:r>
          </w:p>
        </w:tc>
      </w:tr>
    </w:tbl>
    <w:p>
      <w:pPr>
        <w:spacing w:after="120"/>
      </w:pPr>
    </w:p>
    <w:p>
      <w:pPr>
        <w:pBdr>
          <w:bottom w:val="single" w:color="B07D12" w:sz="6" w:space="1"/>
        </w:pBdr>
        <w:spacing w:after="200"/>
      </w:pPr>
    </w:p>
    <w:p>
      <w:pPr>
        <w:pStyle w:val="Heading1"/>
      </w:pPr>
      <w:r>
        <w:t xml:space="preserve">1. Summary</w:t>
      </w:r>
    </w:p>
    <w:p>
      <w:pPr>
        <w:spacing w:after="120"/>
      </w:pPr>
      <w:r>
        <w:rPr>
          <w:i/>
          <w:iCs/>
          <w:color w:val="5D5142"/>
        </w:rPr>
        <w:t xml:space="preserve">You have a birth chart. So does everything you might choose. Ziqpu shows you how they aspect — measured from real ephemeris data, read back to you in plain language, and never dressed up as fate.</w:t>
      </w:r>
    </w:p>
    <w:p>
      <w:pPr>
        <w:spacing w:after="120"/>
      </w:pPr>
      <w:r>
        <w:rPr>
          <w:b/>
          <w:bCs/>
        </w:rPr>
        <w:t xml:space="preserve">Ziqpu reframes synastry (chart-to-chart comparison) as a decision lens. </w:t>
      </w:r>
      <w:r>
        <w:t xml:space="preserve">Instead of scoring the compatibility between two people, it scores the compatibility between you (your natal chart) and a choice you're weighing (that choice's natal chart). Every choosable thing has a birth moment — a stock has an IPO date/time at an exchange; and more broadly, anything with a date of origin (a company's founding, a school's charter, an insurance policy's effective date, a product's launch) can be charted. v1 ships the stocks domain.</w:t>
      </w:r>
    </w:p>
    <w:p>
      <w:pPr>
        <w:pStyle w:val="Heading1"/>
      </w:pPr>
      <w:r>
        <w:t xml:space="preserve">2. The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Horoscope apps </w:t>
      </w:r>
      <w:r>
        <w:t xml:space="preserve">give personal readings but can't reason about a specific decision — they have no second chart.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 tools </w:t>
      </w:r>
      <w:r>
        <w:t xml:space="preserve">(screeners, comparators) describe the choice but treat every user as interchangeable.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Ziqpu is the only product that holds both charts at once </w:t>
      </w:r>
      <w:r>
        <w:t xml:space="preserve">and scores the relationship between them.</w:t>
      </w:r>
    </w:p>
    <w:p>
      <w:pPr>
        <w:pStyle w:val="Heading1"/>
      </w:pPr>
      <w:r>
        <w:t xml:space="preserve">3.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— curious deciders: </w:t>
      </w:r>
      <w:r>
        <w:t xml:space="preserve">take astrology seriously as a lens (not literal prophecy), face real choices, want more than a generic daily horoscope.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 — finance-astrology enthusiasts: </w:t>
      </w:r>
      <w:r>
        <w:t xml:space="preserve">aware of the Gann/Adams/Morgan lineage; want a credible modern tool.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 v1: </w:t>
      </w:r>
      <w:r>
        <w:t xml:space="preserve">people seeking financial advice; skeptics wanting proof astrology predicts markets; professional astrologers wanting a full ephemeris workbench.</w:t>
      </w:r>
    </w:p>
    <w:p>
      <w:pPr>
        <w:pStyle w:val="Heading1"/>
      </w:pPr>
      <w:r>
        <w:t xml:space="preserve">4. Product principles (load-bearing)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Measured, not believed. </w:t>
      </w:r>
      <w:r>
        <w:t xml:space="preserve">Ziqpu reports how a choice aspects you. It never predicts an outcome or gives advice.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vizier carries the tablet; it does not invent it. </w:t>
      </w:r>
      <w:r>
        <w:t xml:space="preserve">Every interpretation traces to a real computed position. Measurement and meaning are distinct by architecture (the two-agent split), not just by disclaimer.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 reading, legible. </w:t>
      </w:r>
      <w:r>
        <w:t xml:space="preserve">A reading is a single clear compatibility story, not a wall of ephemeris data.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Honest about the tradition. </w:t>
      </w:r>
      <w:r>
        <w:t xml:space="preserve">Astro-finance heritage is cited as lineage, never as evidence of predictive power.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 engine, many faces. </w:t>
      </w:r>
      <w:r>
        <w:t xml:space="preserve">The synastry engine is domain-agnostic; each new domain is a dataset plus a small adapter.</w:t>
      </w:r>
    </w:p>
    <w:p>
      <w:pPr>
        <w:pStyle w:val="Heading1"/>
      </w:pPr>
      <w:r>
        <w:t xml:space="preserve">5. MVP scope (v1)</w:t>
      </w:r>
    </w:p>
    <w:p>
      <w:pPr>
        <w:spacing w:after="120"/>
      </w:pPr>
      <w:r>
        <w:rPr>
          <w:b/>
          <w:bCs/>
        </w:rPr>
        <w:t xml:space="preserve">In scope: </w:t>
      </w:r>
      <w:r>
        <w:t xml:space="preserve">personal chart onboarding (birth date/time/place → natal chart); a daily personal reading; the synastry flagship on stocks in all three output modes; the two visible agents (the graded showcase); a legible UI (Dioxus + Tauri, desktop/web).</w:t>
      </w:r>
    </w:p>
    <w:p>
      <w:pPr>
        <w:spacing w:after="120"/>
      </w:pPr>
      <w:r>
        <w:rPr>
          <w:b/>
          <w:bCs/>
        </w:rPr>
        <w:t xml:space="preserve">Out of scope (v1): </w:t>
      </w:r>
      <w:r>
        <w:t xml:space="preserve">other domains beyond stocks (roadmap); accounts, payments, app-store submission; any financial-advice surface (buy/sell signals, price targets) — permanently out for guardrail integrity.</w:t>
      </w:r>
    </w:p>
    <w:p>
      <w:pPr>
        <w:pStyle w:val="Heading1"/>
      </w:pPr>
      <w:r>
        <w:t xml:space="preserve">6. The three reading modes</w:t>
      </w:r>
    </w:p>
    <w:p>
      <w:pPr>
        <w:spacing w:after="120"/>
      </w:pPr>
      <w:r>
        <w:t xml:space="preserve">All backed by the same synastry computation; they differ only in presentation.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Compatibility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How do I fit with AAPL?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0–100 score + aspect breakdown + plain-language reading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Ranked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Which of these fit me best?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choices sorted by score, one-line why each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Verdict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Should I, yes or no-ish?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Strongly Aligned / Aligned / Mixed / Misaligned + driving aspects + honesty reminder</w:t>
            </w:r>
          </w:p>
        </w:tc>
      </w:tr>
    </w:tbl>
    <w:p>
      <w:pPr>
        <w:pStyle w:val="Heading1"/>
      </w:pPr>
      <w:r>
        <w:t xml:space="preserve">7. The two-agent contract (the integrity guarantee)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Hamun-ana (measurer): </w:t>
      </w:r>
      <w:r>
        <w:t xml:space="preserve">computes exact chart data via the sidecar; returns structured measures only (positions, aspects, scores, patterns). No prose, no interpretation. Local model, temperature 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Ungasaga (interpreter): </w:t>
      </w:r>
      <w:r>
        <w:t xml:space="preserve">takes those measures and writes the reading in three beats — measured → meaning → reminder. Never computes a chart itself; never invents a number; holds the no-advice guardrail. Hosted model (Claude), temperature ~0.7, prompt-cached.</w:t>
      </w:r>
    </w:p>
    <w:p>
      <w:pPr>
        <w:spacing w:after="120"/>
      </w:pPr>
      <w:r>
        <w:t xml:space="preserve">Neither does the other's job. This separation is the product's integrity guarantee and the demo's centerpiece.</w:t>
      </w:r>
    </w:p>
    <w:p>
      <w:pPr>
        <w:pStyle w:val="Heading1"/>
      </w:pPr>
      <w:r>
        <w:t xml:space="preserve">8. Guardrails (product requirements, not disclaimers)</w:t>
      </w:r>
    </w:p>
    <w:p>
      <w:pPr>
        <w:pStyle w:val="ListParagraph"/>
        <w:numPr>
          <w:ilvl w:val="0"/>
          <w:numId w:val="4"/>
        </w:numPr>
      </w:pPr>
      <w:r>
        <w:t xml:space="preserve">User-facing disclaimer at onboarding and reachable from every reading (reflection/entertainment; not fact/prediction/advice).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 financial advice, ever </w:t>
      </w:r>
      <w:r>
        <w:t xml:space="preserve">— no buy/sell/hold signals or price expectations.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Measurement vs meaning always visible </w:t>
      </w:r>
      <w:r>
        <w:t xml:space="preserve">— the backstage strip shows Hamun-ana's raw measures beneath Ungasaga's reading.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 fabricated data </w:t>
      </w:r>
      <w:r>
        <w:t xml:space="preserve">— unknown birth time → flagged (houses approximate), never invented; missing entity data → not enough data.</w:t>
      </w:r>
    </w:p>
    <w:p>
      <w:pPr>
        <w:pStyle w:val="ListParagraph"/>
        <w:numPr>
          <w:ilvl w:val="0"/>
          <w:numId w:val="4"/>
        </w:numPr>
      </w:pPr>
      <w:r>
        <w:t xml:space="preserve">Heritage is lineage, not proof.</w:t>
      </w:r>
    </w:p>
    <w:p>
      <w:pPr>
        <w:pStyle w:val="Heading1"/>
      </w:pPr>
      <w:r>
        <w:t xml:space="preserve">9. Architecture</w:t>
      </w:r>
    </w:p>
    <w:p>
      <w:pPr>
        <w:spacing w:after="120"/>
      </w:pPr>
      <w:r>
        <w:t xml:space="preserve">Rust end-to-end for type-safe, checkable tool-calls.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Postgres (company_metadata)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-&gt; axum sidecar (read-only)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-&gt; rig-core: Hamun-ana + Ungasaga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-&gt; Dioxus / Tauri UI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engine (interpretation)  over  ephemeris (pluggable trait)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ephemeris </w:t>
      </w:r>
      <w:r>
        <w:t xml:space="preserve">— a pluggable trait, the seam that keeps the public tree copyleft-free: analytic (default, pure-Rust VSOP87 + Meeus Moon, no data files); anise (opt-in, ANISE + JPL DE440, adds Pluto + accuracy); Chiron via a committed JPL Horizons table; swisseph a private backend never in this repo. The two backends agree to &lt;1° (a CI cross-check enforces it).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engine </w:t>
      </w:r>
      <w:r>
        <w:t xml:space="preserve">— the interpretation IP (PolyForm-licensed): compute_chart (13 bodies + Asc/MC), the direction-agnostic find_aspect keystone, and the synastry scoring to come.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sidecar </w:t>
      </w:r>
      <w:r>
        <w:t xml:space="preserve">— read-only axum API: /chart/:ticker, /synastry/:a/:b, /transits/:date. Never mutates the DB.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agents (Phase 1–2) </w:t>
      </w:r>
      <w:r>
        <w:t xml:space="preserve">— rig-core orchestration of the two agents.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(Phase 4) </w:t>
      </w:r>
      <w:r>
        <w:t xml:space="preserve">— Dioxus 0.6 + Tauri 2 (web + desktop from one Rust codebase).</w:t>
      </w:r>
    </w:p>
    <w:p>
      <w:pPr>
        <w:pStyle w:val="Heading1"/>
      </w:pPr>
      <w:r>
        <w:t xml:space="preserve">10.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Stocks: </w:t>
      </w:r>
      <w:r>
        <w:t xml:space="preserve">a contained, isolated Postgres seeded with 5,271 real US-market tickers (NYSE/NASDAQ/NYSE American/CBOE). Provenance: Polygon list_date + SEC EDGAR Form 8-A listing dates. 4,507 are fully chartable; 764 remain honestly date-unknown (flagged, never faked). A plausibility gate rejects impossible dates.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domains: </w:t>
      </w:r>
      <w:r>
        <w:t xml:space="preserve">partners curate birth-moment datasets under datasets/ (aviation, schools, insurance, or anything dated) using one shared schema, so any dated entity plugs into the same engine.</w:t>
      </w:r>
    </w:p>
    <w:p>
      <w:pPr>
        <w:pStyle w:val="Heading1"/>
      </w:pPr>
      <w:r>
        <w:t xml:space="preserve">11. Current status (as of v2.0)</w:t>
      </w:r>
    </w:p>
    <w:p>
      <w:pPr>
        <w:spacing w:after="120"/>
      </w:pPr>
      <w:r>
        <w:rPr>
          <w:b/>
          <w:bCs/>
        </w:rPr>
        <w:t xml:space="preserve">Built and CI-gated (green on macOS/Windows/Linux):</w:t>
      </w:r>
    </w:p>
    <w:p>
      <w:pPr>
        <w:pStyle w:val="ListParagraph"/>
        <w:numPr>
          <w:ilvl w:val="0"/>
          <w:numId w:val="2"/>
        </w:numPr>
      </w:pPr>
      <w:r>
        <w:t xml:space="preserve">Contained Postgres + 5,271-ticker seed; reproducible.</w:t>
      </w:r>
    </w:p>
    <w:p>
      <w:pPr>
        <w:pStyle w:val="ListParagraph"/>
        <w:numPr>
          <w:ilvl w:val="0"/>
          <w:numId w:val="2"/>
        </w:numPr>
      </w:pPr>
      <w:r>
        <w:t xml:space="preserve">Ephemeris: 13 bodies (Sun→Pluto, lunar nodes, Chiron) + Ascendant/MC, on two independent backends, each JPL-validated (planets &lt;1°; Chiron &lt;0.1° vs Horizons).</w:t>
      </w:r>
    </w:p>
    <w:p>
      <w:pPr>
        <w:pStyle w:val="ListParagraph"/>
        <w:numPr>
          <w:ilvl w:val="0"/>
          <w:numId w:val="2"/>
        </w:numPr>
      </w:pPr>
      <w:r>
        <w:t xml:space="preserve">Engine chart assembly + find_aspect.</w:t>
      </w:r>
    </w:p>
    <w:p>
      <w:pPr>
        <w:pStyle w:val="ListParagraph"/>
        <w:numPr>
          <w:ilvl w:val="0"/>
          <w:numId w:val="2"/>
        </w:numPr>
      </w:pPr>
      <w:r>
        <w:t xml:space="preserve">Read-only sidecar returning real charts, synastry cross-aspects, and transits over the live data.</w:t>
      </w:r>
    </w:p>
    <w:p>
      <w:pPr>
        <w:pStyle w:val="ListParagraph"/>
        <w:numPr>
          <w:ilvl w:val="0"/>
          <w:numId w:val="2"/>
        </w:numPr>
      </w:pPr>
      <w:r>
        <w:t xml:space="preserve">Security/quality gates: cargo-deny (permissive-only tree), cargo-audit, gitleaks, DCO, integration test.</w:t>
      </w:r>
    </w:p>
    <w:p>
      <w:pPr>
        <w:spacing w:after="120"/>
      </w:pPr>
      <w:r>
        <w:rPr>
          <w:b/>
          <w:bCs/>
        </w:rPr>
        <w:t xml:space="preserve">Next: </w:t>
      </w:r>
      <w:r>
        <w:t xml:space="preserve">Phase 1 (Hamun-ana measurer) → Phase 2 (Ungasaga interpreter) → Phase 3 (three synastry modes) → Phase 4 (UI + backstage strip) → Phase 5 (guardrail hardening, brand pass, demo).</w:t>
      </w:r>
    </w:p>
    <w:p>
      <w:pPr>
        <w:pStyle w:val="Heading1"/>
      </w:pPr>
      <w:r>
        <w:t xml:space="preserve">12. Roadmap beyond v1</w:t>
      </w:r>
    </w:p>
    <w:p>
      <w:pPr>
        <w:spacing w:after="120"/>
      </w:pPr>
      <w:r>
        <w:t xml:space="preserve">The synastry engine is domain-agnostic — each future domain is one dataset plus one adapter.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Birth moment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0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Stocks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IPO date/time + exchange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 (built)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Aviation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airline founding / first flight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Nathan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Schools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founding / charter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Ahsan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Insurance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carrier incorporation / policy effective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Ahsan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Anything dated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manufacturing date, launch date, charter…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community</w:t>
            </w:r>
          </w:p>
        </w:tc>
      </w:tr>
    </w:tbl>
    <w:p>
      <w:pPr>
        <w:pStyle w:val="Heading1"/>
      </w:pPr>
      <w:r>
        <w:t xml:space="preserve">13. Success metrics (demo)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The two-agent flow is legible </w:t>
      </w:r>
      <w:r>
        <w:t xml:space="preserve">— a viewer sees Hamun-ana measure and Ungasaga interpret as distinct steps. (Primary.)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 stock reading is produced end-to-end </w:t>
      </w:r>
      <w:r>
        <w:t xml:space="preserve">in all three modes, from a real user chart vs a real IPO chart.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The guardrail holds under pressure </w:t>
      </w:r>
      <w:r>
        <w:t xml:space="preserve">— “Should I buy this?” yields reflection + refusal, not a signal. (Release blocker.)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On-brand </w:t>
      </w:r>
      <w:r>
        <w:t xml:space="preserve">— the Oracle visual direction and “measured, not believed” ethos.</w:t>
      </w:r>
    </w:p>
    <w:p>
      <w:pPr>
        <w:pStyle w:val="Heading1"/>
      </w:pPr>
      <w:r>
        <w:t xml:space="preserve">14. License &amp; commercial path</w:t>
      </w:r>
    </w:p>
    <w:p>
      <w:pPr>
        <w:spacing w:after="120"/>
      </w:pPr>
      <w:r>
        <w:t xml:space="preserve">Original source under PolyForm Noncommercial 1.0.0 (public/readable; commercial rights reserved to the author). The dependency tree is kept permissive-only (cargo-deny enforced) so a future closed-source commercial edition stays clean; the high-accuracy Swiss Ephemeris backend can be licensed and swapped in behind the existing trait without touching product code.</w:t>
      </w:r>
    </w:p>
    <w:p>
      <w:pPr>
        <w:pBdr>
          <w:bottom w:val="single" w:color="B07D12" w:sz="6" w:space="1"/>
        </w:pBdr>
        <w:spacing w:after="200"/>
      </w:pPr>
    </w:p>
    <w:p>
      <w:pPr>
        <w:jc w:val="center"/>
      </w:pPr>
      <w:r>
        <w:rPr>
          <w:i/>
          <w:iCs/>
          <w:color w:val="5D5142"/>
          <w:sz w:val="20"/>
          <w:szCs w:val="20"/>
        </w:rPr>
        <w:t xml:space="preserve">Ziqpu is a reflection tool. It does not predict outcomes and is not financial, medical, legal, or psychological advice.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2740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A20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2026-07-08T01:53:05.486Z</dcterms:created>
  <dcterms:modified xsi:type="dcterms:W3CDTF">2026-07-08T01:53:05.487Z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