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52"/>
          <w:szCs w:val="52"/>
        </w:rPr>
        <w:t xml:space="preserve">HouseCheck</w:t>
      </w:r>
    </w:p>
    <w:p>
      <w:pPr>
        <w:spacing w:after="200"/>
      </w:pPr>
      <w:r>
        <w:rPr>
          <w:i/>
          <w:iCs/>
        </w:rPr>
        <w:t xml:space="preserve">Product Requirements Document: Net New Build</w:t>
      </w:r>
    </w:p>
    <w:p>
      <w:pPr>
        <w:spacing w:after="140"/>
      </w:pPr>
      <w:r>
        <w:rPr>
          <w:b/>
          <w:bCs/>
        </w:rPr>
        <w:t xml:space="preserve">Build name: </w:t>
      </w:r>
      <w:r>
        <w:t xml:space="preserve">HouseCheck</w:t>
      </w:r>
    </w:p>
    <w:p>
      <w:pPr>
        <w:spacing w:after="140"/>
      </w:pPr>
      <w:r>
        <w:rPr>
          <w:b/>
          <w:bCs/>
        </w:rPr>
        <w:t xml:space="preserve">Owner: </w:t>
      </w:r>
      <w:r>
        <w:t xml:space="preserve">Aisling (backend lead) + 2 teammates — Pursuit L2 Cycle 4 Capstone</w:t>
      </w:r>
    </w:p>
    <w:p>
      <w:pPr>
        <w:spacing w:after="140"/>
      </w:pPr>
      <w:r>
        <w:rPr>
          <w:b/>
          <w:bCs/>
        </w:rPr>
        <w:t xml:space="preserve">Date: </w:t>
      </w:r>
      <w:r>
        <w:t xml:space="preserve">July 21, 2026</w:t>
      </w:r>
    </w:p>
    <w:p>
      <w:pPr>
        <w:spacing w:after="140"/>
      </w:pPr>
      <w:r>
        <w:rPr>
          <w:b/>
          <w:bCs/>
        </w:rPr>
        <w:t xml:space="preserve">Live demo: </w:t>
      </w:r>
      <w:r>
        <w:t xml:space="preserve">https://housecheck-nessa.fly.dev</w:t>
      </w:r>
    </w:p>
    <w:p>
      <w:pPr>
        <w:pStyle w:val="Heading1"/>
        <w:spacing w:after="160" w:before="400"/>
      </w:pPr>
      <w:r>
        <w:rPr>
          <w:b/>
          <w:bCs/>
          <w:smallCaps/>
          <w:sz w:val="30"/>
          <w:szCs w:val="30"/>
        </w:rPr>
        <w:t xml:space="preserve">1. Problem</w:t>
      </w:r>
    </w:p>
    <w:p>
      <w:pPr>
        <w:spacing w:after="140"/>
      </w:pPr>
      <w:r>
        <w:t xml:space="preserve">Brooklyn renters commit roughly $40,000 a year and a 12-month lease to an apartment while knowing almost nothing about the building's condition, their legal protections, or whether the rent is fair. The information exists in government databases, but it is scattered across HPD Online, DHCR lists, and Census tables — none mobile-friendly, none combined. So renters either sign blind, or spend hours cross-referencing three tools and still miss hazardous-violation history, rent-stabilization rights they are entitled to, and whether they are overpaying.</w:t>
      </w:r>
    </w:p>
    <w:p>
      <w:pPr>
        <w:pStyle w:val="Heading3"/>
        <w:spacing w:after="100" w:before="200"/>
      </w:pPr>
      <w:r>
        <w:rPr>
          <w:b/>
          <w:bCs/>
          <w:sz w:val="23"/>
          <w:szCs w:val="23"/>
        </w:rPr>
        <w:t xml:space="preserve">Supporting Context</w:t>
      </w:r>
    </w:p>
    <w:p>
      <w:pPr>
        <w:pStyle w:val="ListParagraph"/>
        <w:numPr>
          <w:ilvl w:val="0"/>
          <w:numId w:val="1"/>
        </w:numPr>
        <w:spacing w:after="70"/>
      </w:pPr>
      <w:r>
        <w:t xml:space="preserve">51.6% of NYC renter households are rent-burdened (30%+ of income on rent) and 28.8% are severely burdened (50%+). </w:t>
      </w:r>
      <w:r>
        <w:rPr>
          <w:i/>
          <w:iCs/>
        </w:rPr>
        <w:t xml:space="preserve">— NYC Rent Guidelines Board, 2026 Income &amp; Affordability Study.</w:t>
      </w:r>
    </w:p>
    <w:p>
      <w:pPr>
        <w:pStyle w:val="ListParagraph"/>
        <w:numPr>
          <w:ilvl w:val="0"/>
          <w:numId w:val="1"/>
        </w:numPr>
        <w:spacing w:after="70"/>
      </w:pPr>
      <w:r>
        <w:t xml:space="preserve">NYC Open Data holds ~11.1 million HPD housing-maintenance-code violation records — the raw data exists but sits in a portal renters cannot practically use. </w:t>
      </w:r>
      <w:r>
        <w:rPr>
          <w:i/>
          <w:iCs/>
        </w:rPr>
        <w:t xml:space="preserve">— NYC Open Data, dataset wvxf-dwi5.</w:t>
      </w:r>
    </w:p>
    <w:p>
      <w:pPr>
        <w:pStyle w:val="ListParagraph"/>
        <w:numPr>
          <w:ilvl w:val="0"/>
          <w:numId w:val="1"/>
        </w:numPr>
        <w:spacing w:after="70"/>
      </w:pPr>
      <w:r>
        <w:t xml:space="preserve">Median citywide asking rent reached ~$3,616/month in Q1 2026 (+6.2% YoY, +28% vs pre-pandemic); the stay-vs-move gap is ~$1,761/month — renters have never had more at stake in getting the decision right. </w:t>
      </w:r>
      <w:r>
        <w:rPr>
          <w:i/>
          <w:iCs/>
        </w:rPr>
        <w:t xml:space="preserve">— Realtor.com Q1 2026 NYC Rental Report.</w:t>
      </w:r>
    </w:p>
    <w:p>
      <w:pPr>
        <w:pStyle w:val="Heading2"/>
        <w:spacing w:after="120" w:before="260"/>
      </w:pPr>
      <w:r>
        <w:rPr>
          <w:b/>
          <w:bCs/>
          <w:sz w:val="26"/>
          <w:szCs w:val="26"/>
        </w:rPr>
        <w:t xml:space="preserve">1a. Opportunity</w:t>
      </w:r>
    </w:p>
    <w:p>
      <w:pPr>
        <w:spacing w:after="140"/>
      </w:pPr>
      <w:r>
        <w:t xml:space="preserve">If a renter could type an address and get an instant, trustworthy Building Health Card, they could avoid a hazardous building, claim rent-stabilization rights, and negotiate rent from data — turning a blind $40,000 decision into an informed one. HouseCheck can own the renter-side building-due-diligence moment that no incumbent serves well.</w:t>
      </w:r>
    </w:p>
    <w:p>
      <w:pPr>
        <w:pStyle w:val="Heading3"/>
        <w:spacing w:after="100" w:before="200"/>
      </w:pPr>
      <w:r>
        <w:rPr>
          <w:b/>
          <w:bCs/>
          <w:sz w:val="23"/>
          <w:szCs w:val="23"/>
        </w:rPr>
        <w:t xml:space="preserve">Market Opportunity</w:t>
      </w:r>
    </w:p>
    <w:p>
      <w:pPr>
        <w:pStyle w:val="ListParagraph"/>
        <w:numPr>
          <w:ilvl w:val="0"/>
          <w:numId w:val="1"/>
        </w:numPr>
        <w:spacing w:after="70"/>
      </w:pPr>
      <w:r>
        <w:t xml:space="preserve">Adjacent proven markets are large and entirely landlord-side: property-management software ~$3.61B (2025, Grand View Research) and tenant-screening ~$2.3B (2026 estimate; range $1.5B–$6.8B across firms). No one builds renter-side building intelligence that landlords later pay to access.</w:t>
      </w:r>
    </w:p>
    <w:p>
      <w:pPr>
        <w:pStyle w:val="ListParagraph"/>
        <w:numPr>
          <w:ilvl w:val="0"/>
          <w:numId w:val="1"/>
        </w:numPr>
        <w:spacing w:after="70"/>
      </w:pPr>
      <w:r>
        <w:t xml:space="preserve">OpenIgloo validated renter demand (now claims 1.5–3M+ users) but relies on crowdsourced reviews; HouseCheck differentiates on objective government data.</w:t>
      </w:r>
    </w:p>
    <w:p>
      <w:pPr>
        <w:pStyle w:val="Heading2"/>
        <w:spacing w:after="120" w:before="260"/>
      </w:pPr>
      <w:r>
        <w:rPr>
          <w:b/>
          <w:bCs/>
          <w:sz w:val="26"/>
          <w:szCs w:val="26"/>
        </w:rPr>
        <w:t xml:space="preserve">1b. Users &amp; Needs</w:t>
      </w:r>
    </w:p>
    <w:p>
      <w:pPr>
        <w:spacing w:after="140"/>
      </w:pPr>
      <w:r>
        <w:rPr>
          <w:b/>
          <w:bCs/>
        </w:rPr>
        <w:t xml:space="preserve">Primary user(s): </w:t>
      </w:r>
      <w:r>
        <w:t xml:space="preserve">Brooklyn renters actively evaluating a specific apartment before signing — they value speed and trustworthy data over exhaustive research.</w:t>
      </w:r>
    </w:p>
    <w:p>
      <w:pPr>
        <w:spacing w:after="140"/>
      </w:pPr>
      <w:r>
        <w:rPr>
          <w:b/>
          <w:bCs/>
        </w:rPr>
        <w:t xml:space="preserve">Secondary users: </w:t>
      </w:r>
      <w:r>
        <w:t xml:space="preserve">Current tenants checking whether their unit is rent-stabilized or their rent is fair; renters with mobility needs assessing likely step-free access.</w:t>
      </w:r>
    </w:p>
    <w:p>
      <w:pPr>
        <w:pStyle w:val="Heading3"/>
        <w:spacing w:after="100" w:before="200"/>
      </w:pPr>
      <w:r>
        <w:rPr>
          <w:b/>
          <w:bCs/>
          <w:sz w:val="23"/>
          <w:szCs w:val="23"/>
        </w:rPr>
        <w:t xml:space="preserve">Key User Needs</w:t>
      </w:r>
    </w:p>
    <w:p>
      <w:pPr>
        <w:pStyle w:val="ListParagraph"/>
        <w:numPr>
          <w:ilvl w:val="0"/>
          <w:numId w:val="1"/>
        </w:numPr>
        <w:spacing w:after="70"/>
      </w:pPr>
      <w:r>
        <w:t xml:space="preserve">As a renter evaluating an apartment, I need to see a building's violation and safety history in seconds because I can't dig through HPD Online before a listing is gone.</w:t>
      </w:r>
    </w:p>
    <w:p>
      <w:pPr>
        <w:pStyle w:val="ListParagraph"/>
        <w:numPr>
          <w:ilvl w:val="0"/>
          <w:numId w:val="1"/>
        </w:numPr>
        <w:spacing w:after="70"/>
      </w:pPr>
      <w:r>
        <w:t xml:space="preserve">As a renter, I need to know if a unit is rent-stabilized or Good-Cause-covered because those protections are worth thousands and landlords won't volunteer them.</w:t>
      </w:r>
    </w:p>
    <w:p>
      <w:pPr>
        <w:pStyle w:val="ListParagraph"/>
        <w:numPr>
          <w:ilvl w:val="0"/>
          <w:numId w:val="1"/>
        </w:numPr>
        <w:spacing w:after="70"/>
      </w:pPr>
      <w:r>
        <w:t xml:space="preserve">As a renter, I need to know if my quoted rent is above the neighborhood norm because I have no reference point to negotiate from.</w:t>
      </w:r>
    </w:p>
    <w:p>
      <w:pPr>
        <w:pStyle w:val="ListParagraph"/>
        <w:numPr>
          <w:ilvl w:val="0"/>
          <w:numId w:val="1"/>
        </w:numPr>
        <w:spacing w:after="70"/>
      </w:pPr>
      <w:r>
        <w:t xml:space="preserve">As a renter with mobility needs, I need to know whether a building likely has step-free access (e.g., an elevator on record) because listings rarely state it.</w:t>
      </w:r>
    </w:p>
    <w:p>
      <w:pPr>
        <w:pStyle w:val="Heading1"/>
        <w:spacing w:after="160" w:before="400"/>
      </w:pPr>
      <w:r>
        <w:rPr>
          <w:b/>
          <w:bCs/>
          <w:smallCaps/>
          <w:sz w:val="30"/>
          <w:szCs w:val="30"/>
        </w:rPr>
        <w:t xml:space="preserve">2. Proposed Solution</w:t>
      </w:r>
    </w:p>
    <w:p>
      <w:pPr>
        <w:spacing w:after="140"/>
      </w:pPr>
      <w:r>
        <w:t xml:space="preserve">HouseCheck is a mobile-first web app that turns any Brooklyn address into an instant Building Health Card — a single 0–100 score with four plain-language sections: building condition, legal protections, neighborhood context, and rent fairness. A renter types an address; the app pulls precomputed government data for that building and shows the score with every number linked to its source. As a result, a renter can size up a building in under a minute instead of cross-referencing three government portals — and can enter their quoted rent to see how it compares to the neighborhood median.</w:t>
      </w:r>
    </w:p>
    <w:p>
      <w:pPr>
        <w:pStyle w:val="Heading2"/>
        <w:spacing w:after="120" w:before="260"/>
      </w:pPr>
      <w:r>
        <w:rPr>
          <w:b/>
          <w:bCs/>
          <w:sz w:val="26"/>
          <w:szCs w:val="26"/>
        </w:rPr>
        <w:t xml:space="preserve">2a. Value Proposition</w:t>
      </w:r>
    </w:p>
    <w:p>
      <w:pPr>
        <w:spacing w:after="140"/>
      </w:pPr>
      <w:r>
        <w:t xml:space="preserve">Brooklyn renters who struggle to research buildings because the data is scattered across unusable government portals use HouseCheck, a mobile web app, to get an instant Building Health Card built from objective public data. Unlike OpenIgloo's crowdsourced reviews or HPD's raw database, HouseCheck combines condition, legal protections, rent fairness, and accessibility context into one fast, source-linked score — helping renters avoid bad buildings and negotiate from evidence.</w:t>
      </w:r>
    </w:p>
    <w:p>
      <w:pPr>
        <w:pStyle w:val="Heading2"/>
        <w:spacing w:after="120" w:before="260"/>
      </w:pPr>
      <w:r>
        <w:rPr>
          <w:b/>
          <w:bCs/>
          <w:sz w:val="26"/>
          <w:szCs w:val="26"/>
        </w:rPr>
        <w:t xml:space="preserve">2b. Top 3 MVP Value Props</w:t>
      </w:r>
    </w:p>
    <w:p>
      <w:pPr>
        <w:spacing w:after="140"/>
      </w:pPr>
      <w:r>
        <w:rPr>
          <w:b/>
          <w:bCs/>
        </w:rPr>
        <w:t xml:space="preserve">The Vitamin </w:t>
      </w:r>
      <w:r>
        <w:rPr>
          <w:i/>
          <w:iCs/>
        </w:rPr>
        <w:t xml:space="preserve">(must-have baseline)</w:t>
      </w:r>
      <w:r>
        <w:t xml:space="preserve">: Type a Brooklyn address and instantly see the building's violation history and a clear 0–100 health score.</w:t>
      </w:r>
    </w:p>
    <w:p>
      <w:pPr>
        <w:spacing w:after="140"/>
      </w:pPr>
      <w:r>
        <w:rPr>
          <w:b/>
          <w:bCs/>
        </w:rPr>
        <w:t xml:space="preserve">The Painkiller </w:t>
      </w:r>
      <w:r>
        <w:rPr>
          <w:i/>
          <w:iCs/>
        </w:rPr>
        <w:t xml:space="preserve">(solves the core pain)</w:t>
      </w:r>
      <w:r>
        <w:t xml:space="preserve">: One screen replaces cross-referencing HPD Online, DHCR lists, and Census tables — with every number linked to its government source.</w:t>
      </w:r>
    </w:p>
    <w:p>
      <w:pPr>
        <w:spacing w:after="140"/>
      </w:pPr>
      <w:r>
        <w:rPr>
          <w:b/>
          <w:bCs/>
        </w:rPr>
        <w:t xml:space="preserve">The Steroid </w:t>
      </w:r>
      <w:r>
        <w:rPr>
          <w:i/>
          <w:iCs/>
        </w:rPr>
        <w:t xml:space="preserve">(the magic moment)</w:t>
      </w:r>
      <w:r>
        <w:t xml:space="preserve">: "Enter your rent" returns an instant "X% above/below neighborhood median" verdict — a negotiation lever no competitor offers.</w:t>
      </w:r>
    </w:p>
    <w:p>
      <w:pPr>
        <w:pStyle w:val="Heading2"/>
        <w:spacing w:after="120" w:before="260"/>
      </w:pPr>
      <w:r>
        <w:rPr>
          <w:b/>
          <w:bCs/>
          <w:sz w:val="26"/>
          <w:szCs w:val="26"/>
        </w:rPr>
        <w:t xml:space="preserve">2c. Goals &amp; Non-Goals</w:t>
      </w:r>
    </w:p>
    <w:p>
      <w:pPr>
        <w:pStyle w:val="Heading3"/>
        <w:spacing w:after="100" w:before="200"/>
      </w:pPr>
      <w:r>
        <w:rPr>
          <w:b/>
          <w:bCs/>
          <w:sz w:val="23"/>
          <w:szCs w:val="23"/>
        </w:rPr>
        <w:t xml:space="preserve">Goals</w:t>
      </w:r>
    </w:p>
    <w:p>
      <w:pPr>
        <w:pStyle w:val="ListParagraph"/>
        <w:numPr>
          <w:ilvl w:val="0"/>
          <w:numId w:val="1"/>
        </w:numPr>
        <w:spacing w:after="70"/>
      </w:pPr>
      <w:r>
        <w:t xml:space="preserve">Let a Brooklyn renter go from address to an informed rent/lease decision in under 60 seconds.</w:t>
      </w:r>
    </w:p>
    <w:p>
      <w:pPr>
        <w:pStyle w:val="ListParagraph"/>
        <w:numPr>
          <w:ilvl w:val="0"/>
          <w:numId w:val="1"/>
        </w:numPr>
        <w:spacing w:after="70"/>
      </w:pPr>
      <w:r>
        <w:t xml:space="preserve">Make building data trustworthy by linking every displayed number to its government source and a "data from [date]" label.</w:t>
      </w:r>
    </w:p>
    <w:p>
      <w:pPr>
        <w:pStyle w:val="ListParagraph"/>
        <w:numPr>
          <w:ilvl w:val="0"/>
          <w:numId w:val="1"/>
        </w:numPr>
        <w:spacing w:after="70"/>
      </w:pPr>
      <w:r>
        <w:t xml:space="preserve">Surface legal protections (rent-stabilization, Good Cause) that renters are entitled to but don't know about.</w:t>
      </w:r>
    </w:p>
    <w:p>
      <w:pPr>
        <w:pStyle w:val="ListParagraph"/>
        <w:numPr>
          <w:ilvl w:val="0"/>
          <w:numId w:val="1"/>
        </w:numPr>
        <w:spacing w:after="70"/>
      </w:pPr>
      <w:r>
        <w:t xml:space="preserve">Give renters a data-backed rent-fairness reference they can negotiate with.</w:t>
      </w:r>
    </w:p>
    <w:p>
      <w:pPr>
        <w:pStyle w:val="Heading3"/>
        <w:spacing w:after="100" w:before="200"/>
      </w:pPr>
      <w:r>
        <w:rPr>
          <w:b/>
          <w:bCs/>
          <w:sz w:val="23"/>
          <w:szCs w:val="23"/>
        </w:rPr>
        <w:t xml:space="preserve">Non-Goals</w:t>
      </w:r>
    </w:p>
    <w:p>
      <w:pPr>
        <w:pStyle w:val="ListParagraph"/>
        <w:numPr>
          <w:ilvl w:val="0"/>
          <w:numId w:val="1"/>
        </w:numPr>
        <w:spacing w:after="70"/>
      </w:pPr>
      <w:r>
        <w:t xml:space="preserve">Landlord/B2B tooling, user accounts, and payments (deferred to later phases).</w:t>
      </w:r>
    </w:p>
    <w:p>
      <w:pPr>
        <w:pStyle w:val="ListParagraph"/>
        <w:numPr>
          <w:ilvl w:val="0"/>
          <w:numId w:val="1"/>
        </w:numPr>
        <w:spacing w:after="70"/>
      </w:pPr>
      <w:r>
        <w:t xml:space="preserve">Full-NYC live coverage — the MVP is a curated Brooklyn set; live coverage is a stretch goal.</w:t>
      </w:r>
    </w:p>
    <w:p>
      <w:pPr>
        <w:pStyle w:val="ListParagraph"/>
        <w:numPr>
          <w:ilvl w:val="0"/>
          <w:numId w:val="1"/>
        </w:numPr>
        <w:spacing w:after="70"/>
      </w:pPr>
      <w:r>
        <w:t xml:space="preserve">Any accessibility "certification" or interior-unit accessibility claims — public data cannot verify these (see Appendix guardrails).</w:t>
      </w:r>
    </w:p>
    <w:p>
      <w:pPr>
        <w:pStyle w:val="ListParagraph"/>
        <w:numPr>
          <w:ilvl w:val="0"/>
          <w:numId w:val="1"/>
        </w:numPr>
        <w:spacing w:after="70"/>
      </w:pPr>
      <w:r>
        <w:t xml:space="preserve">Real-time crime or building-level LGBTQ+ safety scores — no data exists at building granularity.</w:t>
      </w:r>
    </w:p>
    <w:p>
      <w:pPr>
        <w:pStyle w:val="Heading2"/>
        <w:spacing w:after="120" w:before="260"/>
      </w:pPr>
      <w:r>
        <w:rPr>
          <w:b/>
          <w:bCs/>
          <w:sz w:val="26"/>
          <w:szCs w:val="26"/>
        </w:rPr>
        <w:t xml:space="preserve">2d.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9E2F3" w:color="auto" w:val="clear"/>
            <w:tcMar>
              <w:top w:type="dxa" w:w="40"/>
              <w:left w:type="dxa" w:w="80"/>
              <w:bottom w:type="dxa" w:w="40"/>
              <w:right w:type="dxa" w:w="80"/>
            </w:tcMar>
          </w:tcPr>
          <w:p>
            <w:r>
              <w:rPr>
                <w:b/>
                <w:bCs/>
                <w:sz w:val="20"/>
                <w:szCs w:val="20"/>
              </w:rPr>
              <w:t xml:space="preserve">Goal</w:t>
            </w:r>
          </w:p>
        </w:tc>
        <w:tc>
          <w:tcPr>
            <w:tcW w:type="dxa" w:w="2340"/>
            <w:tcBorders>
              <w:top w:val="single" w:color="AAAAAA" w:sz="1"/>
              <w:left w:val="single" w:color="AAAAAA" w:sz="1"/>
              <w:bottom w:val="single" w:color="AAAAAA" w:sz="1"/>
              <w:right w:val="single" w:color="AAAAAA" w:sz="1"/>
            </w:tcBorders>
            <w:shd w:fill="D9E2F3" w:color="auto" w:val="clear"/>
            <w:tcMar>
              <w:top w:type="dxa" w:w="40"/>
              <w:left w:type="dxa" w:w="80"/>
              <w:bottom w:type="dxa" w:w="40"/>
              <w:right w:type="dxa" w:w="80"/>
            </w:tcMar>
          </w:tcPr>
          <w:p>
            <w:r>
              <w:rPr>
                <w:b/>
                <w:bCs/>
                <w:sz w:val="20"/>
                <w:szCs w:val="20"/>
              </w:rPr>
              <w:t xml:space="preserve">Signal</w:t>
            </w:r>
          </w:p>
        </w:tc>
        <w:tc>
          <w:tcPr>
            <w:tcW w:type="dxa" w:w="2340"/>
            <w:tcBorders>
              <w:top w:val="single" w:color="AAAAAA" w:sz="1"/>
              <w:left w:val="single" w:color="AAAAAA" w:sz="1"/>
              <w:bottom w:val="single" w:color="AAAAAA" w:sz="1"/>
              <w:right w:val="single" w:color="AAAAAA" w:sz="1"/>
            </w:tcBorders>
            <w:shd w:fill="D9E2F3" w:color="auto" w:val="clear"/>
            <w:tcMar>
              <w:top w:type="dxa" w:w="40"/>
              <w:left w:type="dxa" w:w="80"/>
              <w:bottom w:type="dxa" w:w="40"/>
              <w:right w:type="dxa" w:w="80"/>
            </w:tcMar>
          </w:tcPr>
          <w:p>
            <w:r>
              <w:rPr>
                <w:b/>
                <w:bCs/>
                <w:sz w:val="20"/>
                <w:szCs w:val="20"/>
              </w:rPr>
              <w:t xml:space="preserve">Metric</w:t>
            </w:r>
          </w:p>
        </w:tc>
        <w:tc>
          <w:tcPr>
            <w:tcW w:type="dxa" w:w="2340"/>
            <w:tcBorders>
              <w:top w:val="single" w:color="AAAAAA" w:sz="1"/>
              <w:left w:val="single" w:color="AAAAAA" w:sz="1"/>
              <w:bottom w:val="single" w:color="AAAAAA" w:sz="1"/>
              <w:right w:val="single" w:color="AAAAAA" w:sz="1"/>
            </w:tcBorders>
            <w:shd w:fill="D9E2F3" w:color="auto" w:val="clear"/>
            <w:tcMar>
              <w:top w:type="dxa" w:w="40"/>
              <w:left w:type="dxa" w:w="80"/>
              <w:bottom w:type="dxa" w:w="40"/>
              <w:right w:type="dxa" w:w="80"/>
            </w:tcMar>
          </w:tcPr>
          <w:p>
            <w:r>
              <w:rPr>
                <w:b/>
                <w:bCs/>
                <w:sz w:val="20"/>
                <w:szCs w:val="20"/>
              </w:rPr>
              <w:t xml:space="preserve">Target</w:t>
            </w:r>
          </w:p>
        </w:tc>
      </w:tr>
      <w:tr>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Fast decision</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Renter reaches a Health Card</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Median time: address → card</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&lt; 5 s on mobile</w:t>
            </w:r>
          </w:p>
        </w:tc>
      </w:tr>
      <w:tr>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Trust</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Renters open source links</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 sessions expanding ≥1 source</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&gt; 30%</w:t>
            </w:r>
          </w:p>
        </w:tc>
      </w:tr>
      <w:tr>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Protections surfaced</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Renters view legal section</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 cards where legal badges viewed</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&gt; 50%</w:t>
            </w:r>
          </w:p>
        </w:tc>
      </w:tr>
      <w:tr>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Rent-fairness use</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Renters enter their rent</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 sessions using rent-fairness</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&gt; 25%</w:t>
            </w:r>
          </w:p>
        </w:tc>
      </w:tr>
      <w:tr>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Demo credibility</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Curated buildings resolve</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Buildings returning a correct card</w:t>
            </w:r>
          </w:p>
        </w:tc>
        <w:tc>
          <w:tcPr>
            <w:tcW w:type="dxa" w:w="234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100% of curated set</w:t>
            </w:r>
          </w:p>
        </w:tc>
      </w:tr>
    </w:tbl>
    <w:p>
      <w:pPr>
        <w:pStyle w:val="Heading1"/>
        <w:spacing w:after="160" w:before="400"/>
      </w:pPr>
      <w:r>
        <w:rPr>
          <w:b/>
          <w:bCs/>
          <w:smallCaps/>
          <w:sz w:val="30"/>
          <w:szCs w:val="30"/>
        </w:rPr>
        <w:t xml:space="preserve">3. Requirements</w:t>
      </w:r>
    </w:p>
    <w:p>
      <w:pPr>
        <w:pStyle w:val="Heading2"/>
        <w:spacing w:after="120" w:before="260"/>
      </w:pPr>
      <w:r>
        <w:rPr>
          <w:b/>
          <w:bCs/>
          <w:sz w:val="26"/>
          <w:szCs w:val="26"/>
        </w:rPr>
        <w:t xml:space="preserve">User Journey 1: Brooklyn renter checking a building before signing</w:t>
      </w:r>
    </w:p>
    <w:p>
      <w:pPr>
        <w:spacing w:after="140"/>
      </w:pPr>
      <w:r>
        <w:rPr>
          <w:b/>
          <w:bCs/>
        </w:rPr>
        <w:t xml:space="preserve">Context: </w:t>
      </w:r>
      <w:r>
        <w:t xml:space="preserve">The core loop — it must feel instant and trustworthy on a phone.</w:t>
      </w:r>
    </w:p>
    <w:p>
      <w:pPr>
        <w:spacing w:after="60" w:before="80"/>
      </w:pPr>
      <w:r>
        <w:rPr>
          <w:b/>
          <w:bCs/>
        </w:rPr>
        <w:t xml:space="preserve">Sub-journey: Searching a building</w:t>
      </w:r>
    </w:p>
    <w:p>
      <w:pPr>
        <w:pStyle w:val="ListParagraph"/>
        <w:numPr>
          <w:ilvl w:val="0"/>
          <w:numId w:val="1"/>
        </w:numPr>
        <w:spacing w:after="70"/>
      </w:pPr>
      <w:r>
        <w:rPr>
          <w:b/>
          <w:bCs/>
        </w:rPr>
        <w:t xml:space="preserve">[P0] </w:t>
      </w:r>
      <w:r>
        <w:t xml:space="preserve">User can search a Brooklyn address without logging in.</w:t>
      </w:r>
    </w:p>
    <w:p>
      <w:pPr>
        <w:pStyle w:val="ListParagraph"/>
        <w:numPr>
          <w:ilvl w:val="0"/>
          <w:numId w:val="1"/>
        </w:numPr>
        <w:spacing w:after="70"/>
      </w:pPr>
      <w:r>
        <w:rPr>
          <w:b/>
          <w:bCs/>
        </w:rPr>
        <w:t xml:space="preserve">[P0] </w:t>
      </w:r>
      <w:r>
        <w:t xml:space="preserve">User can see a 0–100 Building Health Card with color coding within seconds.</w:t>
      </w:r>
    </w:p>
    <w:p>
      <w:pPr>
        <w:pStyle w:val="ListParagraph"/>
        <w:numPr>
          <w:ilvl w:val="0"/>
          <w:numId w:val="1"/>
        </w:numPr>
        <w:spacing w:after="70"/>
      </w:pPr>
      <w:r>
        <w:rPr>
          <w:b/>
          <w:bCs/>
        </w:rPr>
        <w:t xml:space="preserve">[P0] </w:t>
      </w:r>
      <w:r>
        <w:t xml:space="preserve">User can see violation counts by class (A/B/C) with a timeline.</w:t>
      </w:r>
    </w:p>
    <w:p>
      <w:pPr>
        <w:pStyle w:val="ListParagraph"/>
        <w:numPr>
          <w:ilvl w:val="0"/>
          <w:numId w:val="1"/>
        </w:numPr>
        <w:spacing w:after="70"/>
      </w:pPr>
      <w:r>
        <w:rPr>
          <w:b/>
          <w:bCs/>
        </w:rPr>
        <w:t xml:space="preserve">[P1] </w:t>
      </w:r>
      <w:r>
        <w:t xml:space="preserve">User can tap any number to see its government source and "data from [date]".</w:t>
      </w:r>
    </w:p>
    <w:p>
      <w:pPr>
        <w:pStyle w:val="ListParagraph"/>
        <w:numPr>
          <w:ilvl w:val="0"/>
          <w:numId w:val="1"/>
        </w:numPr>
        <w:spacing w:after="70"/>
      </w:pPr>
      <w:r>
        <w:rPr>
          <w:b/>
          <w:bCs/>
        </w:rPr>
        <w:t xml:space="preserve">[P1] </w:t>
      </w:r>
      <w:r>
        <w:t xml:space="preserve">User can expand a "show the math" breakdown of the score weights.</w:t>
      </w:r>
    </w:p>
    <w:p>
      <w:pPr>
        <w:pStyle w:val="ListParagraph"/>
        <w:numPr>
          <w:ilvl w:val="0"/>
          <w:numId w:val="1"/>
        </w:numPr>
        <w:spacing w:after="70"/>
      </w:pPr>
      <w:r>
        <w:rPr>
          <w:b/>
          <w:bCs/>
        </w:rPr>
        <w:t xml:space="preserve">[P2] </w:t>
      </w:r>
      <w:r>
        <w:t xml:space="preserve">User can adjust score weights to their own priorities.</w:t>
      </w:r>
    </w:p>
    <w:p>
      <w:pPr>
        <w:spacing w:after="60" w:before="80"/>
      </w:pPr>
      <w:r>
        <w:rPr>
          <w:b/>
          <w:bCs/>
        </w:rPr>
        <w:t xml:space="preserve">Sub-journey: Understanding legal protections</w:t>
      </w:r>
    </w:p>
    <w:p>
      <w:pPr>
        <w:pStyle w:val="ListParagraph"/>
        <w:numPr>
          <w:ilvl w:val="0"/>
          <w:numId w:val="1"/>
        </w:numPr>
        <w:spacing w:after="70"/>
      </w:pPr>
      <w:r>
        <w:rPr>
          <w:b/>
          <w:bCs/>
        </w:rPr>
        <w:t xml:space="preserve">[P0] </w:t>
      </w:r>
      <w:r>
        <w:t xml:space="preserve">User can see whether the building is likely rent-stabilized (labeled best-available, not authoritative).</w:t>
      </w:r>
    </w:p>
    <w:p>
      <w:pPr>
        <w:pStyle w:val="ListParagraph"/>
        <w:numPr>
          <w:ilvl w:val="0"/>
          <w:numId w:val="1"/>
        </w:numPr>
        <w:spacing w:after="70"/>
      </w:pPr>
      <w:r>
        <w:rPr>
          <w:b/>
          <w:bCs/>
        </w:rPr>
        <w:t xml:space="preserve">[P0] </w:t>
      </w:r>
      <w:r>
        <w:t xml:space="preserve">User can see whether the unit is Good-Cause-eviction covered.</w:t>
      </w:r>
    </w:p>
    <w:p>
      <w:pPr>
        <w:pStyle w:val="ListParagraph"/>
        <w:numPr>
          <w:ilvl w:val="0"/>
          <w:numId w:val="1"/>
        </w:numPr>
        <w:spacing w:after="70"/>
      </w:pPr>
      <w:r>
        <w:rPr>
          <w:b/>
          <w:bCs/>
        </w:rPr>
        <w:t xml:space="preserve">[P1] </w:t>
      </w:r>
      <w:r>
        <w:t xml:space="preserve">User can read a one-line plain-language explanation of each protection.</w:t>
      </w:r>
    </w:p>
    <w:p>
      <w:pPr>
        <w:spacing w:after="60" w:before="80"/>
      </w:pPr>
      <w:r>
        <w:rPr>
          <w:b/>
          <w:bCs/>
        </w:rPr>
        <w:t xml:space="preserve">Sub-journey: Checking rent fairness</w:t>
      </w:r>
    </w:p>
    <w:p>
      <w:pPr>
        <w:pStyle w:val="ListParagraph"/>
        <w:numPr>
          <w:ilvl w:val="0"/>
          <w:numId w:val="1"/>
        </w:numPr>
        <w:spacing w:after="70"/>
      </w:pPr>
      <w:r>
        <w:rPr>
          <w:b/>
          <w:bCs/>
        </w:rPr>
        <w:t xml:space="preserve">[P0] </w:t>
      </w:r>
      <w:r>
        <w:t xml:space="preserve">User can enter their quoted monthly rent.</w:t>
      </w:r>
    </w:p>
    <w:p>
      <w:pPr>
        <w:pStyle w:val="ListParagraph"/>
        <w:numPr>
          <w:ilvl w:val="0"/>
          <w:numId w:val="1"/>
        </w:numPr>
        <w:spacing w:after="70"/>
      </w:pPr>
      <w:r>
        <w:rPr>
          <w:b/>
          <w:bCs/>
        </w:rPr>
        <w:t xml:space="preserve">[P0] </w:t>
      </w:r>
      <w:r>
        <w:t xml:space="preserve">User can see their rent vs the Census tract median (and HUD Fair Market Rent by bedroom) as a percentage.</w:t>
      </w:r>
    </w:p>
    <w:p>
      <w:pPr>
        <w:pStyle w:val="ListParagraph"/>
        <w:numPr>
          <w:ilvl w:val="0"/>
          <w:numId w:val="1"/>
        </w:numPr>
        <w:spacing w:after="70"/>
      </w:pPr>
      <w:r>
        <w:rPr>
          <w:b/>
          <w:bCs/>
        </w:rPr>
        <w:t xml:space="preserve">[P1] </w:t>
      </w:r>
      <w:r>
        <w:t xml:space="preserve">User can see the neighborhood median even without entering a rent.</w:t>
      </w:r>
    </w:p>
    <w:p>
      <w:pPr>
        <w:spacing w:after="60" w:before="80"/>
      </w:pPr>
      <w:r>
        <w:rPr>
          <w:b/>
          <w:bCs/>
        </w:rPr>
        <w:t xml:space="preserve">Sub-journey: Checking accessibility context</w:t>
      </w:r>
    </w:p>
    <w:p>
      <w:pPr>
        <w:pStyle w:val="ListParagraph"/>
        <w:numPr>
          <w:ilvl w:val="0"/>
          <w:numId w:val="1"/>
        </w:numPr>
        <w:spacing w:after="70"/>
      </w:pPr>
      <w:r>
        <w:rPr>
          <w:b/>
          <w:bCs/>
        </w:rPr>
        <w:t xml:space="preserve">[P1] </w:t>
      </w:r>
      <w:r>
        <w:t xml:space="preserve">User can see a "step-free access likelihood" badge (Higher / Mixed / Lower) from elevator-on-record + building type + build-era.</w:t>
      </w:r>
    </w:p>
    <w:p>
      <w:pPr>
        <w:pStyle w:val="ListParagraph"/>
        <w:numPr>
          <w:ilvl w:val="0"/>
          <w:numId w:val="1"/>
        </w:numPr>
        <w:spacing w:after="70"/>
      </w:pPr>
      <w:r>
        <w:rPr>
          <w:b/>
          <w:bCs/>
        </w:rPr>
        <w:t xml:space="preserve">[P1] </w:t>
      </w:r>
      <w:r>
        <w:t xml:space="preserve">User can see whether an ADA-accessible subway station is nearby.</w:t>
      </w:r>
    </w:p>
    <w:p>
      <w:pPr>
        <w:pStyle w:val="ListParagraph"/>
        <w:numPr>
          <w:ilvl w:val="0"/>
          <w:numId w:val="1"/>
        </w:numPr>
        <w:spacing w:after="70"/>
      </w:pPr>
      <w:r>
        <w:rPr>
          <w:b/>
          <w:bCs/>
        </w:rPr>
        <w:t xml:space="preserve">[P0] </w:t>
      </w:r>
      <w:r>
        <w:t xml:space="preserve">User can see a visible disclaimer that this is access context from public records, not a certification.</w:t>
      </w:r>
    </w:p>
    <w:p>
      <w:pPr>
        <w:pStyle w:val="Heading2"/>
        <w:spacing w:after="120" w:before="260"/>
      </w:pPr>
      <w:r>
        <w:rPr>
          <w:b/>
          <w:bCs/>
          <w:sz w:val="26"/>
          <w:szCs w:val="26"/>
        </w:rPr>
        <w:t xml:space="preserve">User Journey 2: Current tenant checking their rights and rent</w:t>
      </w:r>
    </w:p>
    <w:p>
      <w:pPr>
        <w:spacing w:after="140"/>
      </w:pPr>
      <w:r>
        <w:rPr>
          <w:b/>
          <w:bCs/>
        </w:rPr>
        <w:t xml:space="preserve">Context: </w:t>
      </w:r>
      <w:r>
        <w:t xml:space="preserve">A retention and word-of-mouth driver — same data, different intent.</w:t>
      </w:r>
    </w:p>
    <w:p>
      <w:pPr>
        <w:spacing w:after="60" w:before="80"/>
      </w:pPr>
      <w:r>
        <w:rPr>
          <w:b/>
          <w:bCs/>
        </w:rPr>
        <w:t xml:space="preserve">Sub-journey: Verifying stabilization and fair rent</w:t>
      </w:r>
    </w:p>
    <w:p>
      <w:pPr>
        <w:pStyle w:val="ListParagraph"/>
        <w:numPr>
          <w:ilvl w:val="0"/>
          <w:numId w:val="1"/>
        </w:numPr>
        <w:spacing w:after="70"/>
      </w:pPr>
      <w:r>
        <w:rPr>
          <w:b/>
          <w:bCs/>
        </w:rPr>
        <w:t xml:space="preserve">[P0] </w:t>
      </w:r>
      <w:r>
        <w:t xml:space="preserve">User can look up their own building and see stabilization / Good-Cause status.</w:t>
      </w:r>
    </w:p>
    <w:p>
      <w:pPr>
        <w:pStyle w:val="ListParagraph"/>
        <w:numPr>
          <w:ilvl w:val="0"/>
          <w:numId w:val="1"/>
        </w:numPr>
        <w:spacing w:after="70"/>
      </w:pPr>
      <w:r>
        <w:rPr>
          <w:b/>
          <w:bCs/>
        </w:rPr>
        <w:t xml:space="preserve">[P0] </w:t>
      </w:r>
      <w:r>
        <w:t xml:space="preserve">User can enter their current rent and see how it compares to the neighborhood median.</w:t>
      </w:r>
    </w:p>
    <w:p>
      <w:pPr>
        <w:pStyle w:val="ListParagraph"/>
        <w:numPr>
          <w:ilvl w:val="0"/>
          <w:numId w:val="1"/>
        </w:numPr>
        <w:spacing w:after="70"/>
      </w:pPr>
      <w:r>
        <w:rPr>
          <w:b/>
          <w:bCs/>
        </w:rPr>
        <w:t xml:space="preserve">[P1] </w:t>
      </w:r>
      <w:r>
        <w:t xml:space="preserve">User can view the building's recent violation trend to support a complaint.</w:t>
      </w:r>
    </w:p>
    <w:p>
      <w:pPr>
        <w:spacing w:after="60" w:before="80"/>
      </w:pPr>
      <w:r>
        <w:rPr>
          <w:b/>
          <w:bCs/>
        </w:rPr>
        <w:t xml:space="preserve">Sub-journey: Exploring the neighborhood</w:t>
      </w:r>
    </w:p>
    <w:p>
      <w:pPr>
        <w:pStyle w:val="ListParagraph"/>
        <w:numPr>
          <w:ilvl w:val="0"/>
          <w:numId w:val="1"/>
        </w:numPr>
        <w:spacing w:after="70"/>
      </w:pPr>
      <w:r>
        <w:rPr>
          <w:b/>
          <w:bCs/>
        </w:rPr>
        <w:t xml:space="preserve">[P1] </w:t>
      </w:r>
      <w:r>
        <w:t xml:space="preserve">User can see 311 complaint density and nearby restaurant grades for context.</w:t>
      </w:r>
    </w:p>
    <w:p>
      <w:pPr>
        <w:pStyle w:val="ListParagraph"/>
        <w:numPr>
          <w:ilvl w:val="0"/>
          <w:numId w:val="1"/>
        </w:numPr>
        <w:spacing w:after="70"/>
      </w:pPr>
      <w:r>
        <w:rPr>
          <w:b/>
          <w:bCs/>
        </w:rPr>
        <w:t xml:space="preserve">[P2] </w:t>
      </w:r>
      <w:r>
        <w:t xml:space="preserve">User can view a rent heatmap around the building.</w:t>
      </w:r>
    </w:p>
    <w:p>
      <w:pPr>
        <w:pStyle w:val="Heading1"/>
        <w:spacing w:after="160" w:before="400"/>
      </w:pPr>
      <w:r>
        <w:rPr>
          <w:b/>
          <w:bCs/>
          <w:smallCaps/>
          <w:sz w:val="30"/>
          <w:szCs w:val="30"/>
        </w:rPr>
        <w:t xml:space="preserve">4. Appendix</w:t>
      </w:r>
    </w:p>
    <w:p>
      <w:pPr>
        <w:pStyle w:val="Heading3"/>
        <w:spacing w:after="100" w:before="200"/>
      </w:pPr>
      <w:r>
        <w:rPr>
          <w:b/>
          <w:bCs/>
          <w:sz w:val="23"/>
          <w:szCs w:val="23"/>
        </w:rPr>
        <w:t xml:space="preserve">A. Data sources (all free, public; verified 2026-07-21)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60"/>
        <w:gridCol w:w="2700"/>
        <w:gridCol w:w="1800"/>
        <w:gridCol w:w="800"/>
      </w:tblGrid>
      <w:tr>
        <w:trPr>
          <w:tblHeader/>
        </w:trPr>
        <w:tc>
          <w:tcPr>
            <w:tcW w:type="dxa" w:w="2100"/>
            <w:tcBorders>
              <w:top w:val="single" w:color="AAAAAA" w:sz="1"/>
              <w:left w:val="single" w:color="AAAAAA" w:sz="1"/>
              <w:bottom w:val="single" w:color="AAAAAA" w:sz="1"/>
              <w:right w:val="single" w:color="AAAAAA" w:sz="1"/>
            </w:tcBorders>
            <w:shd w:fill="D9E2F3" w:color="auto" w:val="clear"/>
            <w:tcMar>
              <w:top w:type="dxa" w:w="40"/>
              <w:left w:type="dxa" w:w="80"/>
              <w:bottom w:type="dxa" w:w="40"/>
              <w:right w:type="dxa" w:w="80"/>
            </w:tcMar>
          </w:tcPr>
          <w:p>
            <w:r>
              <w:rPr>
                <w:b/>
                <w:bCs/>
                <w:sz w:val="20"/>
                <w:szCs w:val="20"/>
              </w:rPr>
              <w:t xml:space="preserve">Data layer</w:t>
            </w:r>
          </w:p>
        </w:tc>
        <w:tc>
          <w:tcPr>
            <w:tcW w:type="dxa" w:w="1960"/>
            <w:tcBorders>
              <w:top w:val="single" w:color="AAAAAA" w:sz="1"/>
              <w:left w:val="single" w:color="AAAAAA" w:sz="1"/>
              <w:bottom w:val="single" w:color="AAAAAA" w:sz="1"/>
              <w:right w:val="single" w:color="AAAAAA" w:sz="1"/>
            </w:tcBorders>
            <w:shd w:fill="D9E2F3" w:color="auto" w:val="clear"/>
            <w:tcMar>
              <w:top w:type="dxa" w:w="40"/>
              <w:left w:type="dxa" w:w="80"/>
              <w:bottom w:type="dxa" w:w="40"/>
              <w:right w:type="dxa" w:w="80"/>
            </w:tcMar>
          </w:tcPr>
          <w:p>
            <w:r>
              <w:rPr>
                <w:b/>
                <w:bCs/>
                <w:sz w:val="20"/>
                <w:szCs w:val="20"/>
              </w:rPr>
              <w:t xml:space="preserve">Source</w:t>
            </w:r>
          </w:p>
        </w:tc>
        <w:tc>
          <w:tcPr>
            <w:tcW w:type="dxa" w:w="2700"/>
            <w:tcBorders>
              <w:top w:val="single" w:color="AAAAAA" w:sz="1"/>
              <w:left w:val="single" w:color="AAAAAA" w:sz="1"/>
              <w:bottom w:val="single" w:color="AAAAAA" w:sz="1"/>
              <w:right w:val="single" w:color="AAAAAA" w:sz="1"/>
            </w:tcBorders>
            <w:shd w:fill="D9E2F3" w:color="auto" w:val="clear"/>
            <w:tcMar>
              <w:top w:type="dxa" w:w="40"/>
              <w:left w:type="dxa" w:w="80"/>
              <w:bottom w:type="dxa" w:w="40"/>
              <w:right w:type="dxa" w:w="80"/>
            </w:tcMar>
          </w:tcPr>
          <w:p>
            <w:r>
              <w:rPr>
                <w:b/>
                <w:bCs/>
                <w:sz w:val="20"/>
                <w:szCs w:val="20"/>
              </w:rPr>
              <w:t xml:space="preserve">Dataset ID / endpoint</w:t>
            </w:r>
          </w:p>
        </w:tc>
        <w:tc>
          <w:tcPr>
            <w:tcW w:type="dxa" w:w="1800"/>
            <w:tcBorders>
              <w:top w:val="single" w:color="AAAAAA" w:sz="1"/>
              <w:left w:val="single" w:color="AAAAAA" w:sz="1"/>
              <w:bottom w:val="single" w:color="AAAAAA" w:sz="1"/>
              <w:right w:val="single" w:color="AAAAAA" w:sz="1"/>
            </w:tcBorders>
            <w:shd w:fill="D9E2F3" w:color="auto" w:val="clear"/>
            <w:tcMar>
              <w:top w:type="dxa" w:w="40"/>
              <w:left w:type="dxa" w:w="80"/>
              <w:bottom w:type="dxa" w:w="40"/>
              <w:right w:type="dxa" w:w="80"/>
            </w:tcMar>
          </w:tcPr>
          <w:p>
            <w:r>
              <w:rPr>
                <w:b/>
                <w:bCs/>
                <w:sz w:val="20"/>
                <w:szCs w:val="20"/>
              </w:rPr>
              <w:t xml:space="preserve">Granularity</w:t>
            </w:r>
          </w:p>
        </w:tc>
        <w:tc>
          <w:tcPr>
            <w:tcW w:type="dxa" w:w="800"/>
            <w:tcBorders>
              <w:top w:val="single" w:color="AAAAAA" w:sz="1"/>
              <w:left w:val="single" w:color="AAAAAA" w:sz="1"/>
              <w:bottom w:val="single" w:color="AAAAAA" w:sz="1"/>
              <w:right w:val="single" w:color="AAAAAA" w:sz="1"/>
            </w:tcBorders>
            <w:shd w:fill="D9E2F3" w:color="auto" w:val="clear"/>
            <w:tcMar>
              <w:top w:type="dxa" w:w="40"/>
              <w:left w:type="dxa" w:w="80"/>
              <w:bottom w:type="dxa" w:w="40"/>
              <w:right w:type="dxa" w:w="80"/>
            </w:tcMar>
          </w:tcPr>
          <w:p>
            <w:r>
              <w:rPr>
                <w:b/>
                <w:bCs/>
                <w:sz w:val="20"/>
                <w:szCs w:val="20"/>
              </w:rPr>
              <w:t xml:space="preserve">Cost</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Building condition</w:t>
            </w:r>
          </w:p>
        </w:tc>
        <w:tc>
          <w:tcPr>
            <w:tcW w:type="dxa" w:w="196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NYC HPD Open Data</w:t>
            </w:r>
          </w:p>
        </w:tc>
        <w:tc>
          <w:tcPr>
            <w:tcW w:type="dxa" w:w="2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wvxf-dwi5 (~11.1M rows, daily)</w:t>
            </w:r>
          </w:p>
        </w:tc>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Building (BBL)</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$0</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Owner / registration</w:t>
            </w:r>
          </w:p>
        </w:tc>
        <w:tc>
          <w:tcPr>
            <w:tcW w:type="dxa" w:w="196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NYC HPD Open Data</w:t>
            </w:r>
          </w:p>
        </w:tc>
        <w:tc>
          <w:tcPr>
            <w:tcW w:type="dxa" w:w="2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tesw-yqqr + feu5-w2e2</w:t>
            </w:r>
          </w:p>
        </w:tc>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Building (BBL)</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$0</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311 complaints</w:t>
            </w:r>
          </w:p>
        </w:tc>
        <w:tc>
          <w:tcPr>
            <w:tcW w:type="dxa" w:w="196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NYC Open Data</w:t>
            </w:r>
          </w:p>
        </w:tc>
        <w:tc>
          <w:tcPr>
            <w:tcW w:type="dxa" w:w="2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erm2-nwe9 (2020+, ~21.9M)</w:t>
            </w:r>
          </w:p>
        </w:tc>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Address</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$0</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Restaurant grades</w:t>
            </w:r>
          </w:p>
        </w:tc>
        <w:tc>
          <w:tcPr>
            <w:tcW w:type="dxa" w:w="196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NYC DOHMH</w:t>
            </w:r>
          </w:p>
        </w:tc>
        <w:tc>
          <w:tcPr>
            <w:tcW w:type="dxa" w:w="2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43nn-pn8j (~295k)</w:t>
            </w:r>
          </w:p>
        </w:tc>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Restaurant</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$0</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Rent median by tract</w:t>
            </w:r>
          </w:p>
        </w:tc>
        <w:tc>
          <w:tcPr>
            <w:tcW w:type="dxa" w:w="196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US Census ACS 5-yr</w:t>
            </w:r>
          </w:p>
        </w:tc>
        <w:tc>
          <w:tcPr>
            <w:tcW w:type="dxa" w:w="2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B25064_001E (API key)</w:t>
            </w:r>
          </w:p>
        </w:tc>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Census tract</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$0</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Address geometry / BBL</w:t>
            </w:r>
          </w:p>
        </w:tc>
        <w:tc>
          <w:tcPr>
            <w:tcW w:type="dxa" w:w="196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NYC DCP PLUTO</w:t>
            </w:r>
          </w:p>
        </w:tc>
        <w:tc>
          <w:tcPr>
            <w:tcW w:type="dxa" w:w="2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64uk-42ks</w:t>
            </w:r>
          </w:p>
        </w:tc>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Tax lot (BBL)</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$0</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Rent stabilization</w:t>
            </w:r>
          </w:p>
        </w:tc>
        <w:tc>
          <w:tcPr>
            <w:tcW w:type="dxa" w:w="196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DHCR + JustFix WOW</w:t>
            </w:r>
          </w:p>
        </w:tc>
        <w:tc>
          <w:tcPr>
            <w:tcW w:type="dxa" w:w="2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whoownswhat.justfix.org (nycdb)</w:t>
            </w:r>
          </w:p>
        </w:tc>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Building (best-available)</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$0</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Address → BBL (live)</w:t>
            </w:r>
          </w:p>
        </w:tc>
        <w:tc>
          <w:tcPr>
            <w:tcW w:type="dxa" w:w="196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DCP GeoSearch</w:t>
            </w:r>
          </w:p>
        </w:tc>
        <w:tc>
          <w:tcPr>
            <w:tcW w:type="dxa" w:w="2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geosearch.planninglabs.nyc (keyless)</w:t>
            </w:r>
          </w:p>
        </w:tc>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Address</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$0</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Elevator (accessibility)</w:t>
            </w:r>
          </w:p>
        </w:tc>
        <w:tc>
          <w:tcPr>
            <w:tcW w:type="dxa" w:w="196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DOB NOW Elevator</w:t>
            </w:r>
          </w:p>
        </w:tc>
        <w:tc>
          <w:tcPr>
            <w:tcW w:type="dxa" w:w="2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e5aq-a4j2 (~93k active, daily)</w:t>
            </w:r>
          </w:p>
        </w:tc>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Device → BIN/BBL</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$0</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ADA subway (context)</w:t>
            </w:r>
          </w:p>
        </w:tc>
        <w:tc>
          <w:tcPr>
            <w:tcW w:type="dxa" w:w="196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MTA / data.ny.gov</w:t>
            </w:r>
          </w:p>
        </w:tc>
        <w:tc>
          <w:tcPr>
            <w:tcW w:type="dxa" w:w="2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39hk-dx4f (ADA field 0/1/2)</w:t>
            </w:r>
          </w:p>
        </w:tc>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Station</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$0</w:t>
            </w:r>
          </w:p>
        </w:tc>
      </w:tr>
      <w:tr>
        <w:tc>
          <w:tcPr>
            <w:tcW w:type="dxa" w:w="21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Curb ramps (context)</w:t>
            </w:r>
          </w:p>
        </w:tc>
        <w:tc>
          <w:tcPr>
            <w:tcW w:type="dxa" w:w="196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NYC DOT</w:t>
            </w:r>
          </w:p>
        </w:tc>
        <w:tc>
          <w:tcPr>
            <w:tcW w:type="dxa" w:w="2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ufzp-rrqu (Brooklyn ~61k)</w:t>
            </w:r>
          </w:p>
        </w:tc>
        <w:tc>
          <w:tcPr>
            <w:tcW w:type="dxa" w:w="1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Ramp point</w:t>
            </w:r>
          </w:p>
        </w:tc>
        <w:tc>
          <w:tcPr>
            <w:tcW w:type="dxa" w:w="8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20"/>
                <w:szCs w:val="20"/>
              </w:rPr>
              <w:t xml:space="preserve">$0</w:t>
            </w:r>
          </w:p>
        </w:tc>
      </w:tr>
    </w:tbl>
    <w:p>
      <w:pPr>
        <w:spacing w:after="140"/>
      </w:pPr>
      <w:r>
        <w:rPr>
          <w:i/>
          <w:iCs/>
          <w:sz w:val="18"/>
          <w:szCs w:val="18"/>
        </w:rPr>
        <w:t xml:space="preserve">Note: GeoClient is deprecated (v1 retired Oct 2025); HouseCheck uses GeoSearch/Geosupport for live address→BBL. Curated Brooklyn buildings are pre-resolved at ingest, so the demo carries no runtime geocoding risk.</w:t>
      </w:r>
    </w:p>
    <w:p>
      <w:pPr>
        <w:pStyle w:val="Heading3"/>
        <w:spacing w:after="100" w:before="200"/>
      </w:pPr>
      <w:r>
        <w:rPr>
          <w:b/>
          <w:bCs/>
          <w:sz w:val="23"/>
          <w:szCs w:val="23"/>
        </w:rPr>
        <w:t xml:space="preserve">B. Accessibility indicator — how it is built and bounded</w:t>
      </w:r>
    </w:p>
    <w:p>
      <w:pPr>
        <w:spacing w:after="140"/>
      </w:pPr>
      <w:r>
        <w:t xml:space="preserve">The indicator is an "access-likelihood" badge (Higher / Mixed / Lower), not a certification. It combines three building-keyed signals plus two neighborhood-context chips:</w:t>
      </w:r>
    </w:p>
    <w:p>
      <w:pPr>
        <w:pStyle w:val="ListParagraph"/>
        <w:numPr>
          <w:ilvl w:val="0"/>
          <w:numId w:val="1"/>
        </w:numPr>
        <w:spacing w:after="70"/>
      </w:pPr>
      <w:r>
        <w:rPr>
          <w:b/>
          <w:bCs/>
        </w:rPr>
        <w:t xml:space="preserve">Elevator on record </w:t>
      </w:r>
      <w:r>
        <w:t xml:space="preserve">(DOB e5aq-a4j2, keyed by BIN/BBL) — the strongest wheelchair-access proxy for multi-story buildings.</w:t>
      </w:r>
    </w:p>
    <w:p>
      <w:pPr>
        <w:pStyle w:val="ListParagraph"/>
        <w:numPr>
          <w:ilvl w:val="0"/>
          <w:numId w:val="1"/>
        </w:numPr>
        <w:spacing w:after="70"/>
      </w:pPr>
      <w:r>
        <w:rPr>
          <w:b/>
          <w:bCs/>
        </w:rPr>
        <w:t xml:space="preserve">Walk-up inference </w:t>
      </w:r>
      <w:r>
        <w:t xml:space="preserve">(PLUTO 64uk-42ks) — no elevator record + 3+ floors or a walk-up building class → "stairs likely to reach units."</w:t>
      </w:r>
    </w:p>
    <w:p>
      <w:pPr>
        <w:pStyle w:val="ListParagraph"/>
        <w:numPr>
          <w:ilvl w:val="0"/>
          <w:numId w:val="1"/>
        </w:numPr>
        <w:spacing w:after="70"/>
      </w:pPr>
      <w:r>
        <w:rPr>
          <w:b/>
          <w:bCs/>
        </w:rPr>
        <w:t xml:space="preserve">Design-era inference </w:t>
      </w:r>
      <w:r>
        <w:t xml:space="preserve">— YearBuilt ≥ 1992 with 4+ residential units falls under the Fair Housing Act accessible-design era; ≥ 2015 falls under NYC Building Code Ch. 11 (higher confidence).</w:t>
      </w:r>
    </w:p>
    <w:p>
      <w:pPr>
        <w:pStyle w:val="ListParagraph"/>
        <w:numPr>
          <w:ilvl w:val="0"/>
          <w:numId w:val="1"/>
        </w:numPr>
        <w:spacing w:after="70"/>
      </w:pPr>
      <w:r>
        <w:rPr>
          <w:b/>
          <w:bCs/>
        </w:rPr>
        <w:t xml:space="preserve">Context chips </w:t>
      </w:r>
      <w:r>
        <w:t xml:space="preserve">— nearest ADA-accessible subway station (MTA 39hk-dx4f) and curb-ramp presence nearby (DOT ufzp-rrqu, 2019 snapshot).</w:t>
      </w:r>
    </w:p>
    <w:p>
      <w:pPr>
        <w:spacing w:after="140"/>
      </w:pPr>
      <w:r>
        <w:rPr>
          <w:i/>
          <w:iCs/>
          <w:sz w:val="18"/>
          <w:szCs w:val="18"/>
        </w:rPr>
        <w:t xml:space="preserve">Do NOT claim: a certified accessibility rating; a verified step-free path from sidewalk to unit; interior-unit features (grab bars, door widths, turning radii); or that an "Active" elevator record means it is currently operating. Every accessibility surface carries a "based on public records — verify in person" disclaimer.</w:t>
      </w:r>
    </w:p>
    <w:p>
      <w:pPr>
        <w:pStyle w:val="Heading3"/>
        <w:spacing w:after="100" w:before="200"/>
      </w:pPr>
      <w:r>
        <w:rPr>
          <w:b/>
          <w:bCs/>
          <w:sz w:val="23"/>
          <w:szCs w:val="23"/>
        </w:rPr>
        <w:t xml:space="preserve">C. Data integrity</w:t>
      </w:r>
    </w:p>
    <w:p>
      <w:pPr>
        <w:spacing w:after="140"/>
      </w:pPr>
      <w:r>
        <w:t>All statistics in this PRD were verified against primary sources (initially 2026-07-21; re-verified 2026-07-24). Correction (2026-07-24): the “761,352 residential buildings” and “~11% Class C” figures are REAL and correctly attributed to REBNY Research, “Data Over Rhetoric” (Feb 22, 2026) — the 2026-07-21 check wrongly flagged them as fabricated because that report post-dated the check; they are restored and cited (89% of the 761,352 buildings have no Class C violation over 24 months, so ~11% have at least one; in the multifamily subset of 91,918 buildings, 10% account for 80% of evictions and 50% of violations). Separately, HPD’s Housing Maintenance Code Violations dataset (wvxf-dwi5) has a native bbl column (schema position 40), which we read directly — no reconstruction from block/lot is needed. Still unverified and excluded: OpenIgloo’s “Index Ventures” backing (actual backers: Gutter Capital, MetroCap, Trend Forward) and its “$1.37M revenue / $4.4M valuation” (unverifiable aggregator estimates). See the claim-verification dossier for the full ledger.</w:t>
      </w:r>
    </w:p>
    <w:p>
      <w:pPr>
        <w:pStyle w:val="Heading3"/>
        <w:spacing w:after="100" w:before="200"/>
      </w:pPr>
      <w:r>
        <w:rPr>
          <w:b/>
          <w:bCs/>
          <w:sz w:val="23"/>
          <w:szCs w:val="23"/>
        </w:rPr>
        <w:t xml:space="preserve">D. Companion documents</w:t>
      </w:r>
    </w:p>
    <w:p>
      <w:pPr>
        <w:pStyle w:val="ListParagraph"/>
        <w:numPr>
          <w:ilvl w:val="0"/>
          <w:numId w:val="1"/>
        </w:numPr>
        <w:spacing w:after="70"/>
      </w:pPr>
      <w:r>
        <w:t xml:space="preserve">Design spec: docs/superpowers/specs/2026-07-21-housecheck-design.md</w:t>
      </w:r>
    </w:p>
    <w:p>
      <w:pPr>
        <w:pStyle w:val="ListParagraph"/>
        <w:numPr>
          <w:ilvl w:val="0"/>
          <w:numId w:val="1"/>
        </w:numPr>
        <w:spacing w:after="70"/>
      </w:pPr>
      <w:r>
        <w:t xml:space="preserve">Technical flow diagrams: docs/technical-flow.md</w:t>
      </w:r>
    </w:p>
    <w:p>
      <w:pPr>
        <w:pStyle w:val="ListParagraph"/>
        <w:numPr>
          <w:ilvl w:val="0"/>
          <w:numId w:val="1"/>
        </w:numPr>
        <w:spacing w:after="70"/>
      </w:pPr>
      <w:r>
        <w:t xml:space="preserve">Roadmap: docs/ROADMAP.md</w:t>
      </w:r>
    </w:p>
    <w:p>
      <w:pPr>
        <w:pStyle w:val="ListParagraph"/>
        <w:numPr>
          <w:ilvl w:val="0"/>
          <w:numId w:val="1"/>
        </w:numPr>
        <w:spacing w:after="70"/>
      </w:pPr>
      <w:r>
        <w:t xml:space="preserve">Delegated task list: docs/TASKS.md</w:t>
      </w:r>
    </w:p>
    <w:p>
      <w:pPr>
        <w:pStyle w:val="ListParagraph"/>
        <w:numPr>
          <w:ilvl w:val="0"/>
          <w:numId w:val="1"/>
        </w:numPr>
        <w:spacing w:after="70"/>
      </w:pPr>
      <w:r>
        <w:t xml:space="preserve">CI workflows: .github/workflows/ (ci, security, smoke)</w:t>
      </w:r>
    </w:p>
    <w:p>
      <w:pPr>
        <w:pStyle w:val="Heading3"/>
        <w:spacing w:after="100" w:before="200"/>
      </w:pPr>
      <w:r>
        <w:rPr>
          <w:b/>
          <w:bCs/>
          <w:sz w:val="23"/>
          <w:szCs w:val="23"/>
        </w:rPr>
        <w:t xml:space="preserve">E. Resolved decisions (post-review — PRD approved 2026-07-22)</w:t>
      </w:r>
    </w:p>
    <w:p>
      <w:pPr>
        <w:pStyle w:val="ListParagraph"/>
        <w:numPr>
          <w:ilvl w:val="0"/>
          <w:numId w:val="1"/>
        </w:numPr>
        <w:spacing w:after="70"/>
      </w:pPr>
      <w:r>
        <w:rPr>
          <w:b/>
          <w:bCs/>
        </w:rPr>
        <w:t xml:space="preserve">Curated set — 250 buildings: </w:t>
      </w:r>
      <w:r>
        <w:t xml:space="preserve">every residential building in Brooklyn Community District 3 (Bedford-Stuyvesant), capped at 250 by the ingest (--cd 303 --limit 250). Framed as a complete neighborhood slice, not a hand-picked list — higher trust. Scales to the full ~2,000-building CD3 as a post-grade stretch.</w:t>
      </w:r>
    </w:p>
    <w:p>
      <w:pPr>
        <w:pStyle w:val="ListParagraph"/>
        <w:numPr>
          <w:ilvl w:val="0"/>
          <w:numId w:val="1"/>
        </w:numPr>
        <w:spacing w:after="70"/>
      </w:pPr>
      <w:r>
        <w:rPr>
          <w:b/>
          <w:bCs/>
        </w:rPr>
        <w:t xml:space="preserve">Rent-stabilization wording (3-state, honest): </w:t>
      </w:r>
      <w:r>
        <w:t xml:space="preserve">(a) on DHCR record → “Likely rent-stabilized — a signal, not a legal ruling; confirm with DHCR.” (b) not found → “No record found — public lists are incomplete, so not proof it is market-rate.” (c) no data → “Unverified — ask the landlord for the DHCR rent history.” Persistent footnote: “Stabilization data is incomplete by design — a signal, not a verdict.”</w:t>
      </w:r>
    </w:p>
    <w:p>
      <w:pPr>
        <w:pStyle w:val="ListParagraph"/>
        <w:numPr>
          <w:ilvl w:val="0"/>
          <w:numId w:val="1"/>
        </w:numPr>
        <w:spacing w:after="70"/>
      </w:pPr>
      <w:r>
        <w:rPr>
          <w:b/>
          <w:bCs/>
        </w:rPr>
        <w:t>Backend hosting — Fly.io: Rust + Axum with the read-only SQLite DB baked into the Docker image (no DB service or volume), scale-to-zero. Frontend (React + Vite + Tailwind) on Vercel.</w:t>
      </w:r>
      <w:r/>
    </w:p>
    <w:p>
      <w:pPr>
        <w:pStyle w:val="ListParagraph"/>
        <w:numPr>
          <w:ilvl w:val="0"/>
          <w:numId w:val="1"/>
        </w:numPr>
        <w:spacing w:after="70"/>
      </w:pPr>
      <w:r>
        <w:rPr>
          <w:b/>
          <w:bCs/>
        </w:rPr>
        <w:t>Frontend framework — React + Vite + Tailwind + shadcn/ui over the Axum API (originally specced Dioxus 0.6; the team shipped React). Topcoat evaluated and deferred (too early; full-stack, wants to own the server).</w:t>
      </w:r>
      <w:r/>
    </w:p>
    <w:p>
      <w:pPr>
        <w:pStyle w:val="Heading3"/>
        <w:spacing w:after="100" w:before="200"/>
      </w:pPr>
      <w:r>
        <w:rPr>
          <w:b/>
          <w:bCs/>
          <w:sz w:val="23"/>
          <w:szCs w:val="23"/>
        </w:rPr>
        <w:t xml:space="preserve">F. Deployment &amp; cost (within the $20–50 budget)</w:t>
      </w:r>
    </w:p>
    <w:p>
      <w:pPr>
        <w:pStyle w:val="ListParagraph"/>
        <w:numPr>
          <w:ilvl w:val="0"/>
          <w:numId w:val="1"/>
        </w:numPr>
        <w:spacing w:after="70"/>
      </w:pPr>
      <w:r>
        <w:rPr>
          <w:b/>
          <w:bCs/>
        </w:rPr>
        <w:t xml:space="preserve">Live API — deployed on Fly.io: </w:t>
      </w:r>
      <w:r>
        <w:t xml:space="preserve">https://housecheck-nessa.fly.dev (region ewr, scale-to-zero, read-only DB baked into the image). Verified serving real data.</w:t>
      </w:r>
    </w:p>
    <w:p>
      <w:pPr>
        <w:pStyle w:val="ListParagraph"/>
        <w:numPr>
          <w:ilvl w:val="0"/>
          <w:numId w:val="1"/>
        </w:numPr>
        <w:spacing w:after="70"/>
      </w:pPr>
      <w:r>
        <w:rPr>
          <w:b/>
          <w:bCs/>
        </w:rPr>
        <w:t xml:space="preserve">Data APIs = $0: </w:t>
      </w:r>
      <w:r>
        <w:t xml:space="preserve">NYC Open Data / Socrata (HPD, 311, DOB, DOHMH, MTA — keyless), US Census ACS (free key), GeoSearch address→BBL (keyless). Ingest API cost: $0.</w:t>
      </w:r>
    </w:p>
    <w:p>
      <w:pPr>
        <w:pStyle w:val="ListParagraph"/>
        <w:numPr>
          <w:ilvl w:val="0"/>
          <w:numId w:val="1"/>
        </w:numPr>
        <w:spacing w:after="70"/>
      </w:pPr>
      <w:r>
        <w:rPr>
          <w:b/>
          <w:bCs/>
        </w:rPr>
        <w:t xml:space="preserve">Hosting: </w:t>
      </w:r>
      <w:r>
        <w:t xml:space="preserve">Fly.io ~$0–5/month (scale-to-zero). Map tiles via MapLibre GL + Protomaps pmtiles = $0, no key (no Mapbox).</w:t>
      </w:r>
    </w:p>
    <w:p>
      <w:pPr>
        <w:pStyle w:val="ListParagraph"/>
        <w:numPr>
          <w:ilvl w:val="0"/>
          <w:numId w:val="1"/>
        </w:numPr>
        <w:spacing w:after="70"/>
      </w:pPr>
      <w:r>
        <w:rPr>
          <w:b/>
          <w:bCs/>
        </w:rPr>
        <w:t xml:space="preserve">Secrets (OS keychain locally / Fly secrets in prod, never in the repo): </w:t>
      </w:r>
      <w:r>
        <w:t xml:space="preserve">CENSUS_API_KEY (required); NYC_APP_TOKEN (free Socrata app token, recommended to avoid rate limits).</w:t>
      </w:r>
    </w:p>
    <w:p>
      <w:pPr>
        <w:pStyle w:val="ListParagraph"/>
        <w:numPr>
          <w:ilvl w:val="0"/>
          <w:numId w:val="1"/>
        </w:numPr>
        <w:spacing w:after="70"/>
      </w:pPr>
      <w:r>
        <w:rPr>
          <w:b/>
          <w:bCs/>
        </w:rPr>
        <w:t xml:space="preserve">Total ≈ &lt; $10/month </w:t>
      </w:r>
      <w:r>
        <w:t xml:space="preserve">— well within budget. Optional P2: an LLM “what this means for you” card summary via the team’s OpenRouter free model (~$0).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2026-07-23T18:34:42.550Z</dcterms:created>
  <dcterms:modified xsi:type="dcterms:W3CDTF">2026-07-23T18:34:42.556Z</dcterms:modified>
</cp:coreProperties>
</file>

<file path=docProps/custom.xml><?xml version="1.0" encoding="utf-8"?>
<Properties xmlns="http://schemas.openxmlformats.org/officeDocument/2006/custom-properties" xmlns:vt="http://schemas.openxmlformats.org/officeDocument/2006/docPropsVTypes"/>
</file>