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eyebrow"/>
        <w:bidi w:val="0"/>
        <w:jc w:val="start"/>
        <w:rPr/>
      </w:pPr>
      <w:r>
        <w:rPr/>
        <w:t>HOUSECHECK · SOLUTION DESIGN SPRINT</w:t>
      </w:r>
    </w:p>
    <w:p>
      <w:pPr>
        <w:pStyle w:val="BodyTextcover-h"/>
        <w:bidi w:val="0"/>
        <w:jc w:val="start"/>
        <w:rPr/>
      </w:pPr>
      <w:r>
        <w:rPr/>
        <w:t>Three Sketches, One Commitment</w:t>
      </w:r>
    </w:p>
    <w:p>
      <w:pPr>
        <w:pStyle w:val="BodyTextlede"/>
        <w:bidi w:val="0"/>
        <w:jc w:val="start"/>
        <w:rPr/>
      </w:pPr>
      <w:r>
        <w:rPr/>
        <w:t>The simplest solution, the full-featured one, and the one that inverts who pays — then the decision, and an MVP scoped to a single core feature.</w:t>
      </w:r>
    </w:p>
    <w:p>
      <w:pPr>
        <w:pStyle w:val="BodyTextmeta"/>
        <w:bidi w:val="0"/>
        <w:jc w:val="start"/>
        <w:rPr/>
      </w:pPr>
      <w:r>
        <w:rPr/>
        <w:t>Aisling · Pursuit L2 Cycle 4 · 9 August 2026</w:t>
      </w:r>
    </w:p>
    <w:p>
      <w:pPr>
        <w:pStyle w:val="BlockQuotation"/>
        <w:bidi w:val="0"/>
        <w:jc w:val="start"/>
        <w:rPr>
          <w:b/>
        </w:rPr>
      </w:pPr>
      <w:r>
        <w:rPr>
          <w:b/>
        </w:rPr>
        <w:t>STANDARD USED THROUGHOUT</w:t>
      </w:r>
    </w:p>
    <w:p>
      <w:pPr>
        <w:pStyle w:val="BlockQuotation"/>
        <w:bidi w:val="0"/>
        <w:jc w:val="start"/>
        <w:rPr/>
      </w:pPr>
      <w:r>
        <w:rPr/>
        <w:t>Every figure carries its source, and anything derived rather than measured says so. The storage arithmetic is explicitly flagged as arithmetic. Where a solution is rejected, the reason is a named blocker rather than a preference — and the kill conditions for the unconventional sketch are stated in full rather than softened.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Sketch 1 — The simplest thing that could work</w:t>
      </w:r>
    </w:p>
    <w:p>
      <w:pPr>
        <w:pStyle w:val="BodyText"/>
        <w:bidi w:val="0"/>
        <w:jc w:val="start"/>
        <w:rPr/>
      </w:pPr>
      <w:r>
        <w:rPr>
          <w:b/>
        </w:rPr>
        <w:t>One interaction, and it already ships.</w:t>
      </w:r>
      <w:r>
        <w:rPr/>
        <w:t xml:space="preserve"> Type an address, open the Health Card. The only change: the Condition pillar expands into the violations behind the number.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1898"/>
        <w:gridCol w:w="7847"/>
      </w:tblGrid>
      <w:tr>
        <w:trPr/>
        <w:tc>
          <w:tcPr>
            <w:tcW w:w="1898" w:type="dxa"/>
            <w:tcBorders/>
            <w:vAlign w:val="center"/>
          </w:tcPr>
          <w:p>
            <w:pPr>
              <w:pStyle w:val="TableHeading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847" w:type="dxa"/>
            <w:tcBorders/>
            <w:vAlign w:val="center"/>
          </w:tcPr>
          <w:p>
            <w:pPr>
              <w:pStyle w:val="TableHeading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User does</w:t>
            </w:r>
          </w:p>
        </w:tc>
        <w:tc>
          <w:tcPr>
            <w:tcW w:w="7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Types an address, taps the Condition score</w:t>
            </w:r>
          </w:p>
        </w:tc>
      </w:tr>
      <w:tr>
        <w:trPr/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Product does</w:t>
            </w:r>
          </w:p>
        </w:tc>
        <w:tc>
          <w:tcPr>
            <w:tcW w:w="7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Lists every open violation: class, published notice text, date</w:t>
            </w:r>
          </w:p>
        </w:tc>
      </w:tr>
      <w:tr>
        <w:trPr/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Result</w:t>
            </w:r>
          </w:p>
        </w:tc>
        <w:tc>
          <w:tcPr>
            <w:tcW w:w="7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"7 open Class C" becomes seven readable lines they can select and copy</w:t>
            </w:r>
          </w:p>
        </w:tc>
      </w:tr>
    </w:tbl>
    <w:p>
      <w:pPr>
        <w:pStyle w:val="Heading3"/>
        <w:bidi w:val="0"/>
        <w:jc w:val="start"/>
        <w:rPr/>
      </w:pPr>
      <w:r>
        <w:rPr/>
        <w:t>Why it is easy</w:t>
      </w:r>
    </w:p>
    <w:p>
      <w:pPr>
        <w:pStyle w:val="BodyText"/>
        <w:bidi w:val="0"/>
        <w:jc w:val="start"/>
        <w:rPr/>
      </w:pPr>
      <w:r>
        <w:rPr/>
        <w:t xml:space="preserve">Measured before claiming it — 800 rows sampled live from HPD </w:t>
      </w:r>
      <w:r>
        <w:rPr>
          <w:rStyle w:val="SourceText"/>
        </w:rPr>
        <w:t>wvxf-dwi5</w:t>
      </w:r>
      <w:r>
        <w:rPr/>
        <w:t>: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4606"/>
        <w:gridCol w:w="5139"/>
      </w:tblGrid>
      <w:tr>
        <w:trPr/>
        <w:tc>
          <w:tcPr>
            <w:tcW w:w="4606" w:type="dxa"/>
            <w:tcBorders/>
            <w:vAlign w:val="center"/>
          </w:tcPr>
          <w:p>
            <w:pPr>
              <w:pStyle w:val="TableHeading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139" w:type="dxa"/>
            <w:tcBorders/>
            <w:vAlign w:val="center"/>
          </w:tcPr>
          <w:p>
            <w:pPr>
              <w:pStyle w:val="TableHeading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Rows carrying </w:t>
            </w:r>
            <w:r>
              <w:rPr>
                <w:rStyle w:val="SourceText"/>
              </w:rPr>
              <w:t>novdescription</w:t>
            </w:r>
          </w:p>
        </w:tc>
        <w:tc>
          <w:tcPr>
            <w:tcW w:w="513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800 / 800 — 100% populated</w:t>
            </w:r>
          </w:p>
        </w:tc>
      </w:tr>
      <w:tr>
        <w:trPr/>
        <w:tc>
          <w:tcPr>
            <w:tcW w:w="4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Mean / median length</w:t>
            </w:r>
          </w:p>
        </w:tc>
        <w:tc>
          <w:tcPr>
            <w:tcW w:w="5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 / 115 chars</w:t>
            </w:r>
          </w:p>
        </w:tc>
      </w:tr>
      <w:tr>
        <w:trPr/>
        <w:tc>
          <w:tcPr>
            <w:tcW w:w="4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p90 / max</w:t>
            </w:r>
          </w:p>
        </w:tc>
        <w:tc>
          <w:tcPr>
            <w:tcW w:w="5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161 / 258 chars</w:t>
            </w:r>
          </w:p>
        </w:tc>
      </w:tr>
      <w:tr>
        <w:trPr/>
        <w:tc>
          <w:tcPr>
            <w:tcW w:w="4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Distinct texts</w:t>
            </w:r>
          </w:p>
        </w:tc>
        <w:tc>
          <w:tcPr>
            <w:tcW w:w="5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83% unique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The build is one column added to the SoQL select, one field on </w:t>
      </w:r>
      <w:r>
        <w:rPr>
          <w:rStyle w:val="SourceText"/>
        </w:rPr>
        <w:t>Violation</w:t>
      </w:r>
      <w:r>
        <w:rPr/>
        <w:t xml:space="preserve"> (currently </w:t>
      </w:r>
      <w:r>
        <w:rPr>
          <w:rStyle w:val="SourceText"/>
        </w:rPr>
        <w:t>{ class, open, year }</w:t>
      </w:r>
      <w:r>
        <w:rPr/>
        <w:t xml:space="preserve">), one render block in a section that already exists. </w:t>
      </w:r>
      <w:r>
        <w:rPr>
          <w:b/>
        </w:rPr>
        <w:t>Scoring is untouched</w:t>
      </w:r>
      <w:r>
        <w:rPr/>
        <w:t xml:space="preserve"> — descriptions are display-only, so the number cannot move, and the work the audit did to make it correct is not at risk. No migration, because there are no accounts. Reversible.</w:t>
      </w:r>
    </w:p>
    <w:p>
      <w:pPr>
        <w:pStyle w:val="Heading3"/>
        <w:bidi w:val="0"/>
        <w:jc w:val="start"/>
        <w:rPr/>
      </w:pPr>
      <w:r>
        <w:rPr/>
        <w:t>What it misses</w:t>
      </w:r>
    </w:p>
    <w:p>
      <w:pPr>
        <w:pStyle w:val="BodyText"/>
        <w:bidi w:val="0"/>
        <w:jc w:val="start"/>
        <w:rPr/>
      </w:pPr>
      <w:r>
        <w:rPr>
          <w:b/>
        </w:rPr>
        <w:t>1. It costs two-thirds of the remaining coverage headroom.</w:t>
      </w:r>
      <w:r>
        <w:rPr/>
        <w:t xml:space="preserve"> 26,306 violations × ~120 chars ≈ </w:t>
      </w:r>
      <w:r>
        <w:rPr>
          <w:b/>
        </w:rPr>
        <w:t>3.2 MB of text</w:t>
      </w:r>
      <w:r>
        <w:rPr/>
        <w:t xml:space="preserve"> against a 1.3 MB artifact.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5633"/>
        <w:gridCol w:w="1477"/>
        <w:gridCol w:w="2635"/>
      </w:tblGrid>
      <w:tr>
        <w:trPr/>
        <w:tc>
          <w:tcPr>
            <w:tcW w:w="5633" w:type="dxa"/>
            <w:tcBorders/>
            <w:vAlign w:val="center"/>
          </w:tcPr>
          <w:p>
            <w:pPr>
              <w:pStyle w:val="TableHeading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TableHeading"/>
              <w:suppressLineNumbers/>
              <w:shd w:fill="3A3A3C" w:val="clear"/>
              <w:bidi w:val="0"/>
              <w:jc w:val="start"/>
              <w:rPr/>
            </w:pPr>
            <w:r>
              <w:rPr/>
              <w:t>Before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Heading"/>
              <w:suppressLineNumbers/>
              <w:shd w:fill="3A3A3C" w:val="clear"/>
              <w:bidi w:val="0"/>
              <w:jc w:val="start"/>
              <w:rPr/>
            </w:pPr>
            <w:r>
              <w:rPr/>
              <w:t>After (derived)</w:t>
            </w:r>
          </w:p>
        </w:tc>
      </w:tr>
      <w:tr>
        <w:trPr/>
        <w:tc>
          <w:tcPr>
            <w:tcW w:w="56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 building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~5.2 KB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~17.6 KB</w:t>
            </w:r>
          </w:p>
        </w:tc>
      </w:tr>
      <w:tr>
        <w:trPr/>
        <w:tc>
          <w:tcPr>
            <w:tcW w:w="56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Buildings before the 256 MB VM breaks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~40,000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~14,500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The cheapest fix to the committed problem and the coverage requirement are in direct competition. Nothing in the earlier analysis surfaced this.</w:t>
      </w:r>
    </w:p>
    <w:p>
      <w:pPr>
        <w:pStyle w:val="BodyText"/>
        <w:bidi w:val="0"/>
        <w:jc w:val="start"/>
        <w:rPr/>
      </w:pPr>
      <w:r>
        <w:rPr>
          <w:b/>
        </w:rPr>
        <w:t>2. It is not plain English.</w:t>
      </w:r>
      <w:r>
        <w:rPr/>
        <w:t xml:space="preserve"> Actual sample:</w:t>
      </w:r>
    </w:p>
    <w:p>
      <w:pPr>
        <w:pStyle w:val="BlockQuotation"/>
        <w:bidi w:val="0"/>
        <w:jc w:val="start"/>
        <w:rPr/>
      </w:pPr>
      <w:r>
        <w:rPr>
          <w:rStyle w:val="SourceText"/>
        </w:rPr>
        <w:t>§ 12 M/D LAW DISCONTINUE THE STORAGE OF COMBUSTIBLE MATERIAL 100 CUBIC YARDS AT GASMETER ROOM AT CELLAR, SECTION AT WEST</w:t>
      </w:r>
    </w:p>
    <w:p>
      <w:pPr>
        <w:pStyle w:val="BodyText"/>
        <w:bidi w:val="0"/>
        <w:jc w:val="start"/>
        <w:rPr/>
      </w:pPr>
      <w:r>
        <w:rPr/>
        <w:t xml:space="preserve">All caps, statute-prefixed, location-suffixed. </w:t>
      </w:r>
      <w:r>
        <w:rPr>
          <w:b/>
        </w:rPr>
        <w:t>Ideal for the attorney</w:t>
      </w:r>
      <w:r>
        <w:rPr/>
        <w:t xml:space="preserve"> — it is what goes in the petition. </w:t>
      </w:r>
      <w:r>
        <w:rPr>
          <w:b/>
        </w:rPr>
        <w:t>Barely better than a count for the renter.</w:t>
      </w:r>
      <w:r>
        <w:rPr/>
        <w:t xml:space="preserve"> So the simplest solution serves the committed user and does nothing for the mission user.</w:t>
      </w:r>
    </w:p>
    <w:p>
      <w:pPr>
        <w:pStyle w:val="BodyText"/>
        <w:bidi w:val="0"/>
        <w:jc w:val="start"/>
        <w:rPr/>
      </w:pPr>
      <w:r>
        <w:rPr>
          <w:b/>
        </w:rPr>
        <w:t>3. It does not remove the copy-out.</w:t>
      </w:r>
      <w:r>
        <w:rPr/>
        <w:t xml:space="preserve"> They stop </w:t>
      </w:r>
      <w:r>
        <w:rPr>
          <w:i/>
        </w:rPr>
        <w:t>hunting</w:t>
      </w:r>
      <w:r>
        <w:rPr/>
        <w:t xml:space="preserve"> for conditions; with no export they still retype.</w:t>
      </w:r>
    </w:p>
    <w:p>
      <w:pPr>
        <w:pStyle w:val="BodyText"/>
        <w:bidi w:val="0"/>
        <w:jc w:val="start"/>
        <w:rPr/>
      </w:pPr>
      <w:r>
        <w:rPr>
          <w:b/>
        </w:rPr>
        <w:t>4. Coverage still disqualifies it.</w:t>
      </w:r>
      <w:r>
        <w:rPr/>
        <w:t xml:space="preserve"> 250 buildings in one district is not a caseload.</w:t>
      </w:r>
    </w:p>
    <w:p>
      <w:pPr>
        <w:pStyle w:val="BodyText"/>
        <w:bidi w:val="0"/>
        <w:jc w:val="start"/>
        <w:rPr/>
      </w:pPr>
      <w:r>
        <w:rPr>
          <w:b/>
        </w:rPr>
        <w:t>5. 83% unique means near-duplicates.</w:t>
      </w:r>
      <w:r>
        <w:rPr/>
        <w:t xml:space="preserve"> Ungrouped, a building with 33 violations renders as a wall of nearly identical lines differing only by room.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Sketch 2 — The full-featured version</w:t>
      </w:r>
    </w:p>
    <w:p>
      <w:pPr>
        <w:pStyle w:val="BodyText"/>
        <w:bidi w:val="0"/>
        <w:jc w:val="start"/>
        <w:rPr/>
      </w:pPr>
      <w:r>
        <w:rPr/>
        <w:t xml:space="preserve">The simple version makes a building </w:t>
      </w:r>
      <w:r>
        <w:rPr>
          <w:i/>
        </w:rPr>
        <w:t>readable</w:t>
      </w:r>
      <w:r>
        <w:rPr/>
        <w:t xml:space="preserve">. This makes it </w:t>
      </w:r>
      <w:r>
        <w:rPr>
          <w:b/>
        </w:rPr>
        <w:t>citable</w:t>
      </w:r>
      <w:r>
        <w:rPr/>
        <w:t xml:space="preserve"> — something a lawyer puts in front of a judge and opposing counsel can check.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361"/>
        <w:gridCol w:w="8089"/>
        <w:gridCol w:w="1296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shd w:fill="3A3A3C" w:val="clear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8089" w:type="dxa"/>
            <w:tcBorders/>
            <w:vAlign w:val="center"/>
          </w:tcPr>
          <w:p>
            <w:pPr>
              <w:pStyle w:val="TableHeading"/>
              <w:suppressLineNumbers/>
              <w:shd w:fill="3A3A3C" w:val="clear"/>
              <w:bidi w:val="0"/>
              <w:jc w:val="start"/>
              <w:rPr/>
            </w:pPr>
            <w:r>
              <w:rPr/>
              <w:t>Adds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TableHeading"/>
              <w:suppressLineNumbers/>
              <w:shd w:fill="3A3A3C" w:val="clear"/>
              <w:bidi w:val="0"/>
              <w:jc w:val="start"/>
              <w:rPr/>
            </w:pPr>
            <w:r>
              <w:rPr/>
              <w:t>Wound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8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Dual-register descriptions</w:t>
            </w:r>
            <w:r>
              <w:rPr/>
              <w:t xml:space="preserve"> — raw notice text preserved, plain-English condition beside it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plain English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8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Verifiable evidence export</w:t>
            </w:r>
            <w:r>
              <w:rPr/>
              <w:t xml:space="preserve"> — condition history as a document with a hash chain proving it was not edited after retrieval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copy-out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8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Per-user state</w:t>
            </w:r>
            <w:r>
              <w:rPr/>
              <w:t xml:space="preserve"> — saved buildings, caseload view, retrieval history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copy-out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8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Owner/portfolio dimension</w:t>
            </w:r>
            <w:r>
              <w:rPr/>
              <w:t xml:space="preserve"> — join HPD registration so twelve buildings resolve to one landlord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Problem 3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8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MCP server</w:t>
            </w:r>
            <w:r>
              <w:rPr/>
              <w:t xml:space="preserve"> — HouseCheck as a tool another agent calls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reach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8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Citywide coverage</w:t>
            </w:r>
            <w:r>
              <w:rPr/>
              <w:t xml:space="preserve"> — all ~180,000 HPD multifamily buildings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coverage</w:t>
            </w:r>
          </w:p>
        </w:tc>
      </w:tr>
    </w:tbl>
    <w:p>
      <w:pPr>
        <w:pStyle w:val="BodyText"/>
        <w:bidi w:val="0"/>
        <w:jc w:val="start"/>
        <w:rPr/>
      </w:pPr>
      <w:r>
        <w:rPr>
          <w:b/>
        </w:rPr>
        <w:t>#2 is the one worth defending.</w:t>
      </w:r>
      <w:r>
        <w:rPr/>
        <w:t xml:space="preserve"> A count they hand-copy is unverifiable hearsay. A signed packet is an exhibit.</w:t>
      </w:r>
    </w:p>
    <w:p>
      <w:pPr>
        <w:pStyle w:val="Heading3"/>
        <w:bidi w:val="0"/>
        <w:jc w:val="start"/>
        <w:rPr/>
      </w:pPr>
      <w:r>
        <w:rPr/>
        <w:t>What it draws from earlier cycles</w:t>
      </w:r>
    </w:p>
    <w:p>
      <w:pPr>
        <w:pStyle w:val="BodyText"/>
        <w:bidi w:val="0"/>
        <w:jc w:val="start"/>
        <w:rPr/>
      </w:pPr>
      <w:r>
        <w:rPr>
          <w:b/>
        </w:rPr>
        <w:t>Cycle 2 · SiteAssure is the architecture of #2, not an analogy.</w:t>
      </w:r>
      <w:r>
        <w:rPr/>
        <w:t xml:space="preserve"> It already implements </w:t>
      </w:r>
      <w:r>
        <w:rPr>
          <w:rStyle w:val="SourceText"/>
        </w:rPr>
        <w:t>entry_hash = sha256(prev_hash + payload_hash)</w:t>
      </w:r>
      <w:r>
        <w:rPr/>
        <w:t xml:space="preserve">, append-only, re-walked by </w:t>
      </w:r>
      <w:r>
        <w:rPr>
          <w:rStyle w:val="SourceText"/>
        </w:rPr>
        <w:t>verify()</w:t>
      </w:r>
      <w:r>
        <w:rPr/>
        <w:t xml:space="preserve">, and its </w:t>
      </w:r>
      <w:r>
        <w:rPr>
          <w:rStyle w:val="SourceText"/>
        </w:rPr>
        <w:t>DATA_POLICY.md</w:t>
      </w:r>
      <w:r>
        <w:rPr/>
        <w:t xml:space="preserve"> already designs a redacted export packet for a third-party reader. That reader was an OSHA inspector who has to be able to disbelieve the supervisor and check. </w:t>
      </w:r>
      <w:r>
        <w:rPr>
          <w:b/>
        </w:rPr>
        <w:t>A housing court judge is the same reader</w:t>
      </w:r>
      <w:r>
        <w:rPr/>
        <w:t xml:space="preserve"> — the audience designed for in Cycle 2 and the audience committed to in Cycle 4 are the same shape.</w:t>
      </w:r>
    </w:p>
    <w:p>
      <w:pPr>
        <w:pStyle w:val="BodyText"/>
        <w:bidi w:val="0"/>
        <w:jc w:val="start"/>
        <w:rPr/>
      </w:pPr>
      <w:r>
        <w:rPr>
          <w:b/>
        </w:rPr>
        <w:t>Cycle 1 · Resona supplies the signing.</w:t>
      </w:r>
      <w:r>
        <w:rPr/>
        <w:t xml:space="preserve"> Its license check was rebuilt this cycle on Ed25519 (</w:t>
      </w:r>
      <w:r>
        <w:rPr>
          <w:rStyle w:val="SourceText"/>
        </w:rPr>
        <w:t>ed25519-dalek</w:t>
      </w:r>
      <w:r>
        <w:rPr/>
        <w:t xml:space="preserve">, </w:t>
      </w:r>
      <w:r>
        <w:rPr>
          <w:rStyle w:val="SourceText"/>
        </w:rPr>
        <w:t>verify_license_with(public_key_hex, key)</w:t>
      </w:r>
      <w:r>
        <w:rPr/>
        <w:t>), verifying offline against a compiled-in public key. Directly reusable for signing an export.</w:t>
      </w:r>
    </w:p>
    <w:p>
      <w:pPr>
        <w:pStyle w:val="BodyText"/>
        <w:bidi w:val="0"/>
        <w:jc w:val="start"/>
        <w:rPr/>
      </w:pPr>
      <w:r>
        <w:rPr>
          <w:b/>
        </w:rPr>
        <w:t>Cycle 3 · Ziqpu supplies scale-out and MCP.</w:t>
      </w:r>
      <w:r>
        <w:rPr/>
        <w:t xml:space="preserve"> Seven crates, Postgres 16, a 69,458-city gazetteer, 12 release tags, 3-OS CI — the only one of the four that has moved a large dataset into a real database. Citywide coverage is a Ziqpu-shaped problem, and its MCP server makes #5 a pattern already implemented rather than invented.</w:t>
      </w:r>
    </w:p>
    <w:p>
      <w:pPr>
        <w:pStyle w:val="Heading3"/>
        <w:bidi w:val="0"/>
        <w:jc w:val="start"/>
        <w:rPr/>
      </w:pPr>
      <w:r>
        <w:rPr/>
        <w:t>Why it is hard in two weeks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Coverage and descriptions fight each other.</w:t>
      </w:r>
      <w:r>
        <w:rPr/>
        <w:t xml:space="preserve"> Doing #1 and #6 together forces #6 to abandon the baked-artifact design — Postgres, a DB server, pooling, backups, secrets. That deletes the property the deck sells: </w:t>
      </w:r>
      <w:r>
        <w:rPr>
          <w:i/>
        </w:rPr>
        <w:t>no DB server to breach, no write path to abuse.</w:t>
      </w:r>
      <w:r>
        <w:rPr/>
        <w:t xml:space="preserve"> An architectural inversion, not an increment.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Per-user state is the wall hit four times.</w:t>
      </w:r>
      <w:r>
        <w:rPr/>
        <w:t xml:space="preserve"> A grep for </w:t>
      </w:r>
      <w:r>
        <w:rPr>
          <w:rStyle w:val="SourceText"/>
        </w:rPr>
        <w:t>login</w:t>
      </w:r>
      <w:r>
        <w:rPr/>
        <w:t xml:space="preserve">, </w:t>
      </w:r>
      <w:r>
        <w:rPr>
          <w:rStyle w:val="SourceText"/>
        </w:rPr>
        <w:t>jwt</w:t>
      </w:r>
      <w:r>
        <w:rPr/>
        <w:t xml:space="preserve">, </w:t>
      </w:r>
      <w:r>
        <w:rPr>
          <w:rStyle w:val="SourceText"/>
        </w:rPr>
        <w:t>session</w:t>
      </w:r>
      <w:r>
        <w:rPr/>
        <w:t xml:space="preserve">, </w:t>
      </w:r>
      <w:r>
        <w:rPr>
          <w:rStyle w:val="SourceText"/>
        </w:rPr>
        <w:t>user_id</w:t>
      </w:r>
      <w:r>
        <w:rPr/>
        <w:t xml:space="preserve"> returns no implementation in any of the four cycles. And on a lawyer's tool, a saved caseload is client-adjacent data.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The hash chain is only as good as what it attests.</w:t>
      </w:r>
      <w:r>
        <w:rPr/>
        <w:t xml:space="preserve"> SiteAssure's chain proves the log was not edited. It does </w:t>
      </w:r>
      <w:r>
        <w:rPr>
          <w:b/>
        </w:rPr>
        <w:t>not</w:t>
      </w:r>
      <w:r>
        <w:rPr/>
        <w:t xml:space="preserve"> prove the data matched HPD at retrieval. That needs the ingest to record dataset version and retrieval timestamp per row.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Plain-English mapping is where this could do harm.</w:t>
      </w:r>
      <w:r>
        <w:rPr/>
        <w:t xml:space="preserve"> Either an LLM pass over 26,306 violations or a hand-built code→condition table validated by a housing lawyer. A wrong rendering on a legal-rights tool is exactly what the Guardrails work exists to prevent.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Six subsystems, two weeks, one developer buys two.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Sketch 3 — The unconventional one</w:t>
      </w:r>
    </w:p>
    <w:p>
      <w:pPr>
        <w:pStyle w:val="BodyText"/>
        <w:bidi w:val="0"/>
        <w:jc w:val="start"/>
        <w:rPr/>
      </w:pPr>
      <w:r>
        <w:rPr/>
        <w:t xml:space="preserve">From Research Notes §6: </w:t>
      </w:r>
      <w:r>
        <w:rPr>
          <w:i/>
        </w:rPr>
        <w:t>willingness to pay runs opposite to alignment.</w:t>
      </w:r>
      <w:r>
        <w:rPr/>
        <w:t xml:space="preserve"> Rentlogic's answer was to sell certification badges to landlords, and it inherits a fatal flaw — </w:t>
      </w:r>
      <w:r>
        <w:rPr>
          <w:b/>
        </w:rPr>
        <w:t>a landlord buys the badge to advertise a good grade, so the buildings a renter most needs warning about are never customers.</w:t>
      </w:r>
    </w:p>
    <w:p>
      <w:pPr>
        <w:pStyle w:val="BlockQuotation"/>
        <w:bidi w:val="0"/>
        <w:jc w:val="start"/>
        <w:rPr>
          <w:b/>
        </w:rPr>
      </w:pPr>
      <w:r>
        <w:rPr>
          <w:b/>
        </w:rPr>
        <w:t>Do not sell the landlord a badge. Sell them the right of reply — and publish their silence.</w:t>
      </w:r>
    </w:p>
    <w:p>
      <w:pPr>
        <w:pStyle w:val="BodyText"/>
        <w:bidi w:val="0"/>
        <w:jc w:val="start"/>
        <w:rPr/>
      </w:pPr>
      <w:r>
        <w:rPr/>
        <w:t xml:space="preserve">HouseCheck stops being a scoring product and becomes </w:t>
      </w:r>
      <w:r>
        <w:rPr>
          <w:b/>
        </w:rPr>
        <w:t>a public ledger of promises against outcomes.</w:t>
      </w:r>
    </w:p>
    <w:p>
      <w:pPr>
        <w:pStyle w:val="BlockQuotation"/>
        <w:bidi w:val="0"/>
        <w:jc w:val="start"/>
        <w:rPr/>
      </w:pPr>
      <w:r>
        <w:rPr>
          <w:b/>
        </w:rPr>
        <w:t>Class C · no heat · opened 14 Mar</w:t>
      </w:r>
      <w:r>
        <w:rPr/>
        <w:t xml:space="preserve"> </w:t>
      </w:r>
      <w:r>
        <w:rPr>
          <w:i/>
        </w:rPr>
        <w:t>Landlord response, 2 Apr:</w:t>
      </w:r>
      <w:r>
        <w:rPr/>
        <w:t xml:space="preserve"> "Boiler replaced, contractor invoice on file." </w:t>
      </w:r>
      <w:r>
        <w:rPr>
          <w:i/>
        </w:rPr>
        <w:t>HPD record, 19 Jun:</w:t>
      </w:r>
      <w:r>
        <w:rPr/>
        <w:t xml:space="preserve"> still open. </w:t>
      </w:r>
      <w:r>
        <w:rPr>
          <w:b/>
        </w:rPr>
        <w:t>78 days.</w:t>
      </w:r>
    </w:p>
    <w:p>
      <w:pPr>
        <w:pStyle w:val="BodyText"/>
        <w:bidi w:val="0"/>
        <w:jc w:val="start"/>
        <w:rPr/>
      </w:pPr>
      <w:r>
        <w:rPr/>
        <w:t xml:space="preserve">The landlord pays to attach a response. They cannot delete or edit the city's record, and cannot edit their own response once posted — appended, timestamped, hash-chained. Later HPD data confirms or contradicts it automatically. </w:t>
      </w:r>
      <w:r>
        <w:rPr>
          <w:b/>
        </w:rPr>
        <w:t>And a landlord who says nothing appears as "no response" against every open violation: silence becomes a published data point.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2307"/>
        <w:gridCol w:w="2684"/>
        <w:gridCol w:w="4754"/>
      </w:tblGrid>
      <w:tr>
        <w:trPr/>
        <w:tc>
          <w:tcPr>
            <w:tcW w:w="2307" w:type="dxa"/>
            <w:tcBorders/>
            <w:vAlign w:val="center"/>
          </w:tcPr>
          <w:p>
            <w:pPr>
              <w:pStyle w:val="TableHeading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TableHeading"/>
              <w:suppressLineNumbers/>
              <w:shd w:fill="3A3A3C" w:val="clear"/>
              <w:bidi w:val="0"/>
              <w:jc w:val="start"/>
              <w:rPr/>
            </w:pPr>
            <w:r>
              <w:rPr/>
              <w:t>Sketch 2</w:t>
            </w:r>
          </w:p>
        </w:tc>
        <w:tc>
          <w:tcPr>
            <w:tcW w:w="4754" w:type="dxa"/>
            <w:tcBorders/>
            <w:vAlign w:val="center"/>
          </w:tcPr>
          <w:p>
            <w:pPr>
              <w:pStyle w:val="TableHeading"/>
              <w:suppressLineNumbers/>
              <w:shd w:fill="3A3A3C" w:val="clear"/>
              <w:bidi w:val="0"/>
              <w:jc w:val="start"/>
              <w:rPr/>
            </w:pPr>
            <w:r>
              <w:rPr/>
              <w:t>Sketch 3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Who pays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nobody (unresolved)</w:t>
            </w:r>
          </w:p>
        </w:tc>
        <w:tc>
          <w:tcPr>
            <w:tcW w:w="4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party being measured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What is scored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building's condition</w:t>
            </w:r>
          </w:p>
        </w:tc>
        <w:tc>
          <w:tcPr>
            <w:tcW w:w="47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an operator's credibility over time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Non-participation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invisible</w:t>
            </w:r>
          </w:p>
        </w:tc>
        <w:tc>
          <w:tcPr>
            <w:tcW w:w="47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the loudest signal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Adverse selection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kills the payer model</w:t>
            </w:r>
          </w:p>
        </w:tc>
        <w:tc>
          <w:tcPr>
            <w:tcW w:w="47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feeds it</w:t>
            </w:r>
          </w:p>
        </w:tc>
      </w:tr>
    </w:tbl>
    <w:p>
      <w:pPr>
        <w:pStyle w:val="Heading3"/>
        <w:bidi w:val="0"/>
        <w:jc w:val="start"/>
        <w:rPr/>
      </w:pPr>
      <w:r>
        <w:rPr/>
        <w:t>Kill conditions, named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Defamation exposure is real and not something this project is qualified to assess.</w:t>
      </w:r>
      <w:r>
        <w:rPr/>
        <w:t xml:space="preserve"> Needs a lawyer before a line of code. A hard gate, not a caveat.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Could become a landlord marketing channel</w:t>
      </w:r>
      <w:r>
        <w:rPr/>
        <w:t xml:space="preserve"> if responses are unmoderated.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Needs identity verification</w:t>
      </w:r>
      <w:r>
        <w:rPr/>
        <w:t xml:space="preserve"> — proving someone is the registered owner. None of the four cycles has that.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Needs citywide coverage</w:t>
      </w:r>
      <w:r>
        <w:rPr/>
        <w:t xml:space="preserve"> to mean anything.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Ethical hazard:</w:t>
      </w:r>
      <w:r>
        <w:rPr/>
        <w:t xml:space="preserve"> charging the measured party is structurally how credit bureaus are accused of operating. The defence is </w:t>
      </w:r>
      <w:r>
        <w:rPr>
          <w:i/>
        </w:rPr>
        <w:t>money buys speech, never the score</w:t>
      </w:r>
      <w:r>
        <w:rPr/>
        <w:t xml:space="preserve"> — and if that line cannot be held under pressure, the idea should die rather than be compromised.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Most likely to be wrong:</w:t>
      </w:r>
      <w:r>
        <w:rPr/>
        <w:t xml:space="preserve"> that landlords would pay at all. Zero evidence. One conversation with a small property manager tests 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decision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Sketch 2 as the spine — descriptions plus a verifiable export — with one element lifted out of Sketch 3 and the rest of Sketch 3 left on the shelf.</w:t>
      </w:r>
    </w:p>
    <w:p>
      <w:pPr>
        <w:pStyle w:val="BodyText"/>
        <w:bidi w:val="0"/>
        <w:jc w:val="start"/>
        <w:rPr/>
      </w:pPr>
      <w:r>
        <w:rPr/>
        <w:t xml:space="preserve">The element taken from the ledger is its </w:t>
      </w:r>
      <w:r>
        <w:rPr>
          <w:i/>
        </w:rPr>
        <w:t>insight</w:t>
      </w:r>
      <w:r>
        <w:rPr/>
        <w:t xml:space="preserve">, not its mechanism: </w:t>
      </w:r>
      <w:r>
        <w:rPr>
          <w:b/>
        </w:rPr>
        <w:t>an operator's track record is what actually matters, and part of it is computable from HPD alone.</w:t>
      </w:r>
      <w:r>
        <w:rPr/>
        <w:t xml:space="preserve"> Every violation carries an open date and, when resolved, a close date. So </w:t>
      </w:r>
      <w:r>
        <w:rPr>
          <w:b/>
        </w:rPr>
        <w:t>days open</w:t>
      </w:r>
      <w:r>
        <w:rPr/>
        <w:t xml:space="preserve"> and </w:t>
      </w:r>
      <w:r>
        <w:rPr>
          <w:b/>
        </w:rPr>
        <w:t>median time-to-close per landlord</w:t>
      </w:r>
      <w:r>
        <w:rPr/>
        <w:t xml:space="preserve"> are derived fields — no landlord participation, no identity verification, nobody's speech published.</w:t>
      </w:r>
    </w:p>
    <w:p>
      <w:pPr>
        <w:pStyle w:val="BodyText"/>
        <w:bidi w:val="0"/>
        <w:jc w:val="start"/>
        <w:rPr/>
      </w:pPr>
      <w:r>
        <w:rPr/>
        <w:t>That is the ledger's most valuable signal with none of its kill conditions. The defamation gate, the would-landlords-pay assumption and the identity subsystem all evaporate, because the city's own dates do the talking.</w:t>
      </w:r>
    </w:p>
    <w:p>
      <w:pPr>
        <w:pStyle w:val="BodyText"/>
        <w:bidi w:val="0"/>
        <w:jc w:val="start"/>
        <w:rPr/>
      </w:pPr>
      <w:r>
        <w:rPr>
          <w:b/>
        </w:rPr>
        <w:t>Not taken: the payer inversion.</w:t>
      </w:r>
      <w:r>
        <w:rPr/>
        <w:t xml:space="preserve"> The most interesting idea on this project, and it needs a lawyer before it needs a developer. Parked, not abandoned.</w:t>
      </w:r>
    </w:p>
    <w:p>
      <w:pPr>
        <w:pStyle w:val="Heading3"/>
        <w:bidi w:val="0"/>
        <w:jc w:val="start"/>
        <w:rPr/>
      </w:pPr>
      <w:r>
        <w:rPr/>
        <w:t>MVP scope — the single core feature</w:t>
      </w:r>
    </w:p>
    <w:p>
      <w:pPr>
        <w:pStyle w:val="BlockQuotation"/>
        <w:bidi w:val="0"/>
        <w:jc w:val="start"/>
        <w:rPr>
          <w:b/>
        </w:rPr>
      </w:pPr>
      <w:r>
        <w:rPr>
          <w:b/>
        </w:rPr>
        <w:t>A tenant lawyer opens a building, sees every open violation in the notice's own words with how long each has been open, and exports it as a file a stranger can independently verify was not altered after retrieval.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b/>
        </w:rPr>
        <w:t>export</w:t>
      </w:r>
      <w:r>
        <w:rPr/>
        <w:t xml:space="preserve"> is named as the core rather than the descriptions, deliberately. Descriptions alone make a better lookup — incremental, and hard to distinguish from what exists. The export changes what the tool </w:t>
      </w:r>
      <w:r>
        <w:rPr>
          <w:i/>
        </w:rPr>
        <w:t>is</w:t>
      </w:r>
      <w:r>
        <w:rPr/>
        <w:t>. And it cannot exist without the descriptions, so Sketch 1 sits inside this scope rather than beside it.</w:t>
      </w:r>
    </w:p>
    <w:p>
      <w:pPr>
        <w:pStyle w:val="BodyText"/>
        <w:bidi w:val="0"/>
        <w:jc w:val="start"/>
        <w:rPr/>
      </w:pPr>
      <w:r>
        <w:rPr>
          <w:b/>
        </w:rPr>
        <w:t>The demo moment:</w:t>
      </w:r>
      <w:r>
        <w:rPr/>
        <w:t xml:space="preserve"> export a building's record, hand the file to someone in the room, have them change one character, watch verification fail.</w:t>
      </w:r>
    </w:p>
    <w:p>
      <w:pPr>
        <w:pStyle w:val="Heading4"/>
        <w:bidi w:val="0"/>
        <w:jc w:val="start"/>
        <w:rPr/>
      </w:pPr>
      <w:r>
        <w:rPr/>
        <w:t>In scope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946"/>
        <w:gridCol w:w="8800"/>
      </w:tblGrid>
      <w:tr>
        <w:trPr/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shd w:fill="3A3A3C" w:val="clear"/>
              <w:bidi w:val="0"/>
              <w:jc w:val="start"/>
              <w:rPr/>
            </w:pPr>
            <w:r>
              <w:rPr/>
              <w:t>Area</w:t>
            </w:r>
          </w:p>
        </w:tc>
        <w:tc>
          <w:tcPr>
            <w:tcW w:w="8800" w:type="dxa"/>
            <w:tcBorders/>
            <w:vAlign w:val="center"/>
          </w:tcPr>
          <w:p>
            <w:pPr>
              <w:pStyle w:val="TableHeading"/>
              <w:suppressLineNumbers/>
              <w:shd w:fill="3A3A3C" w:val="clear"/>
              <w:bidi w:val="0"/>
              <w:jc w:val="start"/>
              <w:rPr/>
            </w:pPr>
            <w:r>
              <w:rPr/>
              <w:t>Work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Ingest</w:t>
            </w:r>
          </w:p>
        </w:tc>
        <w:tc>
          <w:tcPr>
            <w:tcW w:w="8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fetch </w:t>
            </w:r>
            <w:r>
              <w:rPr>
                <w:rStyle w:val="SourceText"/>
              </w:rPr>
              <w:t>novdescription</w:t>
            </w:r>
            <w:r>
              <w:rPr/>
              <w:t xml:space="preserve">, open/close dates; </w:t>
            </w:r>
            <w:r>
              <w:rPr>
                <w:b/>
              </w:rPr>
              <w:t>record dataset version and retrieval timestamp per row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Model</w:t>
            </w:r>
          </w:p>
        </w:tc>
        <w:tc>
          <w:tcPr>
            <w:tcW w:w="8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Violation</w:t>
            </w:r>
            <w:r>
              <w:rPr/>
              <w:t xml:space="preserve"> gains </w:t>
            </w:r>
            <w:r>
              <w:rPr>
                <w:rStyle w:val="SourceText"/>
              </w:rPr>
              <w:t>description</w:t>
            </w:r>
            <w:r>
              <w:rPr/>
              <w:t xml:space="preserve">, </w:t>
            </w:r>
            <w:r>
              <w:rPr>
                <w:rStyle w:val="SourceText"/>
              </w:rPr>
              <w:t>opened_on</w:t>
            </w:r>
            <w:r>
              <w:rPr/>
              <w:t xml:space="preserve">, </w:t>
            </w:r>
            <w:r>
              <w:rPr>
                <w:rStyle w:val="SourceText"/>
              </w:rPr>
              <w:t>closed_on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Card</w:t>
            </w:r>
          </w:p>
        </w:tc>
        <w:tc>
          <w:tcPr>
            <w:tcW w:w="8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open violations listed: class, raw notice text, </w:t>
            </w:r>
            <w:r>
              <w:rPr>
                <w:b/>
              </w:rPr>
              <w:t>days open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Derived</w:t>
            </w:r>
          </w:p>
        </w:tc>
        <w:tc>
          <w:tcPr>
            <w:tcW w:w="8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median days-to-close for this building's landlord, from HPD data only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Export</w:t>
            </w:r>
          </w:p>
        </w:tc>
        <w:tc>
          <w:tcPr>
            <w:tcW w:w="8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one document plus a hash chain over the rows, signed Ed25519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Verify</w:t>
            </w:r>
          </w:p>
        </w:tc>
        <w:tc>
          <w:tcPr>
            <w:tcW w:w="8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public checker that answers valid / tampered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The timestamp row is not bookkeeping. Without dataset version and retrieval time, the signature attests to a file rather than to a fact — security theatre.</w:t>
      </w:r>
    </w:p>
    <w:p>
      <w:pPr>
        <w:pStyle w:val="Heading4"/>
        <w:bidi w:val="0"/>
        <w:jc w:val="start"/>
        <w:rPr/>
      </w:pPr>
      <w:r>
        <w:rPr/>
        <w:t>Explicitly out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Plain-English normalisation.</w:t>
      </w:r>
      <w:r>
        <w:rPr/>
        <w:t xml:space="preserve"> The wound stays open on purpose; validating it needs a housing lawyer, not a sprint.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Accounts and saved caseload — the four-cycle gap, too big to bolt on here.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Citywide coverage — descriptions already move the ceiling to ~14,500 buildings. Fine at 250, but it must be </w:t>
      </w:r>
      <w:r>
        <w:rPr>
          <w:b/>
        </w:rPr>
        <w:t>stated</w:t>
      </w:r>
      <w:r>
        <w:rPr/>
        <w:t>, not discovered.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Owner/portfolio join, and everything landlord-facing.</w:t>
      </w:r>
    </w:p>
    <w:p>
      <w:pPr>
        <w:pStyle w:val="Heading3"/>
        <w:bidi w:val="0"/>
        <w:jc w:val="start"/>
        <w:rPr/>
      </w:pPr>
      <w:r>
        <w:rPr/>
        <w:t>What would prove this wrong, cheaply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One call to a Legal Aid attorney.</w:t>
      </w:r>
      <w:r>
        <w:rPr/>
        <w:t xml:space="preserve"> If the count is sufficient, or an exported file does not fit how a case is actually built, the core feature is aimed at nothing. This should happen </w:t>
      </w:r>
      <w:r>
        <w:rPr>
          <w:i/>
        </w:rPr>
        <w:t>before</w:t>
      </w:r>
      <w:r>
        <w:rPr/>
        <w:t xml:space="preserve"> the ingest change.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One real ingest with descriptions on the 250</w:t>
      </w:r>
      <w:r>
        <w:rPr/>
        <w:t>, and read the actual file size, rather than trusting the arithmetic above.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this sprint added that was not known before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novdescription</w:t>
      </w:r>
      <w:r>
        <w:rPr/>
        <w:t xml:space="preserve"> is </w:t>
      </w:r>
      <w:r>
        <w:rPr>
          <w:b/>
        </w:rPr>
        <w:t>100% populated</w:t>
      </w:r>
      <w:r>
        <w:rPr/>
        <w:t>, mean 120 chars — the feature is viable, measured rather than assumed.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text is </w:t>
      </w:r>
      <w:r>
        <w:rPr>
          <w:b/>
        </w:rPr>
        <w:t>the notice's own language</w:t>
      </w:r>
      <w:r>
        <w:rPr/>
        <w:t>, which serves the attorney and not the renter. That splits what looked like one feature into two.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Descriptions cost </w:t>
      </w:r>
      <w:r>
        <w:rPr>
          <w:b/>
        </w:rPr>
        <w:t>~3.4× the artifact</w:t>
      </w:r>
      <w:r>
        <w:rPr/>
        <w:t>, moving the coverage ceiling from ~40,000 buildings to ~14,500. The cheapest fix to the committed problem spends most of the remaining headroom.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Days-open is free.</w:t>
      </w:r>
      <w:r>
        <w:rPr/>
        <w:t xml:space="preserve"> It falls out of data already ingested and gives an operator-level signal with no legal exposure. This is the single best value-per-effort item found.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/>
        <w:t xml:space="preserve">SiteAssure's verifier audience and HouseCheck's committed user </w:t>
      </w:r>
      <w:r>
        <w:rPr>
          <w:b/>
        </w:rPr>
        <w:t>are the same shape</w:t>
      </w:r>
      <w:r>
        <w:rPr/>
        <w:t>, which makes an entire prior cycle reusable rather than merely referenced.</w:t>
      </w:r>
    </w:p>
    <w:sectPr>
      <w:type w:val="nextPage"/>
      <w:pgSz w:w="12240" w:h="15840"/>
      <w:pgMar w:left="1247" w:right="1247" w:gutter="0" w:header="0" w:top="1134" w:footer="0" w:bottom="124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eorgia">
    <w:charset w:val="01" w:characterSet="utf-8"/>
    <w:family w:val="auto"/>
    <w:pitch w:val="default"/>
  </w:font>
  <w:font w:name="Segoe UI">
    <w:charset w:val="01" w:characterSet="utf-8"/>
    <w:family w:val="auto"/>
    <w:pitch w:val="default"/>
  </w:font>
  <w:font w:name="Consolas"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6"/>
    </w:pPr>
    <w:rPr>
      <w:rFonts w:ascii="Georgia" w:hAnsi="Georgia" w:eastAsia="Georgia" w:cs="Georgia"/>
      <w:color w:val="1C1C1E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pageBreakBefore/>
      <w:spacing w:before="240" w:after="80"/>
      <w:outlineLvl w:val="0"/>
    </w:pPr>
    <w:rPr>
      <w:rFonts w:ascii="Segoe UI" w:hAnsi="Segoe UI" w:eastAsia="Segoe UI" w:cs="Segoe UI"/>
      <w:b/>
      <w:bCs/>
      <w:color w:val="1C1C1E"/>
      <w:sz w:val="40"/>
      <w:szCs w:val="40"/>
    </w:rPr>
  </w:style>
  <w:style w:type="paragraph" w:styleId="Heading2">
    <w:name w:val="heading 2"/>
    <w:basedOn w:val="Heading"/>
    <w:next w:val="BodyText"/>
    <w:qFormat/>
    <w:pPr>
      <w:keepNext w:val="true"/>
      <w:spacing w:before="320" w:after="80"/>
      <w:ind w:start="320" w:end="320"/>
      <w:outlineLvl w:val="1"/>
    </w:pPr>
    <w:rPr>
      <w:rFonts w:ascii="Segoe UI" w:hAnsi="Segoe UI" w:eastAsia="Segoe UI" w:cs="Segoe UI"/>
      <w:b/>
      <w:bCs/>
      <w:color w:val="3A3A3C"/>
      <w:sz w:val="27"/>
      <w:szCs w:val="27"/>
    </w:rPr>
  </w:style>
  <w:style w:type="paragraph" w:styleId="Heading3">
    <w:name w:val="heading 3"/>
    <w:basedOn w:val="Heading"/>
    <w:next w:val="BodyText"/>
    <w:qFormat/>
    <w:pPr>
      <w:keepNext w:val="true"/>
      <w:spacing w:before="240" w:after="60"/>
      <w:ind w:start="240" w:end="240"/>
      <w:outlineLvl w:val="2"/>
    </w:pPr>
    <w:rPr>
      <w:rFonts w:ascii="Segoe UI" w:hAnsi="Segoe UI" w:eastAsia="Segoe UI" w:cs="Segoe UI"/>
      <w:b/>
      <w:bCs/>
      <w:color w:val="3A3A3C"/>
      <w:sz w:val="23"/>
      <w:szCs w:val="23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ourceText">
    <w:name w:val="Source Text"/>
    <w:qFormat/>
    <w:rPr>
      <w:rFonts w:ascii="Consolas" w:hAnsi="Consolas" w:eastAsia="Consolas" w:cs="Consolas"/>
      <w:sz w:val="18"/>
      <w:szCs w:val="1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2A8440"/>
      <w:u w:val="single"/>
    </w:rPr>
  </w:style>
  <w:style w:type="character" w:styleId="FollowedHyperlink">
    <w:name w:val="FollowedHyperlink"/>
    <w:rPr>
      <w:color w:val="2A844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ing1first">
    <w:name w:val="Heading 1.first"/>
    <w:basedOn w:val="Heading1"/>
    <w:qFormat/>
    <w:pPr>
      <w:ind w:hanging="0" w:start="0"/>
      <w:outlineLvl w:val="9"/>
    </w:pPr>
    <w:rPr/>
  </w:style>
  <w:style w:type="paragraph" w:styleId="PreformattedText">
    <w:name w:val="Preformatted Text"/>
    <w:basedOn w:val="Normal"/>
    <w:qFormat/>
    <w:pPr>
      <w:pBdr>
        <w:left w:val="single" w:sz="24" w:space="9" w:color="2A8440"/>
      </w:pBdr>
      <w:shd w:fill="F0F0F2" w:val="clear"/>
      <w:spacing w:lineRule="auto" w:line="324" w:before="160" w:after="160"/>
      <w:ind w:start="160" w:end="160"/>
    </w:pPr>
    <w:rPr>
      <w:rFonts w:ascii="Consolas" w:hAnsi="Consolas" w:eastAsia="Consolas" w:cs="Consolas"/>
      <w:color w:val="1C1C1E"/>
      <w:sz w:val="17"/>
      <w:szCs w:val="17"/>
    </w:rPr>
  </w:style>
  <w:style w:type="paragraph" w:styleId="BlockQuotation">
    <w:name w:val="Block Quotation"/>
    <w:basedOn w:val="Normal"/>
    <w:qFormat/>
    <w:pPr>
      <w:pBdr>
        <w:left w:val="single" w:sz="24" w:space="12" w:color="2A8440"/>
      </w:pBdr>
      <w:shd w:fill="D7D7D9" w:val="clear"/>
      <w:spacing w:before="160" w:after="160"/>
      <w:ind w:hanging="0" w:start="160" w:end="160"/>
    </w:pPr>
    <w:rPr>
      <w:i w:val="false"/>
      <w:iCs w:val="false"/>
      <w:caps w:val="false"/>
      <w:smallCaps w:val="false"/>
    </w:rPr>
  </w:style>
  <w:style w:type="paragraph" w:styleId="BodyTexteyebrow">
    <w:name w:val="Body Text.eyebrow"/>
    <w:basedOn w:val="BodyText"/>
    <w:qFormat/>
    <w:pPr>
      <w:spacing w:before="0" w:after="120"/>
    </w:pPr>
    <w:rPr>
      <w:rFonts w:ascii="Segoe UI" w:hAnsi="Segoe UI" w:eastAsia="Segoe UI" w:cs="Segoe UI"/>
      <w:color w:val="6A6A72"/>
      <w:spacing w:val="28"/>
      <w:sz w:val="16"/>
      <w:szCs w:val="16"/>
    </w:rPr>
  </w:style>
  <w:style w:type="paragraph" w:styleId="BodyTextcover-h">
    <w:name w:val="Body Text.cover-h"/>
    <w:basedOn w:val="BodyText"/>
    <w:qFormat/>
    <w:pPr>
      <w:spacing w:before="0" w:after="160"/>
    </w:pPr>
    <w:rPr>
      <w:rFonts w:ascii="Segoe UI" w:hAnsi="Segoe UI" w:eastAsia="Segoe UI" w:cs="Segoe UI"/>
      <w:color w:val="1C1C1E"/>
      <w:sz w:val="60"/>
      <w:szCs w:val="60"/>
    </w:rPr>
  </w:style>
  <w:style w:type="paragraph" w:styleId="BodyTextlede">
    <w:name w:val="Body Text.lede"/>
    <w:basedOn w:val="BodyText"/>
    <w:qFormat/>
    <w:pPr>
      <w:spacing w:before="0" w:after="280"/>
    </w:pPr>
    <w:rPr>
      <w:color w:val="3A3A3C"/>
      <w:sz w:val="24"/>
      <w:szCs w:val="24"/>
    </w:rPr>
  </w:style>
  <w:style w:type="paragraph" w:styleId="BodyTextmeta">
    <w:name w:val="Body Text.meta"/>
    <w:basedOn w:val="BodyText"/>
    <w:qFormat/>
    <w:pPr>
      <w:spacing w:before="0" w:after="60"/>
    </w:pPr>
    <w:rPr>
      <w:rFonts w:ascii="Segoe UI" w:hAnsi="Segoe UI" w:eastAsia="Segoe UI" w:cs="Segoe UI"/>
      <w:color w:val="6A6A72"/>
      <w:sz w:val="17"/>
      <w:szCs w:val="17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3A3A3C" w:val="clear"/>
      <w:jc w:val="start"/>
    </w:pPr>
    <w:rPr>
      <w:b/>
      <w:bCs/>
      <w:color w:val="F5F5F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Three Sketches, One Commitment — HouseCheck solution design sprint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