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24FA" w14:textId="77777777" w:rsidR="00376999" w:rsidRDefault="00000000">
      <w:pPr>
        <w:pStyle w:val="BodyTexteyebrow"/>
      </w:pPr>
      <w:r>
        <w:t>HOUSECHECK · INDUSTRY RESEARCH NOTES</w:t>
      </w:r>
    </w:p>
    <w:p w14:paraId="4ECA56F2" w14:textId="77777777" w:rsidR="00376999" w:rsidRDefault="00000000">
      <w:pPr>
        <w:pStyle w:val="BodyTextcover-h"/>
      </w:pPr>
      <w:r>
        <w:t>Residential Rental</w:t>
      </w:r>
      <w:r>
        <w:br/>
        <w:t>Transparency</w:t>
      </w:r>
    </w:p>
    <w:p w14:paraId="437670BC" w14:textId="77777777" w:rsidR="00376999" w:rsidRDefault="00000000">
      <w:pPr>
        <w:pStyle w:val="BodyTextlede"/>
      </w:pPr>
      <w:r>
        <w:t>Property data pointed at the tenant, not the owner — what exists, who it serves, and the gaps a renter falls through.</w:t>
      </w:r>
    </w:p>
    <w:p w14:paraId="31CFA893" w14:textId="77777777" w:rsidR="00376999" w:rsidRDefault="00000000">
      <w:pPr>
        <w:pStyle w:val="BodyTextmeta"/>
      </w:pPr>
      <w:r>
        <w:t>Researched 29 July 2026 · extended 8 August 2026</w:t>
      </w:r>
    </w:p>
    <w:p w14:paraId="0682E5CC" w14:textId="77777777" w:rsidR="00376999" w:rsidRDefault="00000000">
      <w:pPr>
        <w:pStyle w:val="BodyTextmeta"/>
      </w:pPr>
      <w:r>
        <w:t>Living document. The open questions in §7 are the current edge, not a closing summary.</w:t>
      </w:r>
    </w:p>
    <w:p w14:paraId="66B68724" w14:textId="77777777" w:rsidR="00376999" w:rsidRDefault="00000000">
      <w:pPr>
        <w:pStyle w:val="BlockQuotation"/>
        <w:rPr>
          <w:b/>
        </w:rPr>
      </w:pPr>
      <w:r>
        <w:rPr>
          <w:b/>
        </w:rPr>
        <w:t>STANDARD USED THROUGHOUT</w:t>
      </w:r>
    </w:p>
    <w:p w14:paraId="036B6D96" w14:textId="77777777" w:rsidR="00376999" w:rsidRDefault="00000000">
      <w:pPr>
        <w:pStyle w:val="BlockQuotation"/>
      </w:pPr>
      <w:r>
        <w:t>Every figure carries its source, and confidence is stated where a source is weak. Nothing here is estimated and then presented as measured. Claims from our own build are marked and can be checked against a live URL.</w:t>
      </w:r>
    </w:p>
    <w:p w14:paraId="4B57D07C" w14:textId="77777777" w:rsidR="00376999" w:rsidRDefault="00376999">
      <w:pPr>
        <w:pStyle w:val="HorizontalLine"/>
      </w:pPr>
    </w:p>
    <w:p w14:paraId="02E5F958" w14:textId="77777777" w:rsidR="00376999" w:rsidRDefault="00000000">
      <w:pPr>
        <w:pStyle w:val="Heading2"/>
      </w:pPr>
      <w:r>
        <w:t>0. What this industry is, precisely</w:t>
      </w:r>
    </w:p>
    <w:p w14:paraId="4B9B65B5" w14:textId="77777777" w:rsidR="00376999" w:rsidRDefault="00000000">
      <w:pPr>
        <w:pStyle w:val="BodyText"/>
      </w:pPr>
      <w:r>
        <w:t xml:space="preserve">Property data is a large, mature, well-funded industry — CoStar, Zillow, every brokerage CRM, every insurer's risk desk. Almost all of it is sold to the people who </w:t>
      </w:r>
      <w:r>
        <w:rPr>
          <w:b/>
        </w:rPr>
        <w:t>own, finance, or transact</w:t>
      </w:r>
      <w:r>
        <w:t xml:space="preserve"> buildings.</w:t>
      </w:r>
    </w:p>
    <w:p w14:paraId="2399A833" w14:textId="77777777" w:rsidR="00376999" w:rsidRDefault="00000000">
      <w:pPr>
        <w:pStyle w:val="BodyText"/>
      </w:pPr>
      <w:r>
        <w:t xml:space="preserve">This document is about the sliver pointed the other way: the same public records, sold or given to the person about to </w:t>
      </w:r>
      <w:r>
        <w:rPr>
          <w:b/>
        </w:rPr>
        <w:t>sign a lease</w:t>
      </w:r>
      <w:r>
        <w:t xml:space="preserve"> on the building.</w:t>
      </w:r>
    </w:p>
    <w:p w14:paraId="58D67608" w14:textId="77777777" w:rsidR="00376999" w:rsidRDefault="00000000">
      <w:pPr>
        <w:pStyle w:val="BodyText"/>
      </w:pPr>
      <w:r>
        <w:t>That boundary is the whole thesis, and it is why the global "proptech" figure is not used here — see §5.</w:t>
      </w:r>
    </w:p>
    <w:p w14:paraId="367AF204" w14:textId="77777777" w:rsidR="00376999" w:rsidRDefault="00000000">
      <w:pPr>
        <w:pStyle w:val="BodyText"/>
      </w:pPr>
      <w:r>
        <w:rPr>
          <w:b/>
        </w:rPr>
        <w:t xml:space="preserve">Evidence we can point </w:t>
      </w:r>
      <w:proofErr w:type="gramStart"/>
      <w:r>
        <w:rPr>
          <w:b/>
        </w:rPr>
        <w:t>at</w:t>
      </w:r>
      <w:proofErr w:type="gramEnd"/>
      <w:r>
        <w:rPr>
          <w:b/>
        </w:rPr>
        <w:t>:</w:t>
      </w:r>
      <w:r>
        <w:t xml:space="preserve"> we built the thing. </w:t>
      </w:r>
      <w:proofErr w:type="spellStart"/>
      <w:r>
        <w:t>HouseCheck</w:t>
      </w:r>
      <w:proofErr w:type="spellEnd"/>
      <w:r>
        <w:t xml:space="preserve"> serves 250 Bedford-Stuyvesant buildings, scores each on four axes from eight municipal sources, and is live at </w:t>
      </w:r>
      <w:proofErr w:type="spellStart"/>
      <w:r>
        <w:rPr>
          <w:rStyle w:val="SourceText"/>
        </w:rPr>
        <w:t>housecheck-wine.vercel.app</w:t>
      </w:r>
      <w:proofErr w:type="spellEnd"/>
      <w:r>
        <w:t xml:space="preserve"> with an API at </w:t>
      </w:r>
      <w:proofErr w:type="spellStart"/>
      <w:r>
        <w:rPr>
          <w:rStyle w:val="SourceText"/>
        </w:rPr>
        <w:t>housecheck-nessa.fly.dev</w:t>
      </w:r>
      <w:proofErr w:type="spellEnd"/>
      <w:r>
        <w:t>.</w:t>
      </w:r>
    </w:p>
    <w:p w14:paraId="25A34684" w14:textId="77777777" w:rsidR="00376999" w:rsidRDefault="00376999">
      <w:pPr>
        <w:pStyle w:val="HorizontalLine"/>
      </w:pPr>
    </w:p>
    <w:p w14:paraId="03D4FF3D" w14:textId="77777777" w:rsidR="00376999" w:rsidRDefault="00000000">
      <w:pPr>
        <w:pStyle w:val="Heading2"/>
      </w:pPr>
      <w:r>
        <w:t>1. Major players</w:t>
      </w:r>
    </w:p>
    <w:p w14:paraId="1D506D00" w14:textId="77777777" w:rsidR="00376999" w:rsidRDefault="00000000">
      <w:pPr>
        <w:pStyle w:val="BodyText"/>
      </w:pPr>
      <w:r>
        <w:t>Two companies have built close variants of this in New York. Seven years apart, independently, in the same city.</w:t>
      </w:r>
    </w:p>
    <w:p w14:paraId="3172686D" w14:textId="77777777" w:rsidR="00376999" w:rsidRDefault="00000000">
      <w:pPr>
        <w:pStyle w:val="Heading3"/>
      </w:pPr>
      <w:proofErr w:type="spellStart"/>
      <w:r>
        <w:t>Rentlogic</w:t>
      </w:r>
      <w:proofErr w:type="spellEnd"/>
      <w:r>
        <w:t xml:space="preserve"> — the closest analogue that exists</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1332"/>
        <w:gridCol w:w="9468"/>
      </w:tblGrid>
      <w:tr w:rsidR="00376999" w14:paraId="27E6E59E" w14:textId="77777777">
        <w:tc>
          <w:tcPr>
            <w:tcW w:w="1202" w:type="dxa"/>
            <w:vAlign w:val="center"/>
          </w:tcPr>
          <w:p w14:paraId="0D1CE5C2" w14:textId="77777777" w:rsidR="00376999" w:rsidRDefault="00376999">
            <w:pPr>
              <w:pStyle w:val="TableHeading"/>
              <w:rPr>
                <w:sz w:val="4"/>
                <w:szCs w:val="4"/>
              </w:rPr>
            </w:pPr>
          </w:p>
        </w:tc>
        <w:tc>
          <w:tcPr>
            <w:tcW w:w="8544" w:type="dxa"/>
            <w:vAlign w:val="center"/>
          </w:tcPr>
          <w:p w14:paraId="28A6F3E2" w14:textId="77777777" w:rsidR="00376999" w:rsidRDefault="00376999">
            <w:pPr>
              <w:pStyle w:val="TableHeading"/>
              <w:rPr>
                <w:sz w:val="4"/>
                <w:szCs w:val="4"/>
              </w:rPr>
            </w:pPr>
          </w:p>
        </w:tc>
      </w:tr>
      <w:tr w:rsidR="00376999" w14:paraId="26BD99C6" w14:textId="77777777">
        <w:tc>
          <w:tcPr>
            <w:tcW w:w="1202" w:type="dxa"/>
            <w:vAlign w:val="center"/>
          </w:tcPr>
          <w:p w14:paraId="6003A0EF" w14:textId="77777777" w:rsidR="00376999" w:rsidRDefault="00000000">
            <w:pPr>
              <w:pStyle w:val="TableContents"/>
            </w:pPr>
            <w:r>
              <w:t>Founded</w:t>
            </w:r>
          </w:p>
        </w:tc>
        <w:tc>
          <w:tcPr>
            <w:tcW w:w="8544" w:type="dxa"/>
            <w:vAlign w:val="center"/>
          </w:tcPr>
          <w:p w14:paraId="0641D60E" w14:textId="77777777" w:rsidR="00376999" w:rsidRDefault="00000000">
            <w:pPr>
              <w:pStyle w:val="TableContents"/>
            </w:pPr>
            <w:r>
              <w:t>2013, New York City</w:t>
            </w:r>
          </w:p>
        </w:tc>
      </w:tr>
      <w:tr w:rsidR="00376999" w14:paraId="3E550993" w14:textId="77777777">
        <w:tc>
          <w:tcPr>
            <w:tcW w:w="1202" w:type="dxa"/>
            <w:vAlign w:val="center"/>
          </w:tcPr>
          <w:p w14:paraId="52C10DBB" w14:textId="77777777" w:rsidR="00376999" w:rsidRDefault="00000000">
            <w:pPr>
              <w:pStyle w:val="TableContents"/>
            </w:pPr>
            <w:r>
              <w:t>Team</w:t>
            </w:r>
          </w:p>
        </w:tc>
        <w:tc>
          <w:tcPr>
            <w:tcW w:w="8544" w:type="dxa"/>
            <w:vAlign w:val="center"/>
          </w:tcPr>
          <w:p w14:paraId="53389FBD" w14:textId="77777777" w:rsidR="00376999" w:rsidRDefault="00000000">
            <w:pPr>
              <w:pStyle w:val="TableContents"/>
            </w:pPr>
            <w:r>
              <w:t>9 employees (2025)</w:t>
            </w:r>
          </w:p>
        </w:tc>
      </w:tr>
      <w:tr w:rsidR="00376999" w14:paraId="4B2EEFAA" w14:textId="77777777">
        <w:tc>
          <w:tcPr>
            <w:tcW w:w="1202" w:type="dxa"/>
            <w:vAlign w:val="center"/>
          </w:tcPr>
          <w:p w14:paraId="5F5D262A" w14:textId="77777777" w:rsidR="00376999" w:rsidRDefault="00000000">
            <w:pPr>
              <w:pStyle w:val="TableContents"/>
            </w:pPr>
            <w:r>
              <w:t>Stage</w:t>
            </w:r>
          </w:p>
        </w:tc>
        <w:tc>
          <w:tcPr>
            <w:tcW w:w="8544" w:type="dxa"/>
            <w:vAlign w:val="center"/>
          </w:tcPr>
          <w:p w14:paraId="138E0A54" w14:textId="77777777" w:rsidR="00376999" w:rsidRDefault="00000000">
            <w:pPr>
              <w:pStyle w:val="TableContents"/>
            </w:pPr>
            <w:r>
              <w:t>Seed</w:t>
            </w:r>
          </w:p>
        </w:tc>
      </w:tr>
      <w:tr w:rsidR="00376999" w14:paraId="026BA180" w14:textId="77777777">
        <w:tc>
          <w:tcPr>
            <w:tcW w:w="1202" w:type="dxa"/>
            <w:vAlign w:val="center"/>
          </w:tcPr>
          <w:p w14:paraId="62AD1A9B" w14:textId="77777777" w:rsidR="00376999" w:rsidRDefault="00000000">
            <w:pPr>
              <w:pStyle w:val="TableContents"/>
            </w:pPr>
            <w:r>
              <w:t>Product</w:t>
            </w:r>
          </w:p>
        </w:tc>
        <w:tc>
          <w:tcPr>
            <w:tcW w:w="8544" w:type="dxa"/>
            <w:vAlign w:val="center"/>
          </w:tcPr>
          <w:p w14:paraId="25E2A1F3" w14:textId="77777777" w:rsidR="00376999" w:rsidRDefault="00000000">
            <w:pPr>
              <w:pStyle w:val="TableContents"/>
            </w:pPr>
            <w:r>
              <w:t xml:space="preserve">Grades every NYC apartment building </w:t>
            </w:r>
            <w:r>
              <w:rPr>
                <w:b/>
              </w:rPr>
              <w:t>A / B / C / F</w:t>
            </w:r>
            <w:r>
              <w:t xml:space="preserve"> on health and safety, scoring ~150 variables from city agency data plus physical inspections</w:t>
            </w:r>
          </w:p>
        </w:tc>
      </w:tr>
      <w:tr w:rsidR="00376999" w14:paraId="3515529F" w14:textId="77777777">
        <w:tc>
          <w:tcPr>
            <w:tcW w:w="1202" w:type="dxa"/>
            <w:vAlign w:val="center"/>
          </w:tcPr>
          <w:p w14:paraId="761F6425" w14:textId="77777777" w:rsidR="00376999" w:rsidRDefault="00000000">
            <w:pPr>
              <w:pStyle w:val="TableContents"/>
            </w:pPr>
            <w:r>
              <w:lastRenderedPageBreak/>
              <w:t>Renters pay</w:t>
            </w:r>
          </w:p>
        </w:tc>
        <w:tc>
          <w:tcPr>
            <w:tcW w:w="8544" w:type="dxa"/>
            <w:vAlign w:val="center"/>
          </w:tcPr>
          <w:p w14:paraId="2D51C593" w14:textId="77777777" w:rsidR="00376999" w:rsidRDefault="00000000">
            <w:pPr>
              <w:pStyle w:val="TableContents"/>
            </w:pPr>
            <w:r>
              <w:t>Free</w:t>
            </w:r>
          </w:p>
        </w:tc>
      </w:tr>
      <w:tr w:rsidR="00376999" w14:paraId="4226B13E" w14:textId="77777777">
        <w:tc>
          <w:tcPr>
            <w:tcW w:w="1202" w:type="dxa"/>
            <w:vAlign w:val="center"/>
          </w:tcPr>
          <w:p w14:paraId="0E0F7CC6" w14:textId="77777777" w:rsidR="00376999" w:rsidRDefault="00000000">
            <w:pPr>
              <w:pStyle w:val="TableContents"/>
            </w:pPr>
            <w:r>
              <w:t>Revenue</w:t>
            </w:r>
          </w:p>
        </w:tc>
        <w:tc>
          <w:tcPr>
            <w:tcW w:w="8544" w:type="dxa"/>
            <w:vAlign w:val="center"/>
          </w:tcPr>
          <w:p w14:paraId="033277B3" w14:textId="77777777" w:rsidR="00376999" w:rsidRDefault="00000000">
            <w:pPr>
              <w:pStyle w:val="TableContents"/>
            </w:pPr>
            <w:r>
              <w:t xml:space="preserve">Landlords buy certification, signage and marketing: </w:t>
            </w:r>
            <w:r>
              <w:rPr>
                <w:b/>
              </w:rPr>
              <w:t>$99–$1,499 per building</w:t>
            </w:r>
            <w:r>
              <w:t xml:space="preserve"> by size — roughly </w:t>
            </w:r>
            <w:r>
              <w:rPr>
                <w:b/>
              </w:rPr>
              <w:t>20¢ per unit per month</w:t>
            </w:r>
            <w:r>
              <w:t xml:space="preserve"> (~$2.40/unit/yr)</w:t>
            </w:r>
          </w:p>
        </w:tc>
      </w:tr>
      <w:tr w:rsidR="00376999" w14:paraId="2931476B" w14:textId="77777777">
        <w:tc>
          <w:tcPr>
            <w:tcW w:w="1202" w:type="dxa"/>
            <w:vAlign w:val="center"/>
          </w:tcPr>
          <w:p w14:paraId="616A7F99" w14:textId="77777777" w:rsidR="00376999" w:rsidRDefault="00000000">
            <w:pPr>
              <w:pStyle w:val="TableContents"/>
            </w:pPr>
            <w:r>
              <w:t>Funding</w:t>
            </w:r>
          </w:p>
        </w:tc>
        <w:tc>
          <w:tcPr>
            <w:tcW w:w="8544" w:type="dxa"/>
            <w:vAlign w:val="center"/>
          </w:tcPr>
          <w:p w14:paraId="4DAE0CE3" w14:textId="77777777" w:rsidR="00376999" w:rsidRDefault="00000000">
            <w:pPr>
              <w:pStyle w:val="TableContents"/>
            </w:pPr>
            <w:r>
              <w:rPr>
                <w:b/>
              </w:rPr>
              <w:t>$2.4M seed</w:t>
            </w:r>
            <w:r>
              <w:t xml:space="preserve"> (</w:t>
            </w:r>
            <w:proofErr w:type="gramStart"/>
            <w:r>
              <w:t>2018) —</w:t>
            </w:r>
            <w:proofErr w:type="gramEnd"/>
            <w:r>
              <w:t xml:space="preserve"> Urban-X, </w:t>
            </w:r>
            <w:proofErr w:type="spellStart"/>
            <w:r>
              <w:t>Urban.Us</w:t>
            </w:r>
            <w:proofErr w:type="spellEnd"/>
            <w:r>
              <w:t>, Kairos, Edgar Bronfman Jr.</w:t>
            </w:r>
          </w:p>
        </w:tc>
      </w:tr>
    </w:tbl>
    <w:p w14:paraId="628D9D60" w14:textId="77777777" w:rsidR="00376999" w:rsidRDefault="00000000">
      <w:pPr>
        <w:pStyle w:val="BodyText"/>
      </w:pPr>
      <w:r>
        <w:rPr>
          <w:b/>
        </w:rPr>
        <w:t>Read:</w:t>
      </w:r>
      <w:r>
        <w:t xml:space="preserve"> the model works and it is small. Twelve years, nine people, still seed-stage. Published pricing is 2018-era; nothing current is public, so treat the per-unit figure as a floor-level indication rather than today's rate card.</w:t>
      </w:r>
    </w:p>
    <w:p w14:paraId="6DDB4CFB" w14:textId="77777777" w:rsidR="00376999" w:rsidRDefault="00000000">
      <w:pPr>
        <w:pStyle w:val="Heading3"/>
      </w:pPr>
      <w:proofErr w:type="spellStart"/>
      <w:r>
        <w:t>Openigloo</w:t>
      </w:r>
      <w:proofErr w:type="spellEnd"/>
      <w:r>
        <w:t xml:space="preserve"> — reach, then a pivot</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1195"/>
        <w:gridCol w:w="9605"/>
      </w:tblGrid>
      <w:tr w:rsidR="00376999" w14:paraId="13AED3B7" w14:textId="77777777">
        <w:tc>
          <w:tcPr>
            <w:tcW w:w="1078" w:type="dxa"/>
            <w:vAlign w:val="center"/>
          </w:tcPr>
          <w:p w14:paraId="1125229C" w14:textId="77777777" w:rsidR="00376999" w:rsidRDefault="00376999">
            <w:pPr>
              <w:pStyle w:val="TableHeading"/>
              <w:rPr>
                <w:sz w:val="4"/>
                <w:szCs w:val="4"/>
              </w:rPr>
            </w:pPr>
          </w:p>
        </w:tc>
        <w:tc>
          <w:tcPr>
            <w:tcW w:w="8668" w:type="dxa"/>
            <w:vAlign w:val="center"/>
          </w:tcPr>
          <w:p w14:paraId="58AD8407" w14:textId="77777777" w:rsidR="00376999" w:rsidRDefault="00376999">
            <w:pPr>
              <w:pStyle w:val="TableHeading"/>
              <w:rPr>
                <w:sz w:val="4"/>
                <w:szCs w:val="4"/>
              </w:rPr>
            </w:pPr>
          </w:p>
        </w:tc>
      </w:tr>
      <w:tr w:rsidR="00376999" w14:paraId="44722D78" w14:textId="77777777">
        <w:tc>
          <w:tcPr>
            <w:tcW w:w="1078" w:type="dxa"/>
            <w:vAlign w:val="center"/>
          </w:tcPr>
          <w:p w14:paraId="34FCDEC9" w14:textId="77777777" w:rsidR="00376999" w:rsidRDefault="00000000">
            <w:pPr>
              <w:pStyle w:val="TableContents"/>
            </w:pPr>
            <w:r>
              <w:t>Founded</w:t>
            </w:r>
          </w:p>
        </w:tc>
        <w:tc>
          <w:tcPr>
            <w:tcW w:w="8668" w:type="dxa"/>
            <w:vAlign w:val="center"/>
          </w:tcPr>
          <w:p w14:paraId="63FB8D8C" w14:textId="77777777" w:rsidR="00376999" w:rsidRDefault="00000000">
            <w:pPr>
              <w:pStyle w:val="TableContents"/>
            </w:pPr>
            <w:r>
              <w:t>2020, Brooklyn. CEO Allia Mohamed</w:t>
            </w:r>
          </w:p>
        </w:tc>
      </w:tr>
      <w:tr w:rsidR="00376999" w14:paraId="6C092E24" w14:textId="77777777">
        <w:tc>
          <w:tcPr>
            <w:tcW w:w="1078" w:type="dxa"/>
            <w:vAlign w:val="center"/>
          </w:tcPr>
          <w:p w14:paraId="6B4726DD" w14:textId="77777777" w:rsidR="00376999" w:rsidRDefault="00000000">
            <w:pPr>
              <w:pStyle w:val="TableContents"/>
            </w:pPr>
            <w:r>
              <w:t>Reach</w:t>
            </w:r>
          </w:p>
        </w:tc>
        <w:tc>
          <w:tcPr>
            <w:tcW w:w="8668" w:type="dxa"/>
            <w:vAlign w:val="center"/>
          </w:tcPr>
          <w:p w14:paraId="23AAD70F" w14:textId="77777777" w:rsidR="00376999" w:rsidRDefault="00000000">
            <w:pPr>
              <w:pStyle w:val="TableContents"/>
            </w:pPr>
            <w:proofErr w:type="gramStart"/>
            <w:r>
              <w:t>States it</w:t>
            </w:r>
            <w:proofErr w:type="gramEnd"/>
            <w:r>
              <w:t xml:space="preserve"> has supported </w:t>
            </w:r>
            <w:r>
              <w:rPr>
                <w:b/>
              </w:rPr>
              <w:t>3M+ NYC renters</w:t>
            </w:r>
          </w:p>
        </w:tc>
      </w:tr>
      <w:tr w:rsidR="00376999" w14:paraId="25C1606C" w14:textId="77777777">
        <w:tc>
          <w:tcPr>
            <w:tcW w:w="1078" w:type="dxa"/>
            <w:vAlign w:val="center"/>
          </w:tcPr>
          <w:p w14:paraId="373C1729" w14:textId="77777777" w:rsidR="00376999" w:rsidRDefault="00000000">
            <w:pPr>
              <w:pStyle w:val="TableContents"/>
            </w:pPr>
            <w:r>
              <w:t>Product</w:t>
            </w:r>
          </w:p>
        </w:tc>
        <w:tc>
          <w:tcPr>
            <w:tcW w:w="8668" w:type="dxa"/>
            <w:vAlign w:val="center"/>
          </w:tcPr>
          <w:p w14:paraId="175151F2" w14:textId="77777777" w:rsidR="00376999" w:rsidRDefault="00000000">
            <w:pPr>
              <w:pStyle w:val="TableContents"/>
            </w:pPr>
            <w:r>
              <w:t>Tenant reviews plus city data — violations, bedbug complaints, eviction filings, litigation history; building scores for maintenance, heat and water pressure, pests, landlord responsiveness</w:t>
            </w:r>
          </w:p>
        </w:tc>
      </w:tr>
      <w:tr w:rsidR="00376999" w14:paraId="6901B6CE" w14:textId="77777777">
        <w:tc>
          <w:tcPr>
            <w:tcW w:w="1078" w:type="dxa"/>
            <w:vAlign w:val="center"/>
          </w:tcPr>
          <w:p w14:paraId="069CC8DC" w14:textId="77777777" w:rsidR="00376999" w:rsidRDefault="00000000">
            <w:pPr>
              <w:pStyle w:val="TableContents"/>
            </w:pPr>
            <w:r>
              <w:t>Investors</w:t>
            </w:r>
          </w:p>
        </w:tc>
        <w:tc>
          <w:tcPr>
            <w:tcW w:w="8668" w:type="dxa"/>
            <w:vAlign w:val="center"/>
          </w:tcPr>
          <w:p w14:paraId="47D2472F" w14:textId="77777777" w:rsidR="00376999" w:rsidRDefault="00000000">
            <w:pPr>
              <w:pStyle w:val="TableContents"/>
            </w:pPr>
            <w:r>
              <w:t xml:space="preserve">Trend Forward Capital, Gutter Capital, </w:t>
            </w:r>
            <w:proofErr w:type="spellStart"/>
            <w:r>
              <w:t>MetroCap</w:t>
            </w:r>
            <w:proofErr w:type="spellEnd"/>
            <w:r>
              <w:t xml:space="preserve"> Partners</w:t>
            </w:r>
          </w:p>
        </w:tc>
      </w:tr>
    </w:tbl>
    <w:p w14:paraId="01CEE9C9" w14:textId="77777777" w:rsidR="00376999" w:rsidRDefault="00000000">
      <w:pPr>
        <w:pStyle w:val="BodyText"/>
      </w:pPr>
      <w:r>
        <w:t xml:space="preserve">In August 2025 </w:t>
      </w:r>
      <w:proofErr w:type="gramStart"/>
      <w:r>
        <w:rPr>
          <w:i/>
        </w:rPr>
        <w:t>The</w:t>
      </w:r>
      <w:proofErr w:type="gramEnd"/>
      <w:r>
        <w:rPr>
          <w:i/>
        </w:rPr>
        <w:t xml:space="preserve"> Real Deal</w:t>
      </w:r>
      <w:r>
        <w:t xml:space="preserve"> published "</w:t>
      </w:r>
      <w:proofErr w:type="spellStart"/>
      <w:r>
        <w:t>Openigloo</w:t>
      </w:r>
      <w:proofErr w:type="spellEnd"/>
      <w:r>
        <w:t xml:space="preserve"> won over tenants. Can it do the same with landlords?" The company now runs two revenue lines: </w:t>
      </w:r>
      <w:r>
        <w:rPr>
          <w:b/>
        </w:rPr>
        <w:t>renter subscriptions</w:t>
      </w:r>
      <w:r>
        <w:t xml:space="preserve"> for depth of access, and </w:t>
      </w:r>
      <w:r>
        <w:rPr>
          <w:b/>
        </w:rPr>
        <w:t>brokerage</w:t>
      </w:r>
      <w:r>
        <w:t xml:space="preserve"> — exclusive listing agreements, application parsing, income verification, credit checks, and rent guarantees, at a fee starting near half of one month's rent.</w:t>
      </w:r>
    </w:p>
    <w:p w14:paraId="79EB7B8A" w14:textId="77777777" w:rsidR="00376999" w:rsidRDefault="00000000">
      <w:pPr>
        <w:pStyle w:val="BodyText"/>
      </w:pPr>
      <w:r>
        <w:t xml:space="preserve">A third-party aggregator estimates annual revenue near $1.37M. That is a scraped estimate with no disclosed methodology — </w:t>
      </w:r>
      <w:r>
        <w:rPr>
          <w:b/>
        </w:rPr>
        <w:t>low confidence, do not cite it externally.</w:t>
      </w:r>
    </w:p>
    <w:p w14:paraId="59EF4DD3" w14:textId="77777777" w:rsidR="00376999" w:rsidRDefault="00000000">
      <w:pPr>
        <w:pStyle w:val="Heading3"/>
      </w:pPr>
      <w:r>
        <w:t>Adjacent, and bigger: institutional property risk</w:t>
      </w:r>
    </w:p>
    <w:p w14:paraId="4C898FC3" w14:textId="77777777" w:rsidR="00376999" w:rsidRDefault="00000000">
      <w:pPr>
        <w:pStyle w:val="BodyText"/>
        <w:numPr>
          <w:ilvl w:val="0"/>
          <w:numId w:val="1"/>
        </w:numPr>
        <w:tabs>
          <w:tab w:val="left" w:pos="709"/>
        </w:tabs>
        <w:spacing w:after="0"/>
      </w:pPr>
      <w:r>
        <w:rPr>
          <w:b/>
        </w:rPr>
        <w:t>Cape Analytics</w:t>
      </w:r>
      <w:r>
        <w:t xml:space="preserve"> — agreement to be acquired by </w:t>
      </w:r>
      <w:r>
        <w:rPr>
          <w:b/>
        </w:rPr>
        <w:t>Moody's</w:t>
      </w:r>
      <w:r>
        <w:t xml:space="preserve">, announced 13 January 2025. Price undisclosed; Moody's stated it was not expected to have a material impact on results, which </w:t>
      </w:r>
      <w:proofErr w:type="gramStart"/>
      <w:r>
        <w:t>bounds</w:t>
      </w:r>
      <w:proofErr w:type="gramEnd"/>
      <w:r>
        <w:t xml:space="preserve"> the size.</w:t>
      </w:r>
    </w:p>
    <w:p w14:paraId="545D0C32" w14:textId="77777777" w:rsidR="00376999" w:rsidRDefault="00000000">
      <w:pPr>
        <w:pStyle w:val="BodyText"/>
        <w:numPr>
          <w:ilvl w:val="0"/>
          <w:numId w:val="1"/>
        </w:numPr>
        <w:tabs>
          <w:tab w:val="left" w:pos="709"/>
        </w:tabs>
        <w:spacing w:after="0"/>
      </w:pPr>
      <w:proofErr w:type="spellStart"/>
      <w:r>
        <w:rPr>
          <w:b/>
        </w:rPr>
        <w:t>ZestyAI</w:t>
      </w:r>
      <w:proofErr w:type="spellEnd"/>
      <w:r>
        <w:t xml:space="preserve"> — property-level risk to P&amp;C insurers and regulators; added a former Verisk CEO to its board.</w:t>
      </w:r>
    </w:p>
    <w:p w14:paraId="10A9CAA2" w14:textId="77777777" w:rsidR="00376999" w:rsidRDefault="00000000">
      <w:pPr>
        <w:pStyle w:val="BodyText"/>
        <w:numPr>
          <w:ilvl w:val="0"/>
          <w:numId w:val="1"/>
        </w:numPr>
        <w:tabs>
          <w:tab w:val="left" w:pos="709"/>
        </w:tabs>
      </w:pPr>
      <w:r>
        <w:rPr>
          <w:b/>
        </w:rPr>
        <w:t xml:space="preserve">Verisk / </w:t>
      </w:r>
      <w:proofErr w:type="spellStart"/>
      <w:r>
        <w:rPr>
          <w:b/>
        </w:rPr>
        <w:t>BuildFax</w:t>
      </w:r>
      <w:proofErr w:type="spellEnd"/>
      <w:r>
        <w:t xml:space="preserve"> — building-permit-derived property intelligence for insurers.</w:t>
      </w:r>
    </w:p>
    <w:p w14:paraId="5CCF74FA" w14:textId="77777777" w:rsidR="00376999" w:rsidRDefault="00376999">
      <w:pPr>
        <w:pStyle w:val="HorizontalLine"/>
      </w:pPr>
    </w:p>
    <w:p w14:paraId="1DC789A4" w14:textId="77777777" w:rsidR="00376999" w:rsidRDefault="00000000">
      <w:pPr>
        <w:pStyle w:val="Heading2"/>
      </w:pPr>
      <w:r>
        <w:t>2. What those players tell us — the finding that matters most</w:t>
      </w:r>
    </w:p>
    <w:p w14:paraId="0AF824DC" w14:textId="77777777" w:rsidR="00376999" w:rsidRDefault="00000000">
      <w:pPr>
        <w:pStyle w:val="BodyText"/>
      </w:pPr>
      <w:r>
        <w:t xml:space="preserve">Two independent teams, seven years apart, built a renter-facing building-data product in the same city. </w:t>
      </w:r>
      <w:r>
        <w:rPr>
          <w:b/>
        </w:rPr>
        <w:t>Neither made the data itself the business.</w:t>
      </w:r>
      <w:r>
        <w:t xml:space="preserve"> One sells badges to the landlords being graded. The other moved to where a transaction happens and money changes hands.</w:t>
      </w:r>
    </w:p>
    <w:p w14:paraId="6CAABBF3" w14:textId="77777777" w:rsidR="00376999" w:rsidRDefault="00000000">
      <w:pPr>
        <w:pStyle w:val="BlockQuotation"/>
        <w:rPr>
          <w:b/>
        </w:rPr>
      </w:pPr>
      <w:r>
        <w:rPr>
          <w:b/>
        </w:rPr>
        <w:t>The scoring engine is a customer-acquisition layer, not the product.</w:t>
      </w:r>
    </w:p>
    <w:p w14:paraId="6CF943AC" w14:textId="77777777" w:rsidR="00376999" w:rsidRDefault="00000000">
      <w:pPr>
        <w:pStyle w:val="BodyText"/>
      </w:pPr>
      <w:r>
        <w:t xml:space="preserve">This is the most useful sentence in this </w:t>
      </w:r>
      <w:proofErr w:type="gramStart"/>
      <w:r>
        <w:t>document</w:t>
      </w:r>
      <w:proofErr w:type="gramEnd"/>
      <w:r>
        <w:t xml:space="preserve"> and it argues against our own </w:t>
      </w:r>
      <w:proofErr w:type="gramStart"/>
      <w:r>
        <w:t>build</w:t>
      </w:r>
      <w:proofErr w:type="gramEnd"/>
      <w:r>
        <w:t>. It is recorded first rather than buried, because a project whose entire premise is that every number should be checkable does not get to hide the number that is inconvenient.</w:t>
      </w:r>
    </w:p>
    <w:p w14:paraId="31A61AFE" w14:textId="77777777" w:rsidR="00376999" w:rsidRDefault="00000000">
      <w:pPr>
        <w:pStyle w:val="BodyText"/>
      </w:pPr>
      <w:r>
        <w:rPr>
          <w:b/>
        </w:rPr>
        <w:t>A structural problem worth naming</w:t>
      </w:r>
      <w:r>
        <w:t xml:space="preserve">, visible in </w:t>
      </w:r>
      <w:proofErr w:type="spellStart"/>
      <w:r>
        <w:t>Rentlogic's</w:t>
      </w:r>
      <w:proofErr w:type="spellEnd"/>
      <w:r>
        <w:t xml:space="preserve"> model: a landlord buys the badge to advertise a </w:t>
      </w:r>
      <w:r>
        <w:rPr>
          <w:i/>
        </w:rPr>
        <w:t>good</w:t>
      </w:r>
      <w:r>
        <w:t xml:space="preserve"> grade. The buildings with the worst records — the ones a renter most needs warning about — will never be customers. Revenue concentrates among the landlords who least need scrutiny.</w:t>
      </w:r>
    </w:p>
    <w:p w14:paraId="4C663F57" w14:textId="77777777" w:rsidR="00376999" w:rsidRDefault="00376999">
      <w:pPr>
        <w:pStyle w:val="HorizontalLine"/>
      </w:pPr>
    </w:p>
    <w:p w14:paraId="0998C7DF" w14:textId="77777777" w:rsidR="00376999" w:rsidRDefault="00000000">
      <w:pPr>
        <w:pStyle w:val="Heading2"/>
      </w:pPr>
      <w:r>
        <w:t xml:space="preserve">2b. The landscape, by what each player </w:t>
      </w:r>
      <w:proofErr w:type="gramStart"/>
      <w:r>
        <w:t>actually does</w:t>
      </w:r>
      <w:proofErr w:type="gramEnd"/>
    </w:p>
    <w:p w14:paraId="453872A1" w14:textId="77777777" w:rsidR="00376999" w:rsidRDefault="00000000">
      <w:pPr>
        <w:pStyle w:val="BodyText"/>
      </w:pPr>
      <w:r>
        <w:t xml:space="preserve">The two direct comparables are the closest analogues, but they sit inside a wider ecosystem. Mapping it by </w:t>
      </w:r>
      <w:r>
        <w:rPr>
          <w:b/>
        </w:rPr>
        <w:t>function</w:t>
      </w:r>
      <w:r>
        <w:t xml:space="preserve"> rather than by company name shows where the tenant-facing slice </w:t>
      </w:r>
      <w:proofErr w:type="gramStart"/>
      <w:r>
        <w:t>actually is</w:t>
      </w:r>
      <w:proofErr w:type="gramEnd"/>
      <w:r>
        <w:t xml:space="preserve"> — and how thin it is.</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2646"/>
        <w:gridCol w:w="3491"/>
        <w:gridCol w:w="2667"/>
        <w:gridCol w:w="1996"/>
      </w:tblGrid>
      <w:tr w:rsidR="00376999" w14:paraId="50BF4C50" w14:textId="77777777">
        <w:tc>
          <w:tcPr>
            <w:tcW w:w="2388" w:type="dxa"/>
            <w:vAlign w:val="center"/>
          </w:tcPr>
          <w:p w14:paraId="2192624E" w14:textId="77777777" w:rsidR="00376999" w:rsidRDefault="00000000">
            <w:pPr>
              <w:pStyle w:val="TableHeading"/>
            </w:pPr>
            <w:r>
              <w:t>Layer</w:t>
            </w:r>
          </w:p>
        </w:tc>
        <w:tc>
          <w:tcPr>
            <w:tcW w:w="3150" w:type="dxa"/>
            <w:vAlign w:val="center"/>
          </w:tcPr>
          <w:p w14:paraId="07D21FAF" w14:textId="77777777" w:rsidR="00376999" w:rsidRDefault="00000000">
            <w:pPr>
              <w:pStyle w:val="TableHeading"/>
            </w:pPr>
            <w:r>
              <w:t>Who operates here</w:t>
            </w:r>
          </w:p>
        </w:tc>
        <w:tc>
          <w:tcPr>
            <w:tcW w:w="2407" w:type="dxa"/>
            <w:vAlign w:val="center"/>
          </w:tcPr>
          <w:p w14:paraId="23162BC8" w14:textId="77777777" w:rsidR="00376999" w:rsidRDefault="00000000">
            <w:pPr>
              <w:pStyle w:val="TableHeading"/>
            </w:pPr>
            <w:r>
              <w:t>What they sell</w:t>
            </w:r>
          </w:p>
        </w:tc>
        <w:tc>
          <w:tcPr>
            <w:tcW w:w="1801" w:type="dxa"/>
            <w:vAlign w:val="center"/>
          </w:tcPr>
          <w:p w14:paraId="249A5BC5" w14:textId="77777777" w:rsidR="00376999" w:rsidRDefault="00000000">
            <w:pPr>
              <w:pStyle w:val="TableHeading"/>
            </w:pPr>
            <w:r>
              <w:t>Who pays</w:t>
            </w:r>
          </w:p>
        </w:tc>
      </w:tr>
      <w:tr w:rsidR="00376999" w14:paraId="789B80CC" w14:textId="77777777">
        <w:tc>
          <w:tcPr>
            <w:tcW w:w="2388" w:type="dxa"/>
            <w:vAlign w:val="center"/>
          </w:tcPr>
          <w:p w14:paraId="55DF784C" w14:textId="77777777" w:rsidR="00376999" w:rsidRDefault="00000000">
            <w:pPr>
              <w:pStyle w:val="TableContents"/>
              <w:rPr>
                <w:b/>
              </w:rPr>
            </w:pPr>
            <w:r>
              <w:rPr>
                <w:b/>
              </w:rPr>
              <w:t>The record itself</w:t>
            </w:r>
          </w:p>
        </w:tc>
        <w:tc>
          <w:tcPr>
            <w:tcW w:w="3150" w:type="dxa"/>
            <w:vAlign w:val="center"/>
          </w:tcPr>
          <w:p w14:paraId="7916D046" w14:textId="77777777" w:rsidR="00376999" w:rsidRDefault="00000000">
            <w:pPr>
              <w:pStyle w:val="TableContents"/>
            </w:pPr>
            <w:r>
              <w:t>NYC HPD, DOB, DOF, DOHMH, 311, US Census</w:t>
            </w:r>
          </w:p>
        </w:tc>
        <w:tc>
          <w:tcPr>
            <w:tcW w:w="2407" w:type="dxa"/>
            <w:vAlign w:val="center"/>
          </w:tcPr>
          <w:p w14:paraId="7B41175F" w14:textId="77777777" w:rsidR="00376999" w:rsidRDefault="00000000">
            <w:pPr>
              <w:pStyle w:val="TableContents"/>
            </w:pPr>
            <w:r>
              <w:t>Nothing — statutory publication</w:t>
            </w:r>
          </w:p>
        </w:tc>
        <w:tc>
          <w:tcPr>
            <w:tcW w:w="1801" w:type="dxa"/>
            <w:vAlign w:val="center"/>
          </w:tcPr>
          <w:p w14:paraId="0B2A80CA" w14:textId="77777777" w:rsidR="00376999" w:rsidRDefault="00000000">
            <w:pPr>
              <w:pStyle w:val="TableContents"/>
            </w:pPr>
            <w:r>
              <w:t>Taxpayers</w:t>
            </w:r>
          </w:p>
        </w:tc>
      </w:tr>
      <w:tr w:rsidR="00376999" w14:paraId="2FA6C8EB" w14:textId="77777777">
        <w:tc>
          <w:tcPr>
            <w:tcW w:w="2388" w:type="dxa"/>
            <w:vAlign w:val="center"/>
          </w:tcPr>
          <w:p w14:paraId="00A913E4" w14:textId="77777777" w:rsidR="00376999" w:rsidRDefault="00000000">
            <w:pPr>
              <w:pStyle w:val="TableContents"/>
              <w:rPr>
                <w:b/>
              </w:rPr>
            </w:pPr>
            <w:r>
              <w:rPr>
                <w:b/>
              </w:rPr>
              <w:t>Bulk redistribution</w:t>
            </w:r>
          </w:p>
        </w:tc>
        <w:tc>
          <w:tcPr>
            <w:tcW w:w="3150" w:type="dxa"/>
            <w:vAlign w:val="center"/>
          </w:tcPr>
          <w:p w14:paraId="716CB604" w14:textId="77777777" w:rsidR="00376999" w:rsidRDefault="00000000">
            <w:pPr>
              <w:pStyle w:val="TableContents"/>
            </w:pPr>
            <w:r>
              <w:t xml:space="preserve">NYC Open Data / Socrata, </w:t>
            </w:r>
            <w:proofErr w:type="spellStart"/>
            <w:r>
              <w:t>CivicDashboards</w:t>
            </w:r>
            <w:proofErr w:type="spellEnd"/>
          </w:p>
        </w:tc>
        <w:tc>
          <w:tcPr>
            <w:tcW w:w="2407" w:type="dxa"/>
            <w:vAlign w:val="center"/>
          </w:tcPr>
          <w:p w14:paraId="728FAD63" w14:textId="77777777" w:rsidR="00376999" w:rsidRDefault="00000000">
            <w:pPr>
              <w:pStyle w:val="TableContents"/>
            </w:pPr>
            <w:r>
              <w:t>Access and APIs</w:t>
            </w:r>
          </w:p>
        </w:tc>
        <w:tc>
          <w:tcPr>
            <w:tcW w:w="1801" w:type="dxa"/>
            <w:vAlign w:val="center"/>
          </w:tcPr>
          <w:p w14:paraId="0CFBB6F7" w14:textId="77777777" w:rsidR="00376999" w:rsidRDefault="00000000">
            <w:pPr>
              <w:pStyle w:val="TableContents"/>
            </w:pPr>
            <w:r>
              <w:t>Free / platform contracts</w:t>
            </w:r>
          </w:p>
        </w:tc>
      </w:tr>
      <w:tr w:rsidR="00376999" w14:paraId="7CE56669" w14:textId="77777777">
        <w:tc>
          <w:tcPr>
            <w:tcW w:w="2388" w:type="dxa"/>
            <w:vAlign w:val="center"/>
          </w:tcPr>
          <w:p w14:paraId="2C76B923" w14:textId="77777777" w:rsidR="00376999" w:rsidRDefault="00000000">
            <w:pPr>
              <w:pStyle w:val="TableContents"/>
              <w:rPr>
                <w:b/>
              </w:rPr>
            </w:pPr>
            <w:r>
              <w:rPr>
                <w:b/>
              </w:rPr>
              <w:t>Landlord &amp; investor analytics</w:t>
            </w:r>
          </w:p>
        </w:tc>
        <w:tc>
          <w:tcPr>
            <w:tcW w:w="3150" w:type="dxa"/>
            <w:vAlign w:val="center"/>
          </w:tcPr>
          <w:p w14:paraId="61A93E6B" w14:textId="77777777" w:rsidR="00376999" w:rsidRDefault="00000000">
            <w:pPr>
              <w:pStyle w:val="TableContents"/>
            </w:pPr>
            <w:r>
              <w:t xml:space="preserve">CoStar, Yardi, RealPage, </w:t>
            </w:r>
            <w:proofErr w:type="spellStart"/>
            <w:r>
              <w:t>PropertyShark</w:t>
            </w:r>
            <w:proofErr w:type="spellEnd"/>
          </w:p>
        </w:tc>
        <w:tc>
          <w:tcPr>
            <w:tcW w:w="2407" w:type="dxa"/>
            <w:vAlign w:val="center"/>
          </w:tcPr>
          <w:p w14:paraId="34CC6C62" w14:textId="77777777" w:rsidR="00376999" w:rsidRDefault="00000000">
            <w:pPr>
              <w:pStyle w:val="TableContents"/>
            </w:pPr>
            <w:r>
              <w:t>Portfolio, comp and underwriting data</w:t>
            </w:r>
          </w:p>
        </w:tc>
        <w:tc>
          <w:tcPr>
            <w:tcW w:w="1801" w:type="dxa"/>
            <w:vAlign w:val="center"/>
          </w:tcPr>
          <w:p w14:paraId="2166B974" w14:textId="77777777" w:rsidR="00376999" w:rsidRDefault="00000000">
            <w:pPr>
              <w:pStyle w:val="TableContents"/>
            </w:pPr>
            <w:r>
              <w:t>Owners, brokers, lenders</w:t>
            </w:r>
          </w:p>
        </w:tc>
      </w:tr>
      <w:tr w:rsidR="00376999" w14:paraId="255157C6" w14:textId="77777777">
        <w:tc>
          <w:tcPr>
            <w:tcW w:w="2388" w:type="dxa"/>
            <w:vAlign w:val="center"/>
          </w:tcPr>
          <w:p w14:paraId="0796D118" w14:textId="77777777" w:rsidR="00376999" w:rsidRDefault="00000000">
            <w:pPr>
              <w:pStyle w:val="TableContents"/>
              <w:rPr>
                <w:b/>
              </w:rPr>
            </w:pPr>
            <w:r>
              <w:rPr>
                <w:b/>
              </w:rPr>
              <w:t>Institutional risk</w:t>
            </w:r>
          </w:p>
        </w:tc>
        <w:tc>
          <w:tcPr>
            <w:tcW w:w="3150" w:type="dxa"/>
            <w:vAlign w:val="center"/>
          </w:tcPr>
          <w:p w14:paraId="3FE03E71" w14:textId="77777777" w:rsidR="00376999" w:rsidRDefault="00000000">
            <w:pPr>
              <w:pStyle w:val="TableContents"/>
            </w:pPr>
            <w:r>
              <w:t xml:space="preserve">Cape Analytics (→ Moody's), </w:t>
            </w:r>
            <w:proofErr w:type="spellStart"/>
            <w:r>
              <w:t>ZestyAI</w:t>
            </w:r>
            <w:proofErr w:type="spellEnd"/>
            <w:r>
              <w:t>, Verisk/</w:t>
            </w:r>
            <w:proofErr w:type="spellStart"/>
            <w:r>
              <w:t>BuildFax</w:t>
            </w:r>
            <w:proofErr w:type="spellEnd"/>
          </w:p>
        </w:tc>
        <w:tc>
          <w:tcPr>
            <w:tcW w:w="2407" w:type="dxa"/>
            <w:vAlign w:val="center"/>
          </w:tcPr>
          <w:p w14:paraId="18C83BC9" w14:textId="77777777" w:rsidR="00376999" w:rsidRDefault="00000000">
            <w:pPr>
              <w:pStyle w:val="TableContents"/>
            </w:pPr>
            <w:r>
              <w:t>Physical &amp; catastrophe risk scores</w:t>
            </w:r>
          </w:p>
        </w:tc>
        <w:tc>
          <w:tcPr>
            <w:tcW w:w="1801" w:type="dxa"/>
            <w:vAlign w:val="center"/>
          </w:tcPr>
          <w:p w14:paraId="54AA537A" w14:textId="77777777" w:rsidR="00376999" w:rsidRDefault="00000000">
            <w:pPr>
              <w:pStyle w:val="TableContents"/>
            </w:pPr>
            <w:r>
              <w:t>Insurers, reinsurers</w:t>
            </w:r>
          </w:p>
        </w:tc>
      </w:tr>
      <w:tr w:rsidR="00376999" w14:paraId="6419C2B7" w14:textId="77777777">
        <w:tc>
          <w:tcPr>
            <w:tcW w:w="2388" w:type="dxa"/>
            <w:vAlign w:val="center"/>
          </w:tcPr>
          <w:p w14:paraId="3CA10259" w14:textId="77777777" w:rsidR="00376999" w:rsidRDefault="00000000">
            <w:pPr>
              <w:pStyle w:val="TableContents"/>
              <w:rPr>
                <w:b/>
              </w:rPr>
            </w:pPr>
            <w:r>
              <w:rPr>
                <w:b/>
              </w:rPr>
              <w:t>Listings &amp; transaction</w:t>
            </w:r>
          </w:p>
        </w:tc>
        <w:tc>
          <w:tcPr>
            <w:tcW w:w="3150" w:type="dxa"/>
            <w:vAlign w:val="center"/>
          </w:tcPr>
          <w:p w14:paraId="07E3EBC0" w14:textId="77777777" w:rsidR="00376999" w:rsidRDefault="00000000">
            <w:pPr>
              <w:pStyle w:val="TableContents"/>
            </w:pPr>
            <w:r>
              <w:t>StreetEasy, Zillow, Apartments.com, brokerages</w:t>
            </w:r>
          </w:p>
        </w:tc>
        <w:tc>
          <w:tcPr>
            <w:tcW w:w="2407" w:type="dxa"/>
            <w:vAlign w:val="center"/>
          </w:tcPr>
          <w:p w14:paraId="4DD7C8F1" w14:textId="77777777" w:rsidR="00376999" w:rsidRDefault="00000000">
            <w:pPr>
              <w:pStyle w:val="TableContents"/>
            </w:pPr>
            <w:r>
              <w:t>Attention, leads, lease transactions</w:t>
            </w:r>
          </w:p>
        </w:tc>
        <w:tc>
          <w:tcPr>
            <w:tcW w:w="1801" w:type="dxa"/>
            <w:vAlign w:val="center"/>
          </w:tcPr>
          <w:p w14:paraId="6A44951F" w14:textId="77777777" w:rsidR="00376999" w:rsidRDefault="00000000">
            <w:pPr>
              <w:pStyle w:val="TableContents"/>
            </w:pPr>
            <w:r>
              <w:t>Landlords, brokers, renters</w:t>
            </w:r>
          </w:p>
        </w:tc>
      </w:tr>
      <w:tr w:rsidR="00376999" w14:paraId="6EE103EC" w14:textId="77777777">
        <w:tc>
          <w:tcPr>
            <w:tcW w:w="2388" w:type="dxa"/>
            <w:vAlign w:val="center"/>
          </w:tcPr>
          <w:p w14:paraId="4B4FDB5E" w14:textId="77777777" w:rsidR="00376999" w:rsidRDefault="00000000">
            <w:pPr>
              <w:pStyle w:val="TableContents"/>
              <w:rPr>
                <w:b/>
              </w:rPr>
            </w:pPr>
            <w:r>
              <w:rPr>
                <w:b/>
              </w:rPr>
              <w:t>Tenant-facing building record</w:t>
            </w:r>
          </w:p>
        </w:tc>
        <w:tc>
          <w:tcPr>
            <w:tcW w:w="3150" w:type="dxa"/>
            <w:vAlign w:val="center"/>
          </w:tcPr>
          <w:p w14:paraId="519F8CC6" w14:textId="77777777" w:rsidR="00376999" w:rsidRDefault="00000000">
            <w:pPr>
              <w:pStyle w:val="TableContents"/>
              <w:rPr>
                <w:b/>
              </w:rPr>
            </w:pPr>
            <w:proofErr w:type="spellStart"/>
            <w:r>
              <w:rPr>
                <w:b/>
              </w:rPr>
              <w:t>Rentlogic</w:t>
            </w:r>
            <w:proofErr w:type="spellEnd"/>
            <w:r>
              <w:rPr>
                <w:b/>
              </w:rPr>
              <w:t xml:space="preserve">, </w:t>
            </w:r>
            <w:proofErr w:type="spellStart"/>
            <w:r>
              <w:rPr>
                <w:b/>
              </w:rPr>
              <w:t>Openigloo</w:t>
            </w:r>
            <w:proofErr w:type="spellEnd"/>
            <w:r>
              <w:rPr>
                <w:b/>
              </w:rPr>
              <w:t xml:space="preserve">, </w:t>
            </w:r>
            <w:proofErr w:type="spellStart"/>
            <w:r>
              <w:rPr>
                <w:b/>
              </w:rPr>
              <w:t>HouseCheck</w:t>
            </w:r>
            <w:proofErr w:type="spellEnd"/>
          </w:p>
        </w:tc>
        <w:tc>
          <w:tcPr>
            <w:tcW w:w="2407" w:type="dxa"/>
            <w:vAlign w:val="center"/>
          </w:tcPr>
          <w:p w14:paraId="70E869C9" w14:textId="77777777" w:rsidR="00376999" w:rsidRDefault="00000000">
            <w:pPr>
              <w:pStyle w:val="TableContents"/>
            </w:pPr>
            <w:r>
              <w:t>A read on the building itself</w:t>
            </w:r>
          </w:p>
        </w:tc>
        <w:tc>
          <w:tcPr>
            <w:tcW w:w="1801" w:type="dxa"/>
            <w:vAlign w:val="center"/>
          </w:tcPr>
          <w:p w14:paraId="1F2F2667" w14:textId="77777777" w:rsidR="00376999" w:rsidRDefault="00000000">
            <w:pPr>
              <w:pStyle w:val="TableContents"/>
              <w:rPr>
                <w:i/>
              </w:rPr>
            </w:pPr>
            <w:r>
              <w:rPr>
                <w:i/>
              </w:rPr>
              <w:t>Unresolved — see §2</w:t>
            </w:r>
          </w:p>
        </w:tc>
      </w:tr>
      <w:tr w:rsidR="00376999" w14:paraId="6A9F873E" w14:textId="77777777">
        <w:tc>
          <w:tcPr>
            <w:tcW w:w="2388" w:type="dxa"/>
            <w:vAlign w:val="center"/>
          </w:tcPr>
          <w:p w14:paraId="49607204" w14:textId="77777777" w:rsidR="00376999" w:rsidRDefault="00000000">
            <w:pPr>
              <w:pStyle w:val="TableContents"/>
              <w:rPr>
                <w:b/>
              </w:rPr>
            </w:pPr>
            <w:r>
              <w:rPr>
                <w:b/>
              </w:rPr>
              <w:t>Advocacy &amp; enforcement</w:t>
            </w:r>
          </w:p>
        </w:tc>
        <w:tc>
          <w:tcPr>
            <w:tcW w:w="3150" w:type="dxa"/>
            <w:vAlign w:val="center"/>
          </w:tcPr>
          <w:p w14:paraId="1402D1E8" w14:textId="77777777" w:rsidR="00376999" w:rsidRDefault="00000000">
            <w:pPr>
              <w:pStyle w:val="TableContents"/>
            </w:pPr>
            <w:r>
              <w:t>Legal Aid, Housing Court Answers, Met Council, HPD enforcement</w:t>
            </w:r>
          </w:p>
        </w:tc>
        <w:tc>
          <w:tcPr>
            <w:tcW w:w="2407" w:type="dxa"/>
            <w:vAlign w:val="center"/>
          </w:tcPr>
          <w:p w14:paraId="4B3B6B93" w14:textId="77777777" w:rsidR="00376999" w:rsidRDefault="00000000">
            <w:pPr>
              <w:pStyle w:val="TableContents"/>
            </w:pPr>
            <w:r>
              <w:t>Representation, referral, inspection</w:t>
            </w:r>
          </w:p>
        </w:tc>
        <w:tc>
          <w:tcPr>
            <w:tcW w:w="1801" w:type="dxa"/>
            <w:vAlign w:val="center"/>
          </w:tcPr>
          <w:p w14:paraId="419ACC61" w14:textId="77777777" w:rsidR="00376999" w:rsidRDefault="00000000">
            <w:pPr>
              <w:pStyle w:val="TableContents"/>
            </w:pPr>
            <w:r>
              <w:t>Grants, government</w:t>
            </w:r>
          </w:p>
        </w:tc>
      </w:tr>
    </w:tbl>
    <w:p w14:paraId="051445D8" w14:textId="77777777" w:rsidR="00376999" w:rsidRDefault="00000000">
      <w:pPr>
        <w:pStyle w:val="BodyText"/>
      </w:pPr>
      <w:r>
        <w:rPr>
          <w:b/>
        </w:rPr>
        <w:t>The observation that falls out of the table:</w:t>
      </w:r>
      <w:r>
        <w:t xml:space="preserve"> every layer has a settled payer except the one this document is about. Listings </w:t>
      </w:r>
      <w:proofErr w:type="spellStart"/>
      <w:r>
        <w:t>monetise</w:t>
      </w:r>
      <w:proofErr w:type="spellEnd"/>
      <w:r>
        <w:t xml:space="preserve"> the transaction. Analytics </w:t>
      </w:r>
      <w:proofErr w:type="spellStart"/>
      <w:r>
        <w:t>monetise</w:t>
      </w:r>
      <w:proofErr w:type="spellEnd"/>
      <w:r>
        <w:t xml:space="preserve"> the owner. Risk </w:t>
      </w:r>
      <w:proofErr w:type="spellStart"/>
      <w:r>
        <w:t>monetises</w:t>
      </w:r>
      <w:proofErr w:type="spellEnd"/>
      <w:r>
        <w:t xml:space="preserve"> the insurer. The tenant-facing row is the only one where the question "who pays" is still open after twelve years and two companies.</w:t>
      </w:r>
    </w:p>
    <w:p w14:paraId="75C82DA8" w14:textId="77777777" w:rsidR="00376999" w:rsidRDefault="00376999">
      <w:pPr>
        <w:pStyle w:val="HorizontalLine"/>
      </w:pPr>
    </w:p>
    <w:p w14:paraId="1B8C7D18" w14:textId="77777777" w:rsidR="00376999" w:rsidRDefault="00000000">
      <w:pPr>
        <w:pStyle w:val="Heading2"/>
      </w:pPr>
      <w:r>
        <w:t>3. The people this industry serves</w:t>
      </w:r>
    </w:p>
    <w:p w14:paraId="77A7CD51" w14:textId="77777777" w:rsidR="00376999" w:rsidRDefault="00000000">
      <w:pPr>
        <w:pStyle w:val="BodyText"/>
      </w:pPr>
      <w:r>
        <w:t>Ranked by evidence rather than by how appealing they are to sell to.</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2330"/>
        <w:gridCol w:w="2383"/>
        <w:gridCol w:w="1843"/>
        <w:gridCol w:w="4244"/>
      </w:tblGrid>
      <w:tr w:rsidR="00376999" w14:paraId="2594DDEE" w14:textId="77777777">
        <w:tc>
          <w:tcPr>
            <w:tcW w:w="2103" w:type="dxa"/>
            <w:vAlign w:val="center"/>
          </w:tcPr>
          <w:p w14:paraId="7B7CA731" w14:textId="77777777" w:rsidR="00376999" w:rsidRDefault="00000000">
            <w:pPr>
              <w:pStyle w:val="TableHeading"/>
            </w:pPr>
            <w:r>
              <w:t>Segment</w:t>
            </w:r>
          </w:p>
        </w:tc>
        <w:tc>
          <w:tcPr>
            <w:tcW w:w="2150" w:type="dxa"/>
            <w:vAlign w:val="center"/>
          </w:tcPr>
          <w:p w14:paraId="7826EBEC" w14:textId="77777777" w:rsidR="00376999" w:rsidRDefault="00000000">
            <w:pPr>
              <w:pStyle w:val="TableHeading"/>
            </w:pPr>
            <w:r>
              <w:t>Reach</w:t>
            </w:r>
          </w:p>
        </w:tc>
        <w:tc>
          <w:tcPr>
            <w:tcW w:w="1663" w:type="dxa"/>
            <w:vAlign w:val="center"/>
          </w:tcPr>
          <w:p w14:paraId="0835B6F2" w14:textId="77777777" w:rsidR="00376999" w:rsidRDefault="00000000">
            <w:pPr>
              <w:pStyle w:val="TableHeading"/>
            </w:pPr>
            <w:r>
              <w:t>Willingness to pay</w:t>
            </w:r>
          </w:p>
        </w:tc>
        <w:tc>
          <w:tcPr>
            <w:tcW w:w="3830" w:type="dxa"/>
            <w:vAlign w:val="center"/>
          </w:tcPr>
          <w:p w14:paraId="0FB81F49" w14:textId="77777777" w:rsidR="00376999" w:rsidRDefault="00000000">
            <w:pPr>
              <w:pStyle w:val="TableHeading"/>
            </w:pPr>
            <w:r>
              <w:t>Evidence</w:t>
            </w:r>
          </w:p>
        </w:tc>
      </w:tr>
      <w:tr w:rsidR="00376999" w14:paraId="09D85346" w14:textId="77777777">
        <w:tc>
          <w:tcPr>
            <w:tcW w:w="2103" w:type="dxa"/>
            <w:vAlign w:val="center"/>
          </w:tcPr>
          <w:p w14:paraId="5B12C5F5" w14:textId="77777777" w:rsidR="00376999" w:rsidRDefault="00000000">
            <w:pPr>
              <w:pStyle w:val="TableContents"/>
              <w:rPr>
                <w:b/>
              </w:rPr>
            </w:pPr>
            <w:r>
              <w:rPr>
                <w:b/>
              </w:rPr>
              <w:t>Renters</w:t>
            </w:r>
          </w:p>
        </w:tc>
        <w:tc>
          <w:tcPr>
            <w:tcW w:w="2150" w:type="dxa"/>
            <w:vAlign w:val="center"/>
          </w:tcPr>
          <w:p w14:paraId="7A412151" w14:textId="77777777" w:rsidR="00376999" w:rsidRDefault="00000000">
            <w:pPr>
              <w:pStyle w:val="TableContents"/>
            </w:pPr>
            <w:r>
              <w:t xml:space="preserve">~2.5M NYC tenants; </w:t>
            </w:r>
            <w:proofErr w:type="spellStart"/>
            <w:r>
              <w:t>Openigloo</w:t>
            </w:r>
            <w:proofErr w:type="spellEnd"/>
            <w:r>
              <w:t xml:space="preserve"> claims 3M+ reached</w:t>
            </w:r>
          </w:p>
        </w:tc>
        <w:tc>
          <w:tcPr>
            <w:tcW w:w="1663" w:type="dxa"/>
            <w:vAlign w:val="center"/>
          </w:tcPr>
          <w:p w14:paraId="2FA80E0C" w14:textId="77777777" w:rsidR="00376999" w:rsidRDefault="00000000">
            <w:pPr>
              <w:pStyle w:val="TableContents"/>
            </w:pPr>
            <w:r>
              <w:t>Very low</w:t>
            </w:r>
          </w:p>
        </w:tc>
        <w:tc>
          <w:tcPr>
            <w:tcW w:w="3830" w:type="dxa"/>
            <w:vAlign w:val="center"/>
          </w:tcPr>
          <w:p w14:paraId="5D2FB24E" w14:textId="77777777" w:rsidR="00376999" w:rsidRDefault="00000000">
            <w:pPr>
              <w:pStyle w:val="TableContents"/>
            </w:pPr>
            <w:r>
              <w:t xml:space="preserve">Both comparables give the data away free. </w:t>
            </w:r>
            <w:proofErr w:type="spellStart"/>
            <w:r>
              <w:t>Openigloo</w:t>
            </w:r>
            <w:proofErr w:type="spellEnd"/>
            <w:r>
              <w:t xml:space="preserve"> charges for </w:t>
            </w:r>
            <w:r>
              <w:rPr>
                <w:i/>
              </w:rPr>
              <w:t>depth</w:t>
            </w:r>
            <w:r>
              <w:t>, not access</w:t>
            </w:r>
          </w:p>
        </w:tc>
      </w:tr>
      <w:tr w:rsidR="00376999" w14:paraId="0231C4D7" w14:textId="77777777">
        <w:tc>
          <w:tcPr>
            <w:tcW w:w="2103" w:type="dxa"/>
            <w:vAlign w:val="center"/>
          </w:tcPr>
          <w:p w14:paraId="4AFF5E59" w14:textId="77777777" w:rsidR="00376999" w:rsidRDefault="00000000">
            <w:pPr>
              <w:pStyle w:val="TableContents"/>
              <w:rPr>
                <w:b/>
              </w:rPr>
            </w:pPr>
            <w:r>
              <w:rPr>
                <w:b/>
              </w:rPr>
              <w:t>Landlords / property managers</w:t>
            </w:r>
          </w:p>
        </w:tc>
        <w:tc>
          <w:tcPr>
            <w:tcW w:w="2150" w:type="dxa"/>
            <w:vAlign w:val="center"/>
          </w:tcPr>
          <w:p w14:paraId="41D365D5" w14:textId="77777777" w:rsidR="00376999" w:rsidRDefault="00000000">
            <w:pPr>
              <w:pStyle w:val="TableContents"/>
            </w:pPr>
            <w:r>
              <w:t>91,918 multifamily buildings</w:t>
            </w:r>
          </w:p>
        </w:tc>
        <w:tc>
          <w:tcPr>
            <w:tcW w:w="1663" w:type="dxa"/>
            <w:vAlign w:val="center"/>
          </w:tcPr>
          <w:p w14:paraId="65F66CA0" w14:textId="77777777" w:rsidR="00376999" w:rsidRDefault="00000000">
            <w:pPr>
              <w:pStyle w:val="TableContents"/>
            </w:pPr>
            <w:r>
              <w:t>Low–moderate</w:t>
            </w:r>
          </w:p>
        </w:tc>
        <w:tc>
          <w:tcPr>
            <w:tcW w:w="3830" w:type="dxa"/>
            <w:vAlign w:val="center"/>
          </w:tcPr>
          <w:p w14:paraId="39B22492" w14:textId="77777777" w:rsidR="00376999" w:rsidRDefault="00000000">
            <w:pPr>
              <w:pStyle w:val="TableContents"/>
            </w:pPr>
            <w:r>
              <w:t xml:space="preserve">Proven — </w:t>
            </w:r>
            <w:proofErr w:type="spellStart"/>
            <w:r>
              <w:t>Rentlogic's</w:t>
            </w:r>
            <w:proofErr w:type="spellEnd"/>
            <w:r>
              <w:t xml:space="preserve"> entire revenue line. Adverse selection applies (§2)</w:t>
            </w:r>
          </w:p>
        </w:tc>
      </w:tr>
      <w:tr w:rsidR="00376999" w14:paraId="103DAE47" w14:textId="77777777">
        <w:tc>
          <w:tcPr>
            <w:tcW w:w="2103" w:type="dxa"/>
            <w:vAlign w:val="center"/>
          </w:tcPr>
          <w:p w14:paraId="4A5930BD" w14:textId="77777777" w:rsidR="00376999" w:rsidRDefault="00000000">
            <w:pPr>
              <w:pStyle w:val="TableContents"/>
              <w:rPr>
                <w:b/>
              </w:rPr>
            </w:pPr>
            <w:r>
              <w:rPr>
                <w:b/>
              </w:rPr>
              <w:lastRenderedPageBreak/>
              <w:t>Brokers / leasing</w:t>
            </w:r>
          </w:p>
        </w:tc>
        <w:tc>
          <w:tcPr>
            <w:tcW w:w="2150" w:type="dxa"/>
            <w:vAlign w:val="center"/>
          </w:tcPr>
          <w:p w14:paraId="5AAFAB30" w14:textId="77777777" w:rsidR="00376999" w:rsidRDefault="00000000">
            <w:pPr>
              <w:pStyle w:val="TableContents"/>
            </w:pPr>
            <w:r>
              <w:t>—</w:t>
            </w:r>
          </w:p>
        </w:tc>
        <w:tc>
          <w:tcPr>
            <w:tcW w:w="1663" w:type="dxa"/>
            <w:vAlign w:val="center"/>
          </w:tcPr>
          <w:p w14:paraId="204729D4" w14:textId="77777777" w:rsidR="00376999" w:rsidRDefault="00000000">
            <w:pPr>
              <w:pStyle w:val="TableContents"/>
            </w:pPr>
            <w:r>
              <w:t>Moderate</w:t>
            </w:r>
          </w:p>
        </w:tc>
        <w:tc>
          <w:tcPr>
            <w:tcW w:w="3830" w:type="dxa"/>
            <w:vAlign w:val="center"/>
          </w:tcPr>
          <w:p w14:paraId="651C783D" w14:textId="77777777" w:rsidR="00376999" w:rsidRDefault="00000000">
            <w:pPr>
              <w:pStyle w:val="TableContents"/>
            </w:pPr>
            <w:proofErr w:type="spellStart"/>
            <w:r>
              <w:t>Openigloo's</w:t>
            </w:r>
            <w:proofErr w:type="spellEnd"/>
            <w:r>
              <w:t xml:space="preserve"> pivot. The FARE Act (eff. June 2025) moved broker fees to landlords, changing who buys tools that close a lease</w:t>
            </w:r>
          </w:p>
        </w:tc>
      </w:tr>
      <w:tr w:rsidR="00376999" w14:paraId="35F480B1" w14:textId="77777777">
        <w:tc>
          <w:tcPr>
            <w:tcW w:w="2103" w:type="dxa"/>
            <w:vAlign w:val="center"/>
          </w:tcPr>
          <w:p w14:paraId="2953A5C6" w14:textId="77777777" w:rsidR="00376999" w:rsidRDefault="00000000">
            <w:pPr>
              <w:pStyle w:val="TableContents"/>
              <w:rPr>
                <w:b/>
              </w:rPr>
            </w:pPr>
            <w:r>
              <w:rPr>
                <w:b/>
              </w:rPr>
              <w:t>Legal services, tenant orgs, city agencies</w:t>
            </w:r>
          </w:p>
        </w:tc>
        <w:tc>
          <w:tcPr>
            <w:tcW w:w="2150" w:type="dxa"/>
            <w:vAlign w:val="center"/>
          </w:tcPr>
          <w:p w14:paraId="090B5774" w14:textId="77777777" w:rsidR="00376999" w:rsidRDefault="00000000">
            <w:pPr>
              <w:pStyle w:val="TableContents"/>
            </w:pPr>
            <w:r>
              <w:t>—</w:t>
            </w:r>
          </w:p>
        </w:tc>
        <w:tc>
          <w:tcPr>
            <w:tcW w:w="1663" w:type="dxa"/>
            <w:vAlign w:val="center"/>
          </w:tcPr>
          <w:p w14:paraId="1326AB4D" w14:textId="77777777" w:rsidR="00376999" w:rsidRDefault="00000000">
            <w:pPr>
              <w:pStyle w:val="TableContents"/>
            </w:pPr>
            <w:r>
              <w:t>Low, but grant-funded</w:t>
            </w:r>
          </w:p>
        </w:tc>
        <w:tc>
          <w:tcPr>
            <w:tcW w:w="3830" w:type="dxa"/>
            <w:vAlign w:val="center"/>
          </w:tcPr>
          <w:p w14:paraId="4D865840" w14:textId="77777777" w:rsidR="00376999" w:rsidRDefault="00000000">
            <w:pPr>
              <w:pStyle w:val="TableContents"/>
            </w:pPr>
            <w:r>
              <w:t xml:space="preserve">Aligned with the referral directory </w:t>
            </w:r>
            <w:proofErr w:type="spellStart"/>
            <w:r>
              <w:t>HouseCheck</w:t>
            </w:r>
            <w:proofErr w:type="spellEnd"/>
            <w:r>
              <w:t xml:space="preserve"> already ships. Credibility over revenue</w:t>
            </w:r>
          </w:p>
        </w:tc>
      </w:tr>
      <w:tr w:rsidR="00376999" w14:paraId="284476D4" w14:textId="77777777">
        <w:tc>
          <w:tcPr>
            <w:tcW w:w="2103" w:type="dxa"/>
            <w:vAlign w:val="center"/>
          </w:tcPr>
          <w:p w14:paraId="7FF9E049" w14:textId="77777777" w:rsidR="00376999" w:rsidRDefault="00000000">
            <w:pPr>
              <w:pStyle w:val="TableContents"/>
              <w:rPr>
                <w:b/>
              </w:rPr>
            </w:pPr>
            <w:r>
              <w:rPr>
                <w:b/>
              </w:rPr>
              <w:t>Insurers / lenders / investors</w:t>
            </w:r>
          </w:p>
        </w:tc>
        <w:tc>
          <w:tcPr>
            <w:tcW w:w="2150" w:type="dxa"/>
            <w:vAlign w:val="center"/>
          </w:tcPr>
          <w:p w14:paraId="301E567E" w14:textId="77777777" w:rsidR="00376999" w:rsidRDefault="00000000">
            <w:pPr>
              <w:pStyle w:val="TableContents"/>
            </w:pPr>
            <w:r>
              <w:t>—</w:t>
            </w:r>
          </w:p>
        </w:tc>
        <w:tc>
          <w:tcPr>
            <w:tcW w:w="1663" w:type="dxa"/>
            <w:vAlign w:val="center"/>
          </w:tcPr>
          <w:p w14:paraId="16E8F0EC" w14:textId="77777777" w:rsidR="00376999" w:rsidRDefault="00000000">
            <w:pPr>
              <w:pStyle w:val="TableContents"/>
            </w:pPr>
            <w:r>
              <w:t>Highest</w:t>
            </w:r>
          </w:p>
        </w:tc>
        <w:tc>
          <w:tcPr>
            <w:tcW w:w="3830" w:type="dxa"/>
            <w:vAlign w:val="center"/>
          </w:tcPr>
          <w:p w14:paraId="016F5CB7" w14:textId="77777777" w:rsidR="00376999" w:rsidRDefault="00000000">
            <w:pPr>
              <w:pStyle w:val="TableContents"/>
            </w:pPr>
            <w:r>
              <w:t>Real exits exist (§4), but a different dataset and a mission conflict</w:t>
            </w:r>
          </w:p>
        </w:tc>
      </w:tr>
    </w:tbl>
    <w:p w14:paraId="658F6C25" w14:textId="77777777" w:rsidR="00376999" w:rsidRDefault="00000000">
      <w:pPr>
        <w:pStyle w:val="BodyText"/>
      </w:pPr>
      <w:r>
        <w:rPr>
          <w:b/>
        </w:rPr>
        <w:t xml:space="preserve">The person at the </w:t>
      </w:r>
      <w:proofErr w:type="spellStart"/>
      <w:r>
        <w:rPr>
          <w:b/>
        </w:rPr>
        <w:t>centre</w:t>
      </w:r>
      <w:proofErr w:type="spellEnd"/>
      <w:r>
        <w:rPr>
          <w:b/>
        </w:rPr>
        <w:t xml:space="preserve"> of it.</w:t>
      </w:r>
      <w:r>
        <w:t xml:space="preserve"> A New York renter commits roughly </w:t>
      </w:r>
      <w:r>
        <w:rPr>
          <w:b/>
        </w:rPr>
        <w:t>$40,000 over a year</w:t>
      </w:r>
      <w:r>
        <w:t xml:space="preserve"> to a building they know almost nothing about. They get fifteen minutes and a signature. The building has a forty-year public record.</w:t>
      </w:r>
    </w:p>
    <w:p w14:paraId="4A34B792" w14:textId="77777777" w:rsidR="00376999" w:rsidRDefault="00000000">
      <w:pPr>
        <w:pStyle w:val="BodyText"/>
      </w:pPr>
      <w:r>
        <w:t xml:space="preserve">Roughly </w:t>
      </w:r>
      <w:r>
        <w:rPr>
          <w:b/>
        </w:rPr>
        <w:t>1M</w:t>
      </w:r>
      <w:r>
        <w:t xml:space="preserve"> rent-</w:t>
      </w:r>
      <w:proofErr w:type="spellStart"/>
      <w:r>
        <w:t>stabilised</w:t>
      </w:r>
      <w:proofErr w:type="spellEnd"/>
      <w:r>
        <w:t xml:space="preserve"> or rent-controlled apartments house about </w:t>
      </w:r>
      <w:r>
        <w:rPr>
          <w:b/>
        </w:rPr>
        <w:t>2.5M</w:t>
      </w:r>
      <w:r>
        <w:t xml:space="preserve"> tenants who hold rights they can only exercise if they know the building's status.</w:t>
      </w:r>
    </w:p>
    <w:p w14:paraId="63734264" w14:textId="77777777" w:rsidR="00376999" w:rsidRDefault="00000000">
      <w:pPr>
        <w:pStyle w:val="Heading3"/>
      </w:pPr>
      <w:r>
        <w:t xml:space="preserve">The denominator the </w:t>
      </w:r>
      <w:proofErr w:type="spellStart"/>
      <w:r>
        <w:t>behavioural</w:t>
      </w:r>
      <w:proofErr w:type="spellEnd"/>
      <w:r>
        <w:t xml:space="preserve"> question forces</w:t>
      </w:r>
    </w:p>
    <w:p w14:paraId="57C6D4D0" w14:textId="77777777" w:rsidR="00376999" w:rsidRDefault="00000000">
      <w:pPr>
        <w:pStyle w:val="BodyText"/>
      </w:pPr>
      <w:r>
        <w:t xml:space="preserve">A tool used </w:t>
      </w:r>
      <w:proofErr w:type="gramStart"/>
      <w:r>
        <w:rPr>
          <w:b/>
        </w:rPr>
        <w:t>at the moment</w:t>
      </w:r>
      <w:proofErr w:type="gramEnd"/>
      <w:r>
        <w:rPr>
          <w:b/>
        </w:rPr>
        <w:t xml:space="preserve"> of decision</w:t>
      </w:r>
      <w:r>
        <w:t xml:space="preserve"> does not serve a population. It serves a </w:t>
      </w:r>
      <w:r>
        <w:rPr>
          <w:i/>
        </w:rPr>
        <w:t>moment</w:t>
      </w:r>
      <w:r>
        <w:t>, and the moment is far smaller than the population.</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5516"/>
        <w:gridCol w:w="1580"/>
        <w:gridCol w:w="3704"/>
      </w:tblGrid>
      <w:tr w:rsidR="00376999" w14:paraId="0539CEB0" w14:textId="77777777">
        <w:tc>
          <w:tcPr>
            <w:tcW w:w="4977" w:type="dxa"/>
            <w:vAlign w:val="center"/>
          </w:tcPr>
          <w:p w14:paraId="01DF0B47" w14:textId="77777777" w:rsidR="00376999" w:rsidRDefault="00000000">
            <w:pPr>
              <w:pStyle w:val="TableHeading"/>
            </w:pPr>
            <w:r>
              <w:t>Framing</w:t>
            </w:r>
          </w:p>
        </w:tc>
        <w:tc>
          <w:tcPr>
            <w:tcW w:w="1426" w:type="dxa"/>
            <w:vAlign w:val="center"/>
          </w:tcPr>
          <w:p w14:paraId="64C062DB" w14:textId="77777777" w:rsidR="00376999" w:rsidRDefault="00000000">
            <w:pPr>
              <w:pStyle w:val="TableHeading"/>
            </w:pPr>
            <w:r>
              <w:t>Count</w:t>
            </w:r>
          </w:p>
        </w:tc>
        <w:tc>
          <w:tcPr>
            <w:tcW w:w="3342" w:type="dxa"/>
            <w:vAlign w:val="center"/>
          </w:tcPr>
          <w:p w14:paraId="439D5104" w14:textId="77777777" w:rsidR="00376999" w:rsidRDefault="00000000">
            <w:pPr>
              <w:pStyle w:val="TableHeading"/>
            </w:pPr>
            <w:r>
              <w:t>Source</w:t>
            </w:r>
          </w:p>
        </w:tc>
      </w:tr>
      <w:tr w:rsidR="00376999" w14:paraId="4F0CE537" w14:textId="77777777">
        <w:tc>
          <w:tcPr>
            <w:tcW w:w="4977" w:type="dxa"/>
            <w:vAlign w:val="center"/>
          </w:tcPr>
          <w:p w14:paraId="15BAED50" w14:textId="77777777" w:rsidR="00376999" w:rsidRDefault="00000000">
            <w:pPr>
              <w:pStyle w:val="TableContents"/>
            </w:pPr>
            <w:r>
              <w:t>NYC renters (population framing)</w:t>
            </w:r>
          </w:p>
        </w:tc>
        <w:tc>
          <w:tcPr>
            <w:tcW w:w="1426" w:type="dxa"/>
            <w:vAlign w:val="center"/>
          </w:tcPr>
          <w:p w14:paraId="3F2ED275" w14:textId="77777777" w:rsidR="00376999" w:rsidRDefault="00000000">
            <w:pPr>
              <w:pStyle w:val="TableContents"/>
            </w:pPr>
            <w:r>
              <w:t>~2,500,000</w:t>
            </w:r>
          </w:p>
        </w:tc>
        <w:tc>
          <w:tcPr>
            <w:tcW w:w="3342" w:type="dxa"/>
            <w:vAlign w:val="center"/>
          </w:tcPr>
          <w:p w14:paraId="024C956B" w14:textId="77777777" w:rsidR="00376999" w:rsidRDefault="00000000">
            <w:pPr>
              <w:pStyle w:val="TableContents"/>
            </w:pPr>
            <w:r>
              <w:t>NYCHVS-derived</w:t>
            </w:r>
          </w:p>
        </w:tc>
      </w:tr>
      <w:tr w:rsidR="00376999" w14:paraId="7CED2588" w14:textId="77777777">
        <w:tc>
          <w:tcPr>
            <w:tcW w:w="4977" w:type="dxa"/>
            <w:vAlign w:val="center"/>
          </w:tcPr>
          <w:p w14:paraId="3CC2436D" w14:textId="77777777" w:rsidR="00376999" w:rsidRDefault="00000000">
            <w:pPr>
              <w:pStyle w:val="TableContents"/>
            </w:pPr>
            <w:r>
              <w:t>Total housing units</w:t>
            </w:r>
          </w:p>
        </w:tc>
        <w:tc>
          <w:tcPr>
            <w:tcW w:w="1426" w:type="dxa"/>
            <w:vAlign w:val="center"/>
          </w:tcPr>
          <w:p w14:paraId="03A19248" w14:textId="77777777" w:rsidR="00376999" w:rsidRDefault="00000000">
            <w:pPr>
              <w:pStyle w:val="TableContents"/>
            </w:pPr>
            <w:r>
              <w:t>2,357,000</w:t>
            </w:r>
          </w:p>
        </w:tc>
        <w:tc>
          <w:tcPr>
            <w:tcW w:w="3342" w:type="dxa"/>
            <w:vAlign w:val="center"/>
          </w:tcPr>
          <w:p w14:paraId="687573EC" w14:textId="77777777" w:rsidR="00376999" w:rsidRDefault="00000000">
            <w:pPr>
              <w:pStyle w:val="TableContents"/>
            </w:pPr>
            <w:r>
              <w:t>2023 NYCHVS</w:t>
            </w:r>
          </w:p>
        </w:tc>
      </w:tr>
      <w:tr w:rsidR="00376999" w14:paraId="2F5F955F" w14:textId="77777777">
        <w:tc>
          <w:tcPr>
            <w:tcW w:w="4977" w:type="dxa"/>
            <w:vAlign w:val="center"/>
          </w:tcPr>
          <w:p w14:paraId="30C5DBD3" w14:textId="77777777" w:rsidR="00376999" w:rsidRDefault="00000000">
            <w:pPr>
              <w:pStyle w:val="TableContents"/>
              <w:rPr>
                <w:b/>
              </w:rPr>
            </w:pPr>
            <w:r>
              <w:rPr>
                <w:b/>
              </w:rPr>
              <w:t xml:space="preserve">Units </w:t>
            </w:r>
            <w:proofErr w:type="gramStart"/>
            <w:r>
              <w:rPr>
                <w:b/>
              </w:rPr>
              <w:t>actually available</w:t>
            </w:r>
            <w:proofErr w:type="gramEnd"/>
            <w:r>
              <w:rPr>
                <w:b/>
              </w:rPr>
              <w:t xml:space="preserve"> at a point in time</w:t>
            </w:r>
          </w:p>
        </w:tc>
        <w:tc>
          <w:tcPr>
            <w:tcW w:w="1426" w:type="dxa"/>
            <w:vAlign w:val="center"/>
          </w:tcPr>
          <w:p w14:paraId="318F0C96" w14:textId="77777777" w:rsidR="00376999" w:rsidRDefault="00000000">
            <w:pPr>
              <w:pStyle w:val="TableContents"/>
              <w:rPr>
                <w:b/>
              </w:rPr>
            </w:pPr>
            <w:r>
              <w:rPr>
                <w:b/>
              </w:rPr>
              <w:t>33,210</w:t>
            </w:r>
          </w:p>
        </w:tc>
        <w:tc>
          <w:tcPr>
            <w:tcW w:w="3342" w:type="dxa"/>
            <w:vAlign w:val="center"/>
          </w:tcPr>
          <w:p w14:paraId="57E2B5A6" w14:textId="77777777" w:rsidR="00376999" w:rsidRDefault="00000000">
            <w:pPr>
              <w:pStyle w:val="TableContents"/>
            </w:pPr>
            <w:r>
              <w:t>NYC HPD, 1.41% vacancy 2023</w:t>
            </w:r>
          </w:p>
        </w:tc>
      </w:tr>
    </w:tbl>
    <w:p w14:paraId="00F21EDA" w14:textId="77777777" w:rsidR="00376999" w:rsidRDefault="00000000">
      <w:pPr>
        <w:pStyle w:val="BodyText"/>
        <w:rPr>
          <w:b/>
        </w:rPr>
      </w:pPr>
      <w:r>
        <w:rPr>
          <w:b/>
        </w:rPr>
        <w:t>The in-market moment is about 1.3% of the population framing — roughly 1 in 75.</w:t>
      </w:r>
    </w:p>
    <w:p w14:paraId="639653A8" w14:textId="77777777" w:rsidR="00376999" w:rsidRDefault="00000000">
      <w:pPr>
        <w:pStyle w:val="BodyText"/>
      </w:pPr>
      <w:r>
        <w:t xml:space="preserve">That is not a rounding note, it is the shape of the business. Two independent routes agree on it: the sourced vacancy figure says 33,210 units are available at once, and an 8–12% annual turnover model on 2,357,000 units implies </w:t>
      </w:r>
      <w:r>
        <w:rPr>
          <w:b/>
        </w:rPr>
        <w:t>21,800–32,600 households</w:t>
      </w:r>
      <w:r>
        <w:t xml:space="preserve"> searching in any six-week window. Different methods, same order of magnitude.</w:t>
      </w:r>
    </w:p>
    <w:p w14:paraId="1914324B" w14:textId="77777777" w:rsidR="00376999" w:rsidRDefault="00000000">
      <w:pPr>
        <w:pStyle w:val="BodyText"/>
      </w:pPr>
      <w:r>
        <w:rPr>
          <w:b/>
        </w:rPr>
        <w:t xml:space="preserve">This is the most probable explanation of </w:t>
      </w:r>
      <w:proofErr w:type="spellStart"/>
      <w:r>
        <w:rPr>
          <w:b/>
        </w:rPr>
        <w:t>Openigloo's</w:t>
      </w:r>
      <w:proofErr w:type="spellEnd"/>
      <w:r>
        <w:rPr>
          <w:b/>
        </w:rPr>
        <w:t xml:space="preserve"> pivot.</w:t>
      </w:r>
      <w:r>
        <w:t xml:space="preserve"> They reached 3M+ people and still left for brokerage. Reach was never the constraint — the constraint is that only about one in seventy-five of those people </w:t>
      </w:r>
      <w:proofErr w:type="gramStart"/>
      <w:r>
        <w:t>is in a position to</w:t>
      </w:r>
      <w:proofErr w:type="gramEnd"/>
      <w:r>
        <w:t xml:space="preserve"> </w:t>
      </w:r>
      <w:r>
        <w:rPr>
          <w:i/>
        </w:rPr>
        <w:t>act</w:t>
      </w:r>
      <w:r>
        <w:t xml:space="preserve"> on the information at any given time, and the person who is in that position is, by definition, standing next to a transaction. </w:t>
      </w:r>
      <w:proofErr w:type="spellStart"/>
      <w:r>
        <w:t>Openigloo</w:t>
      </w:r>
      <w:proofErr w:type="spellEnd"/>
      <w:r>
        <w:t xml:space="preserve"> did not abandon the audience. It followed the audience to the moment where money </w:t>
      </w:r>
      <w:proofErr w:type="gramStart"/>
      <w:r>
        <w:t>changes</w:t>
      </w:r>
      <w:proofErr w:type="gramEnd"/>
      <w:r>
        <w:t xml:space="preserve"> hands.</w:t>
      </w:r>
    </w:p>
    <w:p w14:paraId="36DA3985" w14:textId="77777777" w:rsidR="00376999" w:rsidRDefault="00000000">
      <w:pPr>
        <w:pStyle w:val="BodyText"/>
      </w:pPr>
      <w:r>
        <w:rPr>
          <w:b/>
        </w:rPr>
        <w:t xml:space="preserve">What this means for </w:t>
      </w:r>
      <w:proofErr w:type="gramStart"/>
      <w:r>
        <w:rPr>
          <w:b/>
        </w:rPr>
        <w:t>who</w:t>
      </w:r>
      <w:proofErr w:type="gramEnd"/>
      <w:r>
        <w:rPr>
          <w:b/>
        </w:rPr>
        <w:t xml:space="preserve"> we count as served:</w:t>
      </w:r>
      <w:r>
        <w:t xml:space="preserve"> the honest primary user is not "NYC renters." It is </w:t>
      </w:r>
      <w:r>
        <w:rPr>
          <w:i/>
        </w:rPr>
        <w:t>a household in the 4–</w:t>
      </w:r>
      <w:proofErr w:type="gramStart"/>
      <w:r>
        <w:rPr>
          <w:i/>
        </w:rPr>
        <w:t>8 week</w:t>
      </w:r>
      <w:proofErr w:type="gramEnd"/>
      <w:r>
        <w:rPr>
          <w:i/>
        </w:rPr>
        <w:t xml:space="preserve"> window between deciding to move and signing</w:t>
      </w:r>
      <w:r>
        <w:t xml:space="preserve">, and secondarily </w:t>
      </w:r>
      <w:r>
        <w:rPr>
          <w:i/>
        </w:rPr>
        <w:t>a tenant already in a building who has a problem now</w:t>
      </w:r>
      <w:r>
        <w:t xml:space="preserve"> — a different moment, with different urgency, which is the one the agent and the legal-referral directory </w:t>
      </w:r>
      <w:proofErr w:type="gramStart"/>
      <w:r>
        <w:t>actually serve</w:t>
      </w:r>
      <w:proofErr w:type="gramEnd"/>
      <w:r>
        <w:t>.</w:t>
      </w:r>
    </w:p>
    <w:p w14:paraId="6CDD67B9" w14:textId="77777777" w:rsidR="00376999" w:rsidRDefault="00000000">
      <w:pPr>
        <w:pStyle w:val="Heading3"/>
      </w:pPr>
      <w:r>
        <w:t>The workers this industry serves — an underserved segment we did not design for</w:t>
      </w:r>
    </w:p>
    <w:p w14:paraId="04E11E32" w14:textId="77777777" w:rsidR="00376999" w:rsidRDefault="00000000">
      <w:pPr>
        <w:pStyle w:val="BodyText"/>
      </w:pPr>
      <w:r>
        <w:t xml:space="preserve">The question "who does this industry serve" has a second answer we had not mapped, and it is where the record is used </w:t>
      </w:r>
      <w:r>
        <w:rPr>
          <w:i/>
        </w:rPr>
        <w:t>repeatedly</w:t>
      </w:r>
      <w:r>
        <w:t xml:space="preserve"> rather than once:</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3249"/>
        <w:gridCol w:w="5715"/>
        <w:gridCol w:w="1836"/>
      </w:tblGrid>
      <w:tr w:rsidR="00376999" w14:paraId="254373CC" w14:textId="77777777">
        <w:tc>
          <w:tcPr>
            <w:tcW w:w="2932" w:type="dxa"/>
            <w:vAlign w:val="center"/>
          </w:tcPr>
          <w:p w14:paraId="4B500C8D" w14:textId="77777777" w:rsidR="00376999" w:rsidRDefault="00000000">
            <w:pPr>
              <w:pStyle w:val="TableHeading"/>
            </w:pPr>
            <w:r>
              <w:t>Worker</w:t>
            </w:r>
          </w:p>
        </w:tc>
        <w:tc>
          <w:tcPr>
            <w:tcW w:w="5157" w:type="dxa"/>
            <w:vAlign w:val="center"/>
          </w:tcPr>
          <w:p w14:paraId="58FE5364" w14:textId="77777777" w:rsidR="00376999" w:rsidRDefault="00000000">
            <w:pPr>
              <w:pStyle w:val="TableHeading"/>
            </w:pPr>
            <w:r>
              <w:t>What they do with building records</w:t>
            </w:r>
          </w:p>
        </w:tc>
        <w:tc>
          <w:tcPr>
            <w:tcW w:w="1657" w:type="dxa"/>
            <w:vAlign w:val="center"/>
          </w:tcPr>
          <w:p w14:paraId="2FD1F8D3" w14:textId="77777777" w:rsidR="00376999" w:rsidRDefault="00000000">
            <w:pPr>
              <w:pStyle w:val="TableHeading"/>
            </w:pPr>
            <w:r>
              <w:t>Frequency</w:t>
            </w:r>
          </w:p>
        </w:tc>
      </w:tr>
      <w:tr w:rsidR="00376999" w14:paraId="6FBDC13D" w14:textId="77777777">
        <w:tc>
          <w:tcPr>
            <w:tcW w:w="2932" w:type="dxa"/>
            <w:vAlign w:val="center"/>
          </w:tcPr>
          <w:p w14:paraId="27BE14FB" w14:textId="77777777" w:rsidR="00376999" w:rsidRDefault="00000000">
            <w:pPr>
              <w:pStyle w:val="TableContents"/>
            </w:pPr>
            <w:r>
              <w:lastRenderedPageBreak/>
              <w:t>Tenant lawyers, Legal Aid staff</w:t>
            </w:r>
          </w:p>
        </w:tc>
        <w:tc>
          <w:tcPr>
            <w:tcW w:w="5157" w:type="dxa"/>
            <w:vAlign w:val="center"/>
          </w:tcPr>
          <w:p w14:paraId="423799AE" w14:textId="77777777" w:rsidR="00376999" w:rsidRDefault="00000000">
            <w:pPr>
              <w:pStyle w:val="TableContents"/>
            </w:pPr>
            <w:r>
              <w:t>Establish a building's violation history for a case</w:t>
            </w:r>
          </w:p>
        </w:tc>
        <w:tc>
          <w:tcPr>
            <w:tcW w:w="1657" w:type="dxa"/>
            <w:vAlign w:val="center"/>
          </w:tcPr>
          <w:p w14:paraId="6A0F8066" w14:textId="77777777" w:rsidR="00376999" w:rsidRDefault="00000000">
            <w:pPr>
              <w:pStyle w:val="TableContents"/>
            </w:pPr>
            <w:r>
              <w:t>Daily, per client</w:t>
            </w:r>
          </w:p>
        </w:tc>
      </w:tr>
      <w:tr w:rsidR="00376999" w14:paraId="588B90FD" w14:textId="77777777">
        <w:tc>
          <w:tcPr>
            <w:tcW w:w="2932" w:type="dxa"/>
            <w:vAlign w:val="center"/>
          </w:tcPr>
          <w:p w14:paraId="5DAB287C" w14:textId="77777777" w:rsidR="00376999" w:rsidRDefault="00000000">
            <w:pPr>
              <w:pStyle w:val="TableContents"/>
            </w:pPr>
            <w:r>
              <w:t xml:space="preserve">Tenant </w:t>
            </w:r>
            <w:proofErr w:type="spellStart"/>
            <w:r>
              <w:t>organisers</w:t>
            </w:r>
            <w:proofErr w:type="spellEnd"/>
          </w:p>
        </w:tc>
        <w:tc>
          <w:tcPr>
            <w:tcW w:w="5157" w:type="dxa"/>
            <w:vAlign w:val="center"/>
          </w:tcPr>
          <w:p w14:paraId="0A3D0979" w14:textId="77777777" w:rsidR="00376999" w:rsidRDefault="00000000">
            <w:pPr>
              <w:pStyle w:val="TableContents"/>
            </w:pPr>
            <w:r>
              <w:t xml:space="preserve">Identify buildings and landlords worth </w:t>
            </w:r>
            <w:proofErr w:type="spellStart"/>
            <w:r>
              <w:t>organising</w:t>
            </w:r>
            <w:proofErr w:type="spellEnd"/>
            <w:r>
              <w:t xml:space="preserve"> around</w:t>
            </w:r>
          </w:p>
        </w:tc>
        <w:tc>
          <w:tcPr>
            <w:tcW w:w="1657" w:type="dxa"/>
            <w:vAlign w:val="center"/>
          </w:tcPr>
          <w:p w14:paraId="62A11410" w14:textId="77777777" w:rsidR="00376999" w:rsidRDefault="00000000">
            <w:pPr>
              <w:pStyle w:val="TableContents"/>
            </w:pPr>
            <w:r>
              <w:t>Weekly</w:t>
            </w:r>
          </w:p>
        </w:tc>
      </w:tr>
      <w:tr w:rsidR="00376999" w14:paraId="186B9A98" w14:textId="77777777">
        <w:tc>
          <w:tcPr>
            <w:tcW w:w="2932" w:type="dxa"/>
            <w:vAlign w:val="center"/>
          </w:tcPr>
          <w:p w14:paraId="7D461851" w14:textId="77777777" w:rsidR="00376999" w:rsidRDefault="00000000">
            <w:pPr>
              <w:pStyle w:val="TableContents"/>
            </w:pPr>
            <w:r>
              <w:t>Housing Court staff and judges</w:t>
            </w:r>
          </w:p>
        </w:tc>
        <w:tc>
          <w:tcPr>
            <w:tcW w:w="5157" w:type="dxa"/>
            <w:vAlign w:val="center"/>
          </w:tcPr>
          <w:p w14:paraId="051FD689" w14:textId="77777777" w:rsidR="00376999" w:rsidRDefault="00000000">
            <w:pPr>
              <w:pStyle w:val="TableContents"/>
            </w:pPr>
            <w:r>
              <w:t>Verify conditions claims</w:t>
            </w:r>
          </w:p>
        </w:tc>
        <w:tc>
          <w:tcPr>
            <w:tcW w:w="1657" w:type="dxa"/>
            <w:vAlign w:val="center"/>
          </w:tcPr>
          <w:p w14:paraId="31760A08" w14:textId="77777777" w:rsidR="00376999" w:rsidRDefault="00000000">
            <w:pPr>
              <w:pStyle w:val="TableContents"/>
            </w:pPr>
            <w:r>
              <w:t>Per case</w:t>
            </w:r>
          </w:p>
        </w:tc>
      </w:tr>
      <w:tr w:rsidR="00376999" w14:paraId="0BEA8360" w14:textId="77777777">
        <w:tc>
          <w:tcPr>
            <w:tcW w:w="2932" w:type="dxa"/>
            <w:vAlign w:val="center"/>
          </w:tcPr>
          <w:p w14:paraId="731669D8" w14:textId="77777777" w:rsidR="00376999" w:rsidRDefault="00000000">
            <w:pPr>
              <w:pStyle w:val="TableContents"/>
            </w:pPr>
            <w:r>
              <w:t>HPD inspectors</w:t>
            </w:r>
          </w:p>
        </w:tc>
        <w:tc>
          <w:tcPr>
            <w:tcW w:w="5157" w:type="dxa"/>
            <w:vAlign w:val="center"/>
          </w:tcPr>
          <w:p w14:paraId="3DE77F40" w14:textId="77777777" w:rsidR="00376999" w:rsidRDefault="00000000">
            <w:pPr>
              <w:pStyle w:val="TableContents"/>
            </w:pPr>
            <w:proofErr w:type="spellStart"/>
            <w:proofErr w:type="gramStart"/>
            <w:r>
              <w:t>Prioritise</w:t>
            </w:r>
            <w:proofErr w:type="spellEnd"/>
            <w:proofErr w:type="gramEnd"/>
            <w:r>
              <w:t xml:space="preserve"> where to inspect</w:t>
            </w:r>
          </w:p>
        </w:tc>
        <w:tc>
          <w:tcPr>
            <w:tcW w:w="1657" w:type="dxa"/>
            <w:vAlign w:val="center"/>
          </w:tcPr>
          <w:p w14:paraId="750996C9" w14:textId="77777777" w:rsidR="00376999" w:rsidRDefault="00000000">
            <w:pPr>
              <w:pStyle w:val="TableContents"/>
            </w:pPr>
            <w:r>
              <w:t>Daily</w:t>
            </w:r>
          </w:p>
        </w:tc>
      </w:tr>
      <w:tr w:rsidR="00376999" w14:paraId="7396FB55" w14:textId="77777777">
        <w:tc>
          <w:tcPr>
            <w:tcW w:w="2932" w:type="dxa"/>
            <w:vAlign w:val="center"/>
          </w:tcPr>
          <w:p w14:paraId="3EBEB226" w14:textId="77777777" w:rsidR="00376999" w:rsidRDefault="00000000">
            <w:pPr>
              <w:pStyle w:val="TableContents"/>
            </w:pPr>
            <w:r>
              <w:t>Journalists and researchers</w:t>
            </w:r>
          </w:p>
        </w:tc>
        <w:tc>
          <w:tcPr>
            <w:tcW w:w="5157" w:type="dxa"/>
            <w:vAlign w:val="center"/>
          </w:tcPr>
          <w:p w14:paraId="34C51F17" w14:textId="77777777" w:rsidR="00376999" w:rsidRDefault="00000000">
            <w:pPr>
              <w:pStyle w:val="TableContents"/>
            </w:pPr>
            <w:r>
              <w:t>Find patterns across portfolios</w:t>
            </w:r>
          </w:p>
        </w:tc>
        <w:tc>
          <w:tcPr>
            <w:tcW w:w="1657" w:type="dxa"/>
            <w:vAlign w:val="center"/>
          </w:tcPr>
          <w:p w14:paraId="0946938B" w14:textId="77777777" w:rsidR="00376999" w:rsidRDefault="00000000">
            <w:pPr>
              <w:pStyle w:val="TableContents"/>
            </w:pPr>
            <w:r>
              <w:t>Per story</w:t>
            </w:r>
          </w:p>
        </w:tc>
      </w:tr>
      <w:tr w:rsidR="00376999" w14:paraId="2044E7C3" w14:textId="77777777">
        <w:tc>
          <w:tcPr>
            <w:tcW w:w="2932" w:type="dxa"/>
            <w:vAlign w:val="center"/>
          </w:tcPr>
          <w:p w14:paraId="0234E2CB" w14:textId="77777777" w:rsidR="00376999" w:rsidRDefault="00000000">
            <w:pPr>
              <w:pStyle w:val="TableContents"/>
            </w:pPr>
            <w:r>
              <w:t>Property managers and supers</w:t>
            </w:r>
          </w:p>
        </w:tc>
        <w:tc>
          <w:tcPr>
            <w:tcW w:w="5157" w:type="dxa"/>
            <w:vAlign w:val="center"/>
          </w:tcPr>
          <w:p w14:paraId="41ED436A" w14:textId="77777777" w:rsidR="00376999" w:rsidRDefault="00000000">
            <w:pPr>
              <w:pStyle w:val="TableContents"/>
            </w:pPr>
            <w:r>
              <w:t>Track their own open violations</w:t>
            </w:r>
          </w:p>
        </w:tc>
        <w:tc>
          <w:tcPr>
            <w:tcW w:w="1657" w:type="dxa"/>
            <w:vAlign w:val="center"/>
          </w:tcPr>
          <w:p w14:paraId="463FFFCB" w14:textId="77777777" w:rsidR="00376999" w:rsidRDefault="00000000">
            <w:pPr>
              <w:pStyle w:val="TableContents"/>
            </w:pPr>
            <w:r>
              <w:t>Ongoing</w:t>
            </w:r>
          </w:p>
        </w:tc>
      </w:tr>
    </w:tbl>
    <w:p w14:paraId="0E7BF597" w14:textId="77777777" w:rsidR="00376999" w:rsidRDefault="00000000">
      <w:pPr>
        <w:pStyle w:val="BodyText"/>
      </w:pPr>
      <w:r>
        <w:t xml:space="preserve">This group is small, mostly not able to pay, and </w:t>
      </w:r>
      <w:r>
        <w:rPr>
          <w:b/>
        </w:rPr>
        <w:t>uses the data far more often than any renter does.</w:t>
      </w:r>
      <w:r>
        <w:t xml:space="preserve"> A renter needs this twice in a decade. A tenant lawyer needs it twice a day.</w:t>
      </w:r>
    </w:p>
    <w:p w14:paraId="44895BDA" w14:textId="77777777" w:rsidR="00376999" w:rsidRDefault="00000000">
      <w:pPr>
        <w:pStyle w:val="BodyText"/>
      </w:pPr>
      <w:r>
        <w:t xml:space="preserve">Nothing found in this research is built for them. </w:t>
      </w:r>
      <w:proofErr w:type="spellStart"/>
      <w:r>
        <w:t>Rentlogic</w:t>
      </w:r>
      <w:proofErr w:type="spellEnd"/>
      <w:r>
        <w:t xml:space="preserve"> sells to landlords, </w:t>
      </w:r>
      <w:proofErr w:type="spellStart"/>
      <w:r>
        <w:t>Openigloo</w:t>
      </w:r>
      <w:proofErr w:type="spellEnd"/>
      <w:r>
        <w:t xml:space="preserve"> to renters and now to landlords again. The repeat user with the highest need and the lowest willingness to pay is the one nobody serves — which is a real finding, and it is </w:t>
      </w:r>
      <w:proofErr w:type="gramStart"/>
      <w:r>
        <w:t>not obviously</w:t>
      </w:r>
      <w:proofErr w:type="gramEnd"/>
      <w:r>
        <w:t xml:space="preserve"> a business.</w:t>
      </w:r>
    </w:p>
    <w:p w14:paraId="6495844C" w14:textId="77777777" w:rsidR="00376999" w:rsidRDefault="00376999">
      <w:pPr>
        <w:pStyle w:val="HorizontalLine"/>
      </w:pPr>
    </w:p>
    <w:p w14:paraId="57014A19" w14:textId="77777777" w:rsidR="00376999" w:rsidRDefault="00000000">
      <w:pPr>
        <w:pStyle w:val="Heading2"/>
      </w:pPr>
      <w:r>
        <w:t>4. Gaps</w:t>
      </w:r>
    </w:p>
    <w:p w14:paraId="67848FE6" w14:textId="77777777" w:rsidR="00376999" w:rsidRDefault="00000000">
      <w:pPr>
        <w:pStyle w:val="Heading3"/>
      </w:pPr>
      <w:r>
        <w:t xml:space="preserve">The </w:t>
      </w:r>
      <w:proofErr w:type="gramStart"/>
      <w:r>
        <w:t>gap</w:t>
      </w:r>
      <w:proofErr w:type="gramEnd"/>
      <w:r>
        <w:t xml:space="preserve"> the product exists for</w:t>
      </w:r>
    </w:p>
    <w:p w14:paraId="63915D31" w14:textId="77777777" w:rsidR="00376999" w:rsidRDefault="00000000">
      <w:pPr>
        <w:pStyle w:val="BodyText"/>
      </w:pPr>
      <w:r>
        <w:t xml:space="preserve">The records are public and unusable </w:t>
      </w:r>
      <w:proofErr w:type="gramStart"/>
      <w:r>
        <w:t>at the moment</w:t>
      </w:r>
      <w:proofErr w:type="gramEnd"/>
      <w:r>
        <w:t xml:space="preserve"> of decision. NYC Open Data holds </w:t>
      </w:r>
      <w:r>
        <w:rPr>
          <w:b/>
        </w:rPr>
        <w:t>11.1 million</w:t>
      </w:r>
      <w:r>
        <w:t xml:space="preserve"> HPD violation records. Reading them requires knowing that a Class C violation is "immediately hazardous," that a BBL is a borough-block-lot key, and which of three portals holds which fact. That is the gap between </w:t>
      </w:r>
      <w:r>
        <w:rPr>
          <w:i/>
        </w:rPr>
        <w:t>published</w:t>
      </w:r>
      <w:r>
        <w:t xml:space="preserve"> and </w:t>
      </w:r>
      <w:r>
        <w:rPr>
          <w:i/>
        </w:rPr>
        <w:t>legible</w:t>
      </w:r>
      <w:r>
        <w:t>.</w:t>
      </w:r>
    </w:p>
    <w:p w14:paraId="5AB11D8E" w14:textId="77777777" w:rsidR="00376999" w:rsidRDefault="00000000">
      <w:pPr>
        <w:pStyle w:val="Heading3"/>
      </w:pPr>
      <w:r>
        <w:t>The genuine white space</w:t>
      </w:r>
    </w:p>
    <w:p w14:paraId="57C7BAFC" w14:textId="77777777" w:rsidR="00376999" w:rsidRDefault="00000000">
      <w:pPr>
        <w:pStyle w:val="BodyText"/>
      </w:pPr>
      <w:r>
        <w:t xml:space="preserve">Searching specifically for a vendor selling </w:t>
      </w:r>
      <w:r>
        <w:rPr>
          <w:b/>
        </w:rPr>
        <w:t>code-violation or landlord-</w:t>
      </w:r>
      <w:proofErr w:type="spellStart"/>
      <w:r>
        <w:rPr>
          <w:b/>
        </w:rPr>
        <w:t>behaviour</w:t>
      </w:r>
      <w:proofErr w:type="spellEnd"/>
      <w:r>
        <w:rPr>
          <w:b/>
        </w:rPr>
        <w:t xml:space="preserve"> risk scores to insurers or lenders</w:t>
      </w:r>
      <w:r>
        <w:t xml:space="preserve"> returned no established player. Every institutional property-risk company found models </w:t>
      </w:r>
      <w:r>
        <w:rPr>
          <w:b/>
        </w:rPr>
        <w:t>physical and catastrophe</w:t>
      </w:r>
      <w:r>
        <w:t xml:space="preserve"> risk — roof condition, vegetation, wildfire, hail, wind, water — largely from aerial and satellite imagery. None sells habitability.</w:t>
      </w:r>
    </w:p>
    <w:p w14:paraId="245D2CB1" w14:textId="77777777" w:rsidR="00376999" w:rsidRDefault="00000000">
      <w:pPr>
        <w:pStyle w:val="BodyText"/>
      </w:pPr>
      <w:r>
        <w:t>Stated carefully: absence of evidence from public search is not evidence of absence. This is a lead, not a conclusion.</w:t>
      </w:r>
    </w:p>
    <w:p w14:paraId="25883F4B" w14:textId="77777777" w:rsidR="00376999" w:rsidRDefault="00000000">
      <w:pPr>
        <w:pStyle w:val="Heading3"/>
      </w:pPr>
      <w:r>
        <w:t xml:space="preserve">The gap that is a conflict, and </w:t>
      </w:r>
      <w:proofErr w:type="gramStart"/>
      <w:r>
        <w:t>has to</w:t>
      </w:r>
      <w:proofErr w:type="gramEnd"/>
      <w:r>
        <w:t xml:space="preserve"> be decided on purpose</w:t>
      </w:r>
    </w:p>
    <w:p w14:paraId="76F0F48A" w14:textId="77777777" w:rsidR="00376999" w:rsidRDefault="00000000">
      <w:pPr>
        <w:pStyle w:val="BodyText"/>
      </w:pPr>
      <w:r>
        <w:t xml:space="preserve">Insurers are beginning to explore </w:t>
      </w:r>
      <w:r>
        <w:rPr>
          <w:b/>
        </w:rPr>
        <w:t>habitability exclusions</w:t>
      </w:r>
      <w:r>
        <w:t xml:space="preserve"> — provisions allowing a claim to be denied where a property is uninhabitable due to code violations or deferred maintenance.</w:t>
      </w:r>
    </w:p>
    <w:p w14:paraId="14E2393D" w14:textId="77777777" w:rsidR="00376999" w:rsidRDefault="00000000">
      <w:pPr>
        <w:pStyle w:val="BodyText"/>
      </w:pPr>
      <w:r>
        <w:t xml:space="preserve">That is the natural buyer for precisely this dataset. It is also the exact inversion of the product's purpose. </w:t>
      </w:r>
      <w:proofErr w:type="spellStart"/>
      <w:r>
        <w:t>HouseCheck</w:t>
      </w:r>
      <w:proofErr w:type="spellEnd"/>
      <w:r>
        <w:t xml:space="preserve"> exists so a renter knows what they are signing into. Sold to that buyer, the same records help an insurer refuse a claim on the same bad building, and the party </w:t>
      </w:r>
      <w:proofErr w:type="gramStart"/>
      <w:r>
        <w:t>harmed is</w:t>
      </w:r>
      <w:proofErr w:type="gramEnd"/>
      <w:r>
        <w:t xml:space="preserve"> the tenant.</w:t>
      </w:r>
    </w:p>
    <w:p w14:paraId="45BA8A3D" w14:textId="77777777" w:rsidR="00376999" w:rsidRDefault="00000000">
      <w:pPr>
        <w:pStyle w:val="BodyText"/>
      </w:pPr>
      <w:r>
        <w:t>Recorded here rather than omitted because it is the highest willingness-to-pay path found.</w:t>
      </w:r>
    </w:p>
    <w:p w14:paraId="20561F07" w14:textId="77777777" w:rsidR="00376999" w:rsidRDefault="00000000">
      <w:pPr>
        <w:pStyle w:val="BodyText"/>
      </w:pPr>
      <w:r>
        <w:rPr>
          <w:b/>
        </w:rPr>
        <w:t>Cleaner variants of the same path</w:t>
      </w:r>
      <w:r>
        <w:t>, where the buyer's incentive points the same way as ours:</w:t>
      </w:r>
    </w:p>
    <w:p w14:paraId="22F1135B" w14:textId="77777777" w:rsidR="00376999" w:rsidRDefault="00000000">
      <w:pPr>
        <w:pStyle w:val="BodyText"/>
        <w:numPr>
          <w:ilvl w:val="0"/>
          <w:numId w:val="2"/>
        </w:numPr>
        <w:tabs>
          <w:tab w:val="left" w:pos="709"/>
        </w:tabs>
        <w:spacing w:after="0"/>
      </w:pPr>
      <w:proofErr w:type="gramStart"/>
      <w:r>
        <w:rPr>
          <w:b/>
        </w:rPr>
        <w:t>Lenders</w:t>
      </w:r>
      <w:proofErr w:type="gramEnd"/>
      <w:r>
        <w:t xml:space="preserve"> pricing multifamily credit risk — violation history is a real default signal, and an accurately-priced loan does not require harming a tenant.</w:t>
      </w:r>
    </w:p>
    <w:p w14:paraId="15804C4C" w14:textId="77777777" w:rsidR="00376999" w:rsidRDefault="00000000">
      <w:pPr>
        <w:pStyle w:val="BodyText"/>
        <w:numPr>
          <w:ilvl w:val="0"/>
          <w:numId w:val="2"/>
        </w:numPr>
        <w:tabs>
          <w:tab w:val="left" w:pos="709"/>
        </w:tabs>
      </w:pPr>
      <w:r>
        <w:rPr>
          <w:b/>
        </w:rPr>
        <w:t>City agencies</w:t>
      </w:r>
      <w:r>
        <w:t xml:space="preserve"> targeting enforcement — the enforcement body already holds the data; the value is </w:t>
      </w:r>
      <w:proofErr w:type="spellStart"/>
      <w:r>
        <w:t>prioritisation</w:t>
      </w:r>
      <w:proofErr w:type="spellEnd"/>
      <w:r>
        <w:t>.</w:t>
      </w:r>
    </w:p>
    <w:p w14:paraId="75FBC8F6" w14:textId="77777777" w:rsidR="00376999" w:rsidRDefault="00000000">
      <w:pPr>
        <w:pStyle w:val="Heading3"/>
      </w:pPr>
      <w:r>
        <w:lastRenderedPageBreak/>
        <w:t>What is missing or underserved — the short answer</w:t>
      </w:r>
    </w:p>
    <w:p w14:paraId="57597EE6" w14:textId="77777777" w:rsidR="00376999" w:rsidRDefault="00000000">
      <w:pPr>
        <w:pStyle w:val="BodyText"/>
      </w:pPr>
      <w:r>
        <w:t>Five things, ordered by how confident the evidence is rather than by how appealing they are.</w:t>
      </w:r>
    </w:p>
    <w:p w14:paraId="1F662F60" w14:textId="77777777" w:rsidR="00376999" w:rsidRDefault="00000000">
      <w:pPr>
        <w:pStyle w:val="BodyText"/>
        <w:numPr>
          <w:ilvl w:val="0"/>
          <w:numId w:val="3"/>
        </w:numPr>
        <w:tabs>
          <w:tab w:val="left" w:pos="709"/>
        </w:tabs>
        <w:spacing w:after="0"/>
      </w:pPr>
      <w:r>
        <w:rPr>
          <w:b/>
        </w:rPr>
        <w:t>A settled payer for the tenant-facing layer.</w:t>
      </w:r>
      <w:r>
        <w:t xml:space="preserve"> Every other layer of the landscape table in §2b has one. This layer has had two serious attempts over twelve years and neither resolved it. This is the strongest finding in the </w:t>
      </w:r>
      <w:proofErr w:type="gramStart"/>
      <w:r>
        <w:t>document</w:t>
      </w:r>
      <w:proofErr w:type="gramEnd"/>
      <w:r>
        <w:t xml:space="preserve"> and it is a warning, not an opening.</w:t>
      </w:r>
    </w:p>
    <w:p w14:paraId="2E3425FB" w14:textId="77777777" w:rsidR="00376999" w:rsidRDefault="00000000">
      <w:pPr>
        <w:pStyle w:val="BodyText"/>
        <w:numPr>
          <w:ilvl w:val="0"/>
          <w:numId w:val="3"/>
        </w:numPr>
        <w:tabs>
          <w:tab w:val="left" w:pos="709"/>
        </w:tabs>
        <w:spacing w:after="0"/>
      </w:pPr>
      <w:r>
        <w:rPr>
          <w:b/>
        </w:rPr>
        <w:t>The repeat user nobody builds for.</w:t>
      </w:r>
      <w:r>
        <w:t xml:space="preserve"> Tenant lawyers, </w:t>
      </w:r>
      <w:proofErr w:type="spellStart"/>
      <w:r>
        <w:t>organisers</w:t>
      </w:r>
      <w:proofErr w:type="spellEnd"/>
      <w:r>
        <w:t>, court staff and inspectors use building records daily; renters use them twice a decade. Every product found is built for the infrequent user. The frequent user has the highest need and close to zero budget.</w:t>
      </w:r>
    </w:p>
    <w:p w14:paraId="21A1D930" w14:textId="77777777" w:rsidR="00376999" w:rsidRDefault="00000000">
      <w:pPr>
        <w:pStyle w:val="BodyText"/>
        <w:numPr>
          <w:ilvl w:val="0"/>
          <w:numId w:val="3"/>
        </w:numPr>
        <w:tabs>
          <w:tab w:val="left" w:pos="709"/>
        </w:tabs>
        <w:spacing w:after="0"/>
      </w:pPr>
      <w:r>
        <w:rPr>
          <w:b/>
        </w:rPr>
        <w:t>Habitability as a risk signal.</w:t>
      </w:r>
      <w:r>
        <w:t xml:space="preserve"> Institutional property-risk vendors model roofs, wildfire and hail from imagery. None found sells code-violation or landlord-</w:t>
      </w:r>
      <w:proofErr w:type="spellStart"/>
      <w:r>
        <w:t>behaviour</w:t>
      </w:r>
      <w:proofErr w:type="spellEnd"/>
      <w:r>
        <w:t xml:space="preserve"> risk. Genuine white space — with the conflict below attached to it.</w:t>
      </w:r>
    </w:p>
    <w:p w14:paraId="5915D975" w14:textId="77777777" w:rsidR="00376999" w:rsidRDefault="00000000">
      <w:pPr>
        <w:pStyle w:val="BodyText"/>
        <w:numPr>
          <w:ilvl w:val="0"/>
          <w:numId w:val="3"/>
        </w:numPr>
        <w:tabs>
          <w:tab w:val="left" w:pos="709"/>
        </w:tabs>
        <w:spacing w:after="0"/>
      </w:pPr>
      <w:r>
        <w:rPr>
          <w:b/>
        </w:rPr>
        <w:t>Reaching the renter in the 4–</w:t>
      </w:r>
      <w:proofErr w:type="gramStart"/>
      <w:r>
        <w:rPr>
          <w:b/>
        </w:rPr>
        <w:t>8 week</w:t>
      </w:r>
      <w:proofErr w:type="gramEnd"/>
      <w:r>
        <w:rPr>
          <w:b/>
        </w:rPr>
        <w:t xml:space="preserve"> window.</w:t>
      </w:r>
      <w:r>
        <w:t xml:space="preserve"> Not a data gap, a distribution gap. The information exists and is now legible; the unsolved part is being present </w:t>
      </w:r>
      <w:proofErr w:type="gramStart"/>
      <w:r>
        <w:t>at the moment</w:t>
      </w:r>
      <w:proofErr w:type="gramEnd"/>
      <w:r>
        <w:t xml:space="preserve"> one in seventy-five people is deciding.</w:t>
      </w:r>
    </w:p>
    <w:p w14:paraId="3644413C" w14:textId="77777777" w:rsidR="00376999" w:rsidRDefault="00000000">
      <w:pPr>
        <w:pStyle w:val="BodyText"/>
        <w:numPr>
          <w:ilvl w:val="0"/>
          <w:numId w:val="3"/>
        </w:numPr>
        <w:tabs>
          <w:tab w:val="left" w:pos="709"/>
        </w:tabs>
      </w:pPr>
      <w:r>
        <w:t xml:space="preserve">**Violation </w:t>
      </w:r>
      <w:proofErr w:type="gramStart"/>
      <w:r>
        <w:rPr>
          <w:i/>
        </w:rPr>
        <w:t>meaning</w:t>
      </w:r>
      <w:proofErr w:type="gramEnd"/>
      <w:r>
        <w:t xml:space="preserve">, not just violation </w:t>
      </w:r>
      <w:proofErr w:type="gramStart"/>
      <w:r>
        <w:t>counts.*</w:t>
      </w:r>
      <w:proofErr w:type="gramEnd"/>
      <w:r>
        <w:t xml:space="preserve">* Every product in this space, ours included, reports how many violations a building has. HPD publishes what each one </w:t>
      </w:r>
      <w:r>
        <w:rPr>
          <w:i/>
        </w:rPr>
        <w:t>is</w:t>
      </w:r>
      <w:r>
        <w:t>. Nobody found turns "7 open Class C" into "no heat, twice, unresolved since March."</w:t>
      </w:r>
    </w:p>
    <w:p w14:paraId="73876B91" w14:textId="77777777" w:rsidR="00376999" w:rsidRDefault="00000000">
      <w:pPr>
        <w:pStyle w:val="Heading3"/>
      </w:pPr>
      <w:r>
        <w:t>Gaps in our own build, measured</w:t>
      </w:r>
    </w:p>
    <w:p w14:paraId="2D369289" w14:textId="77777777" w:rsidR="00376999" w:rsidRDefault="00000000">
      <w:pPr>
        <w:pStyle w:val="BodyText"/>
      </w:pPr>
      <w:r>
        <w:t>Not aspirational. These are known, with numbers:</w:t>
      </w:r>
    </w:p>
    <w:p w14:paraId="21A06B29" w14:textId="77777777" w:rsidR="00376999" w:rsidRDefault="00000000">
      <w:pPr>
        <w:pStyle w:val="BodyText"/>
        <w:numPr>
          <w:ilvl w:val="0"/>
          <w:numId w:val="4"/>
        </w:numPr>
        <w:tabs>
          <w:tab w:val="left" w:pos="709"/>
        </w:tabs>
        <w:spacing w:after="0"/>
      </w:pPr>
      <w:r>
        <w:rPr>
          <w:b/>
        </w:rPr>
        <w:t>Coverage.</w:t>
      </w:r>
      <w:r>
        <w:t xml:space="preserve"> 250 buildings in one community district. The </w:t>
      </w:r>
      <w:proofErr w:type="gramStart"/>
      <w:r>
        <w:t>baked-artifact</w:t>
      </w:r>
      <w:proofErr w:type="gramEnd"/>
      <w:r>
        <w:t xml:space="preserve"> architecture </w:t>
      </w:r>
      <w:proofErr w:type="gramStart"/>
      <w:r>
        <w:t>holds to</w:t>
      </w:r>
      <w:proofErr w:type="gramEnd"/>
      <w:r>
        <w:t xml:space="preserve"> roughly 40,000 buildings before it exceeds the 256 MB VM; all 180,000 HPD-registered multifamily buildings would need ~914 MB and a different storage design.</w:t>
      </w:r>
    </w:p>
    <w:p w14:paraId="223BD21F" w14:textId="77777777" w:rsidR="00376999" w:rsidRDefault="00000000">
      <w:pPr>
        <w:pStyle w:val="BodyText"/>
        <w:numPr>
          <w:ilvl w:val="0"/>
          <w:numId w:val="4"/>
        </w:numPr>
        <w:tabs>
          <w:tab w:val="left" w:pos="709"/>
        </w:tabs>
        <w:spacing w:after="0"/>
      </w:pPr>
      <w:r>
        <w:rPr>
          <w:b/>
        </w:rPr>
        <w:t>Violation descriptions.</w:t>
      </w:r>
      <w:r>
        <w:t xml:space="preserve"> HPD publishes them; our ingest does not fetch them, so the agent can say </w:t>
      </w:r>
      <w:r>
        <w:rPr>
          <w:i/>
        </w:rPr>
        <w:t>how many</w:t>
      </w:r>
      <w:r>
        <w:t xml:space="preserve"> violations exist but not </w:t>
      </w:r>
      <w:r>
        <w:rPr>
          <w:i/>
        </w:rPr>
        <w:t>what they are</w:t>
      </w:r>
      <w:r>
        <w:t>.</w:t>
      </w:r>
    </w:p>
    <w:p w14:paraId="6BF8BB03" w14:textId="77777777" w:rsidR="00376999" w:rsidRDefault="00000000">
      <w:pPr>
        <w:pStyle w:val="BodyText"/>
        <w:numPr>
          <w:ilvl w:val="0"/>
          <w:numId w:val="4"/>
        </w:numPr>
        <w:tabs>
          <w:tab w:val="left" w:pos="709"/>
        </w:tabs>
        <w:spacing w:after="0"/>
      </w:pPr>
      <w:r>
        <w:rPr>
          <w:b/>
        </w:rPr>
        <w:t>Class I violations excluded.</w:t>
      </w:r>
      <w:r>
        <w:t xml:space="preserve"> 753 records skipped on the curated set — now stated on the card and in </w:t>
      </w:r>
      <w:r>
        <w:rPr>
          <w:rStyle w:val="SourceText"/>
        </w:rPr>
        <w:t>/</w:t>
      </w:r>
      <w:proofErr w:type="gramStart"/>
      <w:r>
        <w:rPr>
          <w:rStyle w:val="SourceText"/>
        </w:rPr>
        <w:t>meta</w:t>
      </w:r>
      <w:r>
        <w:t>, but</w:t>
      </w:r>
      <w:proofErr w:type="gramEnd"/>
      <w:r>
        <w:t xml:space="preserve"> not yet scored.</w:t>
      </w:r>
    </w:p>
    <w:p w14:paraId="402B546E" w14:textId="77777777" w:rsidR="00376999" w:rsidRDefault="00000000">
      <w:pPr>
        <w:pStyle w:val="BodyText"/>
        <w:numPr>
          <w:ilvl w:val="0"/>
          <w:numId w:val="4"/>
        </w:numPr>
        <w:tabs>
          <w:tab w:val="left" w:pos="709"/>
        </w:tabs>
      </w:pPr>
      <w:r>
        <w:rPr>
          <w:b/>
        </w:rPr>
        <w:t>No refresh.</w:t>
      </w:r>
      <w:r>
        <w:t xml:space="preserve"> The artifact is a point-in-time snapshot. Nothing re-ingests on </w:t>
      </w:r>
      <w:proofErr w:type="gramStart"/>
      <w:r>
        <w:t>a schedule</w:t>
      </w:r>
      <w:proofErr w:type="gramEnd"/>
      <w:r>
        <w:t>.</w:t>
      </w:r>
    </w:p>
    <w:p w14:paraId="5952E0FE" w14:textId="77777777" w:rsidR="00376999" w:rsidRDefault="00376999">
      <w:pPr>
        <w:pStyle w:val="HorizontalLine"/>
      </w:pPr>
    </w:p>
    <w:p w14:paraId="5B8E52BA" w14:textId="77777777" w:rsidR="00376999" w:rsidRDefault="00000000">
      <w:pPr>
        <w:pStyle w:val="Heading2"/>
      </w:pPr>
      <w:r>
        <w:t>5. The market figure not to use</w:t>
      </w:r>
    </w:p>
    <w:p w14:paraId="7E089D55" w14:textId="77777777" w:rsidR="00376999" w:rsidRDefault="00000000">
      <w:pPr>
        <w:pStyle w:val="BodyText"/>
      </w:pPr>
      <w:r>
        <w:t>Global proptech, 2025, by research firm:</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4002"/>
        <w:gridCol w:w="1832"/>
        <w:gridCol w:w="4966"/>
      </w:tblGrid>
      <w:tr w:rsidR="00376999" w14:paraId="6129EC17" w14:textId="77777777">
        <w:tc>
          <w:tcPr>
            <w:tcW w:w="3611" w:type="dxa"/>
            <w:vAlign w:val="center"/>
          </w:tcPr>
          <w:p w14:paraId="2B88B812" w14:textId="77777777" w:rsidR="00376999" w:rsidRDefault="00000000">
            <w:pPr>
              <w:pStyle w:val="TableHeading"/>
            </w:pPr>
            <w:r>
              <w:t>Firm</w:t>
            </w:r>
          </w:p>
        </w:tc>
        <w:tc>
          <w:tcPr>
            <w:tcW w:w="1653" w:type="dxa"/>
            <w:vAlign w:val="center"/>
          </w:tcPr>
          <w:p w14:paraId="370A5D7C" w14:textId="77777777" w:rsidR="00376999" w:rsidRDefault="00000000">
            <w:pPr>
              <w:pStyle w:val="TableHeading"/>
            </w:pPr>
            <w:r>
              <w:t>2025 size</w:t>
            </w:r>
          </w:p>
        </w:tc>
        <w:tc>
          <w:tcPr>
            <w:tcW w:w="4481" w:type="dxa"/>
            <w:vAlign w:val="center"/>
          </w:tcPr>
          <w:p w14:paraId="23B13ACF" w14:textId="77777777" w:rsidR="00376999" w:rsidRDefault="00000000">
            <w:pPr>
              <w:pStyle w:val="TableHeading"/>
            </w:pPr>
            <w:r>
              <w:t>Forecast</w:t>
            </w:r>
          </w:p>
        </w:tc>
      </w:tr>
      <w:tr w:rsidR="00376999" w14:paraId="34559782" w14:textId="77777777">
        <w:tc>
          <w:tcPr>
            <w:tcW w:w="3611" w:type="dxa"/>
            <w:vAlign w:val="center"/>
          </w:tcPr>
          <w:p w14:paraId="205326D8" w14:textId="77777777" w:rsidR="00376999" w:rsidRDefault="00000000">
            <w:pPr>
              <w:pStyle w:val="TableContents"/>
            </w:pPr>
            <w:r>
              <w:t>Fortune Business Insights</w:t>
            </w:r>
          </w:p>
        </w:tc>
        <w:tc>
          <w:tcPr>
            <w:tcW w:w="1653" w:type="dxa"/>
            <w:vAlign w:val="center"/>
          </w:tcPr>
          <w:p w14:paraId="3105E2F1" w14:textId="77777777" w:rsidR="00376999" w:rsidRDefault="00000000">
            <w:pPr>
              <w:pStyle w:val="TableContents"/>
            </w:pPr>
            <w:r>
              <w:t>$40.19B</w:t>
            </w:r>
          </w:p>
        </w:tc>
        <w:tc>
          <w:tcPr>
            <w:tcW w:w="4481" w:type="dxa"/>
            <w:vAlign w:val="center"/>
          </w:tcPr>
          <w:p w14:paraId="49E0136A" w14:textId="77777777" w:rsidR="00376999" w:rsidRDefault="00000000">
            <w:pPr>
              <w:pStyle w:val="TableContents"/>
            </w:pPr>
            <w:r>
              <w:t>$104.57B by 2034 (11.9% CAGR)</w:t>
            </w:r>
          </w:p>
        </w:tc>
      </w:tr>
      <w:tr w:rsidR="00376999" w14:paraId="27528D0F" w14:textId="77777777">
        <w:tc>
          <w:tcPr>
            <w:tcW w:w="3611" w:type="dxa"/>
            <w:vAlign w:val="center"/>
          </w:tcPr>
          <w:p w14:paraId="52A23370" w14:textId="77777777" w:rsidR="00376999" w:rsidRDefault="00000000">
            <w:pPr>
              <w:pStyle w:val="TableContents"/>
            </w:pPr>
            <w:r>
              <w:t>SNS Insider</w:t>
            </w:r>
          </w:p>
        </w:tc>
        <w:tc>
          <w:tcPr>
            <w:tcW w:w="1653" w:type="dxa"/>
            <w:vAlign w:val="center"/>
          </w:tcPr>
          <w:p w14:paraId="339C2807" w14:textId="77777777" w:rsidR="00376999" w:rsidRDefault="00000000">
            <w:pPr>
              <w:pStyle w:val="TableContents"/>
            </w:pPr>
            <w:r>
              <w:t>$43.0B</w:t>
            </w:r>
          </w:p>
        </w:tc>
        <w:tc>
          <w:tcPr>
            <w:tcW w:w="4481" w:type="dxa"/>
            <w:vAlign w:val="center"/>
          </w:tcPr>
          <w:p w14:paraId="08B8744E" w14:textId="77777777" w:rsidR="00376999" w:rsidRDefault="00000000">
            <w:pPr>
              <w:pStyle w:val="TableContents"/>
            </w:pPr>
            <w:r>
              <w:t>—</w:t>
            </w:r>
          </w:p>
        </w:tc>
      </w:tr>
      <w:tr w:rsidR="00376999" w14:paraId="2154C358" w14:textId="77777777">
        <w:tc>
          <w:tcPr>
            <w:tcW w:w="3611" w:type="dxa"/>
            <w:vAlign w:val="center"/>
          </w:tcPr>
          <w:p w14:paraId="24FA3F2F" w14:textId="77777777" w:rsidR="00376999" w:rsidRDefault="00000000">
            <w:pPr>
              <w:pStyle w:val="TableContents"/>
            </w:pPr>
            <w:r>
              <w:t>Grand View Research</w:t>
            </w:r>
          </w:p>
        </w:tc>
        <w:tc>
          <w:tcPr>
            <w:tcW w:w="1653" w:type="dxa"/>
            <w:vAlign w:val="center"/>
          </w:tcPr>
          <w:p w14:paraId="2F56B389" w14:textId="77777777" w:rsidR="00376999" w:rsidRDefault="00000000">
            <w:pPr>
              <w:pStyle w:val="TableContents"/>
            </w:pPr>
            <w:r>
              <w:t>$45.1B</w:t>
            </w:r>
          </w:p>
        </w:tc>
        <w:tc>
          <w:tcPr>
            <w:tcW w:w="4481" w:type="dxa"/>
            <w:vAlign w:val="center"/>
          </w:tcPr>
          <w:p w14:paraId="2C3250DC" w14:textId="77777777" w:rsidR="00376999" w:rsidRDefault="00000000">
            <w:pPr>
              <w:pStyle w:val="TableContents"/>
            </w:pPr>
            <w:r>
              <w:t>—</w:t>
            </w:r>
          </w:p>
        </w:tc>
      </w:tr>
      <w:tr w:rsidR="00376999" w14:paraId="5C408415" w14:textId="77777777">
        <w:tc>
          <w:tcPr>
            <w:tcW w:w="3611" w:type="dxa"/>
            <w:vAlign w:val="center"/>
          </w:tcPr>
          <w:p w14:paraId="4BD6BC05" w14:textId="77777777" w:rsidR="00376999" w:rsidRDefault="00000000">
            <w:pPr>
              <w:pStyle w:val="TableContents"/>
            </w:pPr>
            <w:r>
              <w:t>Market.us</w:t>
            </w:r>
          </w:p>
        </w:tc>
        <w:tc>
          <w:tcPr>
            <w:tcW w:w="1653" w:type="dxa"/>
            <w:vAlign w:val="center"/>
          </w:tcPr>
          <w:p w14:paraId="07F7D660" w14:textId="77777777" w:rsidR="00376999" w:rsidRDefault="00000000">
            <w:pPr>
              <w:pStyle w:val="TableContents"/>
            </w:pPr>
            <w:r>
              <w:t>$45.7B</w:t>
            </w:r>
          </w:p>
        </w:tc>
        <w:tc>
          <w:tcPr>
            <w:tcW w:w="4481" w:type="dxa"/>
            <w:vAlign w:val="center"/>
          </w:tcPr>
          <w:p w14:paraId="49E7CA16" w14:textId="77777777" w:rsidR="00376999" w:rsidRDefault="00000000">
            <w:pPr>
              <w:pStyle w:val="TableContents"/>
            </w:pPr>
            <w:r>
              <w:t>$178.5B by 2035 (14.6% CAGR)</w:t>
            </w:r>
          </w:p>
        </w:tc>
      </w:tr>
      <w:tr w:rsidR="00376999" w14:paraId="795FD624" w14:textId="77777777">
        <w:tc>
          <w:tcPr>
            <w:tcW w:w="3611" w:type="dxa"/>
            <w:vAlign w:val="center"/>
          </w:tcPr>
          <w:p w14:paraId="32180E85" w14:textId="77777777" w:rsidR="00376999" w:rsidRDefault="00000000">
            <w:pPr>
              <w:pStyle w:val="TableContents"/>
            </w:pPr>
            <w:r>
              <w:t>Precedence Research</w:t>
            </w:r>
          </w:p>
        </w:tc>
        <w:tc>
          <w:tcPr>
            <w:tcW w:w="1653" w:type="dxa"/>
            <w:vAlign w:val="center"/>
          </w:tcPr>
          <w:p w14:paraId="5FF1C594" w14:textId="77777777" w:rsidR="00376999" w:rsidRDefault="00000000">
            <w:pPr>
              <w:pStyle w:val="TableContents"/>
            </w:pPr>
            <w:r>
              <w:t>$47.08B</w:t>
            </w:r>
          </w:p>
        </w:tc>
        <w:tc>
          <w:tcPr>
            <w:tcW w:w="4481" w:type="dxa"/>
            <w:vAlign w:val="center"/>
          </w:tcPr>
          <w:p w14:paraId="5935A09F" w14:textId="77777777" w:rsidR="00376999" w:rsidRDefault="00000000">
            <w:pPr>
              <w:pStyle w:val="TableContents"/>
            </w:pPr>
            <w:r>
              <w:t>$185.31B by 2034 (16.4% CAGR)</w:t>
            </w:r>
          </w:p>
        </w:tc>
      </w:tr>
    </w:tbl>
    <w:p w14:paraId="6CA70FDF" w14:textId="77777777" w:rsidR="00376999" w:rsidRDefault="00000000">
      <w:pPr>
        <w:pStyle w:val="BodyText"/>
      </w:pPr>
      <w:r>
        <w:rPr>
          <w:b/>
        </w:rPr>
        <w:t>It disagrees with itself.</w:t>
      </w:r>
      <w:r>
        <w:t xml:space="preserve"> A ~17% spread across five firms measuring the same year is a signal about the reliability of the category, not a range to average.</w:t>
      </w:r>
    </w:p>
    <w:p w14:paraId="6018D452" w14:textId="77777777" w:rsidR="00376999" w:rsidRDefault="00000000">
      <w:pPr>
        <w:pStyle w:val="BodyText"/>
      </w:pPr>
      <w:r>
        <w:rPr>
          <w:b/>
        </w:rPr>
        <w:t>It is not our market.</w:t>
      </w:r>
      <w:r>
        <w:t xml:space="preserve"> "</w:t>
      </w:r>
      <w:proofErr w:type="spellStart"/>
      <w:r>
        <w:t>PropTech</w:t>
      </w:r>
      <w:proofErr w:type="spellEnd"/>
      <w:r>
        <w:t xml:space="preserve">" bundles building management systems, virtual tours, transaction tooling and </w:t>
      </w:r>
      <w:r>
        <w:lastRenderedPageBreak/>
        <w:t>investor analytics. The renter-facing building-record slice is a rounding error inside it.</w:t>
      </w:r>
    </w:p>
    <w:p w14:paraId="339646CD" w14:textId="77777777" w:rsidR="00376999" w:rsidRDefault="00000000">
      <w:pPr>
        <w:pStyle w:val="Heading3"/>
      </w:pPr>
      <w:r>
        <w:t>What the bottom-up model says instead</w:t>
      </w:r>
    </w:p>
    <w:p w14:paraId="2726E75D" w14:textId="77777777" w:rsidR="00376999" w:rsidRDefault="00000000">
      <w:pPr>
        <w:pStyle w:val="BodyText"/>
      </w:pPr>
      <w:r>
        <w:t xml:space="preserve">Against verified denominators — </w:t>
      </w:r>
      <w:r>
        <w:rPr>
          <w:b/>
        </w:rPr>
        <w:t>91,918</w:t>
      </w:r>
      <w:r>
        <w:t xml:space="preserve"> NYC multifamily buildings (REBNY, </w:t>
      </w:r>
      <w:r>
        <w:rPr>
          <w:i/>
        </w:rPr>
        <w:t>Data Over Rhetoric</w:t>
      </w:r>
      <w:r>
        <w:t xml:space="preserve">, Feb 2026) and </w:t>
      </w:r>
      <w:r>
        <w:rPr>
          <w:b/>
        </w:rPr>
        <w:t>2,357,000</w:t>
      </w:r>
      <w:r>
        <w:t xml:space="preserve"> total housing units (2023 NYCHVS):</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5034"/>
        <w:gridCol w:w="3869"/>
        <w:gridCol w:w="1897"/>
      </w:tblGrid>
      <w:tr w:rsidR="00376999" w14:paraId="5B139A22" w14:textId="77777777">
        <w:tc>
          <w:tcPr>
            <w:tcW w:w="4542" w:type="dxa"/>
            <w:vAlign w:val="center"/>
          </w:tcPr>
          <w:p w14:paraId="1A8699CD" w14:textId="77777777" w:rsidR="00376999" w:rsidRDefault="00000000">
            <w:pPr>
              <w:pStyle w:val="TableHeading"/>
            </w:pPr>
            <w:r>
              <w:t>Adoption of 91,918 buildings</w:t>
            </w:r>
          </w:p>
        </w:tc>
        <w:tc>
          <w:tcPr>
            <w:tcW w:w="3491" w:type="dxa"/>
            <w:vAlign w:val="center"/>
          </w:tcPr>
          <w:p w14:paraId="38C71E19" w14:textId="77777777" w:rsidR="00376999" w:rsidRDefault="00000000">
            <w:pPr>
              <w:pStyle w:val="TableHeading"/>
            </w:pPr>
            <w:r>
              <w:t>Avg price/building/yr</w:t>
            </w:r>
          </w:p>
        </w:tc>
        <w:tc>
          <w:tcPr>
            <w:tcW w:w="1712" w:type="dxa"/>
            <w:vAlign w:val="center"/>
          </w:tcPr>
          <w:p w14:paraId="49DA69A4" w14:textId="77777777" w:rsidR="00376999" w:rsidRDefault="00000000">
            <w:pPr>
              <w:pStyle w:val="TableHeading"/>
            </w:pPr>
            <w:r>
              <w:t>NYC ARR</w:t>
            </w:r>
          </w:p>
        </w:tc>
      </w:tr>
      <w:tr w:rsidR="00376999" w14:paraId="10CE8C23" w14:textId="77777777">
        <w:tc>
          <w:tcPr>
            <w:tcW w:w="4542" w:type="dxa"/>
            <w:vAlign w:val="center"/>
          </w:tcPr>
          <w:p w14:paraId="1A0CF73A" w14:textId="77777777" w:rsidR="00376999" w:rsidRDefault="00000000">
            <w:pPr>
              <w:pStyle w:val="TableContents"/>
            </w:pPr>
            <w:r>
              <w:t>1% (919)</w:t>
            </w:r>
          </w:p>
        </w:tc>
        <w:tc>
          <w:tcPr>
            <w:tcW w:w="3491" w:type="dxa"/>
            <w:vAlign w:val="center"/>
          </w:tcPr>
          <w:p w14:paraId="7E751C9F" w14:textId="77777777" w:rsidR="00376999" w:rsidRDefault="00000000">
            <w:pPr>
              <w:pStyle w:val="TableContents"/>
            </w:pPr>
            <w:r>
              <w:t>$300</w:t>
            </w:r>
          </w:p>
        </w:tc>
        <w:tc>
          <w:tcPr>
            <w:tcW w:w="1712" w:type="dxa"/>
            <w:vAlign w:val="center"/>
          </w:tcPr>
          <w:p w14:paraId="6DD7F493" w14:textId="77777777" w:rsidR="00376999" w:rsidRDefault="00000000">
            <w:pPr>
              <w:pStyle w:val="TableContents"/>
            </w:pPr>
            <w:r>
              <w:t>~$276K</w:t>
            </w:r>
          </w:p>
        </w:tc>
      </w:tr>
      <w:tr w:rsidR="00376999" w14:paraId="6C64BE77" w14:textId="77777777">
        <w:tc>
          <w:tcPr>
            <w:tcW w:w="4542" w:type="dxa"/>
            <w:vAlign w:val="center"/>
          </w:tcPr>
          <w:p w14:paraId="5EE2E15F" w14:textId="77777777" w:rsidR="00376999" w:rsidRDefault="00000000">
            <w:pPr>
              <w:pStyle w:val="TableContents"/>
            </w:pPr>
            <w:r>
              <w:t>5% (4,596)</w:t>
            </w:r>
          </w:p>
        </w:tc>
        <w:tc>
          <w:tcPr>
            <w:tcW w:w="3491" w:type="dxa"/>
            <w:vAlign w:val="center"/>
          </w:tcPr>
          <w:p w14:paraId="40ECDE5E" w14:textId="77777777" w:rsidR="00376999" w:rsidRDefault="00000000">
            <w:pPr>
              <w:pStyle w:val="TableContents"/>
            </w:pPr>
            <w:r>
              <w:t>$400</w:t>
            </w:r>
          </w:p>
        </w:tc>
        <w:tc>
          <w:tcPr>
            <w:tcW w:w="1712" w:type="dxa"/>
            <w:vAlign w:val="center"/>
          </w:tcPr>
          <w:p w14:paraId="5A1B825B" w14:textId="77777777" w:rsidR="00376999" w:rsidRDefault="00000000">
            <w:pPr>
              <w:pStyle w:val="TableContents"/>
            </w:pPr>
            <w:r>
              <w:t>~$1.8M</w:t>
            </w:r>
          </w:p>
        </w:tc>
      </w:tr>
      <w:tr w:rsidR="00376999" w14:paraId="0FA26C81" w14:textId="77777777">
        <w:tc>
          <w:tcPr>
            <w:tcW w:w="4542" w:type="dxa"/>
            <w:vAlign w:val="center"/>
          </w:tcPr>
          <w:p w14:paraId="6FEBBA29" w14:textId="77777777" w:rsidR="00376999" w:rsidRDefault="00000000">
            <w:pPr>
              <w:pStyle w:val="TableContents"/>
            </w:pPr>
            <w:r>
              <w:t>10% (9,192)</w:t>
            </w:r>
          </w:p>
        </w:tc>
        <w:tc>
          <w:tcPr>
            <w:tcW w:w="3491" w:type="dxa"/>
            <w:vAlign w:val="center"/>
          </w:tcPr>
          <w:p w14:paraId="4151BC7E" w14:textId="77777777" w:rsidR="00376999" w:rsidRDefault="00000000">
            <w:pPr>
              <w:pStyle w:val="TableContents"/>
            </w:pPr>
            <w:r>
              <w:t>$500</w:t>
            </w:r>
          </w:p>
        </w:tc>
        <w:tc>
          <w:tcPr>
            <w:tcW w:w="1712" w:type="dxa"/>
            <w:vAlign w:val="center"/>
          </w:tcPr>
          <w:p w14:paraId="77B90284" w14:textId="77777777" w:rsidR="00376999" w:rsidRDefault="00000000">
            <w:pPr>
              <w:pStyle w:val="TableContents"/>
            </w:pPr>
            <w:r>
              <w:t>~$4.6M</w:t>
            </w:r>
          </w:p>
        </w:tc>
      </w:tr>
    </w:tbl>
    <w:p w14:paraId="65294FBA" w14:textId="77777777" w:rsidR="00376999" w:rsidRDefault="00000000">
      <w:pPr>
        <w:pStyle w:val="BodyText"/>
      </w:pPr>
      <w:r>
        <w:t xml:space="preserve">Even optimistic adoption lands in </w:t>
      </w:r>
      <w:r>
        <w:rPr>
          <w:b/>
        </w:rPr>
        <w:t xml:space="preserve">low single-digit millions of </w:t>
      </w:r>
      <w:proofErr w:type="gramStart"/>
      <w:r>
        <w:rPr>
          <w:b/>
        </w:rPr>
        <w:t>ARR</w:t>
      </w:r>
      <w:proofErr w:type="gramEnd"/>
      <w:r>
        <w:rPr>
          <w:b/>
        </w:rPr>
        <w:t xml:space="preserve"> in NYC</w:t>
      </w:r>
      <w:r>
        <w:t xml:space="preserve">. Extending to comparable metros might multiply that by 5–10×, but each new market needs its own ingest pipeline against a different city's data schema — the cost scales </w:t>
      </w:r>
      <w:r>
        <w:rPr>
          <w:i/>
        </w:rPr>
        <w:t>with</w:t>
      </w:r>
      <w:r>
        <w:t xml:space="preserve"> the revenue rather than beneath it.</w:t>
      </w:r>
    </w:p>
    <w:p w14:paraId="7CE47B9E" w14:textId="77777777" w:rsidR="00376999" w:rsidRDefault="00000000">
      <w:pPr>
        <w:pStyle w:val="BodyText"/>
      </w:pPr>
      <w:r>
        <w:t xml:space="preserve">This is a real business. On this model alone it is not a venture-scale one — which is exactly what </w:t>
      </w:r>
      <w:proofErr w:type="spellStart"/>
      <w:r>
        <w:t>Rentlogic's</w:t>
      </w:r>
      <w:proofErr w:type="spellEnd"/>
      <w:r>
        <w:t xml:space="preserve"> twelve years at nine people demonstrates.</w:t>
      </w:r>
    </w:p>
    <w:p w14:paraId="64674F90" w14:textId="77777777" w:rsidR="00376999" w:rsidRDefault="00376999">
      <w:pPr>
        <w:pStyle w:val="HorizontalLine"/>
      </w:pPr>
    </w:p>
    <w:p w14:paraId="6A642831" w14:textId="77777777" w:rsidR="00376999" w:rsidRDefault="00000000">
      <w:pPr>
        <w:pStyle w:val="Heading2"/>
      </w:pPr>
      <w:r>
        <w:t>6. The signal worth naming</w:t>
      </w:r>
    </w:p>
    <w:p w14:paraId="1F66DAAF" w14:textId="77777777" w:rsidR="00376999" w:rsidRDefault="00000000">
      <w:pPr>
        <w:pStyle w:val="BodyText"/>
      </w:pPr>
      <w:r>
        <w:t>Everything above points at one pattern, and it is the most interesting thing in this document because it is structural rather than circumstantial.</w:t>
      </w:r>
    </w:p>
    <w:p w14:paraId="47E04138" w14:textId="77777777" w:rsidR="00376999" w:rsidRDefault="00000000">
      <w:pPr>
        <w:pStyle w:val="BlockQuotation"/>
        <w:rPr>
          <w:b/>
        </w:rPr>
      </w:pPr>
      <w:r>
        <w:rPr>
          <w:b/>
        </w:rPr>
        <w:t>Willingness to pay runs opposite to alignment.</w:t>
      </w:r>
    </w:p>
    <w:p w14:paraId="0132CC6D" w14:textId="77777777" w:rsidR="00376999" w:rsidRDefault="00000000">
      <w:pPr>
        <w:pStyle w:val="BlockQuotation"/>
      </w:pPr>
      <w:r>
        <w:t>The closer a buyer's interest is to the tenant's, the less they will pay for this data. The further away it is, the more.</w:t>
      </w:r>
    </w:p>
    <w:p w14:paraId="14D9253A" w14:textId="77777777" w:rsidR="00376999" w:rsidRDefault="00000000">
      <w:pPr>
        <w:pStyle w:val="BodyText"/>
      </w:pPr>
      <w:r>
        <w:t xml:space="preserve">The evidence is already </w:t>
      </w:r>
      <w:proofErr w:type="gramStart"/>
      <w:r>
        <w:t>in</w:t>
      </w:r>
      <w:proofErr w:type="gramEnd"/>
      <w:r>
        <w:t xml:space="preserve"> the tables above; laid end to end it is monotonic:</w:t>
      </w:r>
    </w:p>
    <w:tbl>
      <w:tblPr>
        <w:tblW w:w="5000" w:type="pct"/>
        <w:tblLayout w:type="fixed"/>
        <w:tblCellMar>
          <w:top w:w="90" w:type="dxa"/>
          <w:left w:w="90" w:type="dxa"/>
          <w:bottom w:w="90" w:type="dxa"/>
          <w:right w:w="90" w:type="dxa"/>
        </w:tblCellMar>
        <w:tblLook w:val="04A0" w:firstRow="1" w:lastRow="0" w:firstColumn="1" w:lastColumn="0" w:noHBand="0" w:noVBand="1"/>
      </w:tblPr>
      <w:tblGrid>
        <w:gridCol w:w="2789"/>
        <w:gridCol w:w="2616"/>
        <w:gridCol w:w="2732"/>
        <w:gridCol w:w="2663"/>
      </w:tblGrid>
      <w:tr w:rsidR="00376999" w14:paraId="29B90D7B" w14:textId="77777777">
        <w:tc>
          <w:tcPr>
            <w:tcW w:w="2517" w:type="dxa"/>
            <w:vAlign w:val="center"/>
          </w:tcPr>
          <w:p w14:paraId="6975DB51" w14:textId="77777777" w:rsidR="00376999" w:rsidRDefault="00000000">
            <w:pPr>
              <w:pStyle w:val="TableHeading"/>
            </w:pPr>
            <w:r>
              <w:t>Buyer</w:t>
            </w:r>
          </w:p>
        </w:tc>
        <w:tc>
          <w:tcPr>
            <w:tcW w:w="2361" w:type="dxa"/>
            <w:vAlign w:val="center"/>
          </w:tcPr>
          <w:p w14:paraId="696B8F13" w14:textId="77777777" w:rsidR="00376999" w:rsidRDefault="00000000">
            <w:pPr>
              <w:pStyle w:val="TableHeading"/>
            </w:pPr>
            <w:r>
              <w:t>Alignment with the tenant</w:t>
            </w:r>
          </w:p>
        </w:tc>
        <w:tc>
          <w:tcPr>
            <w:tcW w:w="2465" w:type="dxa"/>
            <w:vAlign w:val="center"/>
          </w:tcPr>
          <w:p w14:paraId="5E5CA990" w14:textId="77777777" w:rsidR="00376999" w:rsidRDefault="00000000">
            <w:pPr>
              <w:pStyle w:val="TableHeading"/>
            </w:pPr>
            <w:r>
              <w:t>Will pay</w:t>
            </w:r>
          </w:p>
        </w:tc>
        <w:tc>
          <w:tcPr>
            <w:tcW w:w="2403" w:type="dxa"/>
            <w:vAlign w:val="center"/>
          </w:tcPr>
          <w:p w14:paraId="23E1D51A" w14:textId="77777777" w:rsidR="00376999" w:rsidRDefault="00000000">
            <w:pPr>
              <w:pStyle w:val="TableHeading"/>
            </w:pPr>
            <w:r>
              <w:t>What the money would be for</w:t>
            </w:r>
          </w:p>
        </w:tc>
      </w:tr>
      <w:tr w:rsidR="00376999" w14:paraId="6FCEDB11" w14:textId="77777777">
        <w:tc>
          <w:tcPr>
            <w:tcW w:w="2517" w:type="dxa"/>
            <w:vAlign w:val="center"/>
          </w:tcPr>
          <w:p w14:paraId="3B46E2A7" w14:textId="77777777" w:rsidR="00376999" w:rsidRDefault="00000000">
            <w:pPr>
              <w:pStyle w:val="TableContents"/>
              <w:rPr>
                <w:b/>
              </w:rPr>
            </w:pPr>
            <w:r>
              <w:rPr>
                <w:b/>
              </w:rPr>
              <w:t xml:space="preserve">Tenant lawyers, </w:t>
            </w:r>
            <w:proofErr w:type="spellStart"/>
            <w:r>
              <w:rPr>
                <w:b/>
              </w:rPr>
              <w:t>organisers</w:t>
            </w:r>
            <w:proofErr w:type="spellEnd"/>
            <w:r>
              <w:rPr>
                <w:b/>
              </w:rPr>
              <w:t>, court staff</w:t>
            </w:r>
          </w:p>
        </w:tc>
        <w:tc>
          <w:tcPr>
            <w:tcW w:w="2361" w:type="dxa"/>
            <w:vAlign w:val="center"/>
          </w:tcPr>
          <w:p w14:paraId="2971F8A3" w14:textId="77777777" w:rsidR="00376999" w:rsidRDefault="00000000">
            <w:pPr>
              <w:pStyle w:val="TableContents"/>
            </w:pPr>
            <w:r>
              <w:t xml:space="preserve">Highest — they act </w:t>
            </w:r>
            <w:r>
              <w:rPr>
                <w:i/>
              </w:rPr>
              <w:t>for</w:t>
            </w:r>
            <w:r>
              <w:t xml:space="preserve"> the tenant</w:t>
            </w:r>
          </w:p>
        </w:tc>
        <w:tc>
          <w:tcPr>
            <w:tcW w:w="2465" w:type="dxa"/>
            <w:vAlign w:val="center"/>
          </w:tcPr>
          <w:p w14:paraId="145C4222" w14:textId="77777777" w:rsidR="00376999" w:rsidRDefault="00000000">
            <w:pPr>
              <w:pStyle w:val="TableContents"/>
            </w:pPr>
            <w:r>
              <w:t>~nothing (grant-funded)</w:t>
            </w:r>
          </w:p>
        </w:tc>
        <w:tc>
          <w:tcPr>
            <w:tcW w:w="2403" w:type="dxa"/>
            <w:vAlign w:val="center"/>
          </w:tcPr>
          <w:p w14:paraId="3261DFAE" w14:textId="77777777" w:rsidR="00376999" w:rsidRDefault="00000000">
            <w:pPr>
              <w:pStyle w:val="TableContents"/>
            </w:pPr>
            <w:r>
              <w:t>Daily case and campaign work</w:t>
            </w:r>
          </w:p>
        </w:tc>
      </w:tr>
      <w:tr w:rsidR="00376999" w14:paraId="13159989" w14:textId="77777777">
        <w:tc>
          <w:tcPr>
            <w:tcW w:w="2517" w:type="dxa"/>
            <w:vAlign w:val="center"/>
          </w:tcPr>
          <w:p w14:paraId="6DB7189A" w14:textId="77777777" w:rsidR="00376999" w:rsidRDefault="00000000">
            <w:pPr>
              <w:pStyle w:val="TableContents"/>
              <w:rPr>
                <w:b/>
              </w:rPr>
            </w:pPr>
            <w:r>
              <w:rPr>
                <w:b/>
              </w:rPr>
              <w:t>Renters</w:t>
            </w:r>
          </w:p>
        </w:tc>
        <w:tc>
          <w:tcPr>
            <w:tcW w:w="2361" w:type="dxa"/>
            <w:vAlign w:val="center"/>
          </w:tcPr>
          <w:p w14:paraId="2437CED9" w14:textId="77777777" w:rsidR="00376999" w:rsidRDefault="00000000">
            <w:pPr>
              <w:pStyle w:val="TableContents"/>
            </w:pPr>
            <w:r>
              <w:t>Perfect — it is about them</w:t>
            </w:r>
          </w:p>
        </w:tc>
        <w:tc>
          <w:tcPr>
            <w:tcW w:w="2465" w:type="dxa"/>
            <w:vAlign w:val="center"/>
          </w:tcPr>
          <w:p w14:paraId="0C071AE6" w14:textId="77777777" w:rsidR="00376999" w:rsidRDefault="00000000">
            <w:pPr>
              <w:pStyle w:val="TableContents"/>
            </w:pPr>
            <w:r>
              <w:t>~nothing; both comparables give it away</w:t>
            </w:r>
          </w:p>
        </w:tc>
        <w:tc>
          <w:tcPr>
            <w:tcW w:w="2403" w:type="dxa"/>
            <w:vAlign w:val="center"/>
          </w:tcPr>
          <w:p w14:paraId="079FA8A6" w14:textId="77777777" w:rsidR="00376999" w:rsidRDefault="00000000">
            <w:pPr>
              <w:pStyle w:val="TableContents"/>
            </w:pPr>
            <w:r>
              <w:t>One decision every few years</w:t>
            </w:r>
          </w:p>
        </w:tc>
      </w:tr>
      <w:tr w:rsidR="00376999" w14:paraId="14BDF5C9" w14:textId="77777777">
        <w:tc>
          <w:tcPr>
            <w:tcW w:w="2517" w:type="dxa"/>
            <w:vAlign w:val="center"/>
          </w:tcPr>
          <w:p w14:paraId="3EAFDD35" w14:textId="77777777" w:rsidR="00376999" w:rsidRDefault="00000000">
            <w:pPr>
              <w:pStyle w:val="TableContents"/>
              <w:rPr>
                <w:b/>
              </w:rPr>
            </w:pPr>
            <w:r>
              <w:rPr>
                <w:b/>
              </w:rPr>
              <w:t>Landlords</w:t>
            </w:r>
          </w:p>
        </w:tc>
        <w:tc>
          <w:tcPr>
            <w:tcW w:w="2361" w:type="dxa"/>
            <w:vAlign w:val="center"/>
          </w:tcPr>
          <w:p w14:paraId="7BC61C2F" w14:textId="77777777" w:rsidR="00376999" w:rsidRDefault="00000000">
            <w:pPr>
              <w:pStyle w:val="TableContents"/>
            </w:pPr>
            <w:r>
              <w:t>Opposed on the thing that matters</w:t>
            </w:r>
          </w:p>
        </w:tc>
        <w:tc>
          <w:tcPr>
            <w:tcW w:w="2465" w:type="dxa"/>
            <w:vAlign w:val="center"/>
          </w:tcPr>
          <w:p w14:paraId="7A34206C" w14:textId="77777777" w:rsidR="00376999" w:rsidRDefault="00000000">
            <w:pPr>
              <w:pStyle w:val="TableContents"/>
            </w:pPr>
            <w:r>
              <w:t>Proven (</w:t>
            </w:r>
            <w:proofErr w:type="spellStart"/>
            <w:r>
              <w:t>Rentlogic</w:t>
            </w:r>
            <w:proofErr w:type="spellEnd"/>
            <w:r>
              <w:t>)</w:t>
            </w:r>
          </w:p>
        </w:tc>
        <w:tc>
          <w:tcPr>
            <w:tcW w:w="2403" w:type="dxa"/>
            <w:vAlign w:val="center"/>
          </w:tcPr>
          <w:p w14:paraId="3CCCB80F" w14:textId="77777777" w:rsidR="00376999" w:rsidRDefault="00000000">
            <w:pPr>
              <w:pStyle w:val="TableContents"/>
            </w:pPr>
            <w:r>
              <w:t xml:space="preserve">Advertising a </w:t>
            </w:r>
            <w:r>
              <w:rPr>
                <w:i/>
              </w:rPr>
              <w:t>good</w:t>
            </w:r>
            <w:r>
              <w:t xml:space="preserve"> grade</w:t>
            </w:r>
          </w:p>
        </w:tc>
      </w:tr>
      <w:tr w:rsidR="00376999" w14:paraId="50AA5CE6" w14:textId="77777777">
        <w:tc>
          <w:tcPr>
            <w:tcW w:w="2517" w:type="dxa"/>
            <w:vAlign w:val="center"/>
          </w:tcPr>
          <w:p w14:paraId="568AEDCB" w14:textId="77777777" w:rsidR="00376999" w:rsidRDefault="00000000">
            <w:pPr>
              <w:pStyle w:val="TableContents"/>
              <w:rPr>
                <w:b/>
              </w:rPr>
            </w:pPr>
            <w:r>
              <w:rPr>
                <w:b/>
              </w:rPr>
              <w:t>Brokers</w:t>
            </w:r>
          </w:p>
        </w:tc>
        <w:tc>
          <w:tcPr>
            <w:tcW w:w="2361" w:type="dxa"/>
            <w:vAlign w:val="center"/>
          </w:tcPr>
          <w:p w14:paraId="2AD1736B" w14:textId="77777777" w:rsidR="00376999" w:rsidRDefault="00000000">
            <w:pPr>
              <w:pStyle w:val="TableContents"/>
            </w:pPr>
            <w:r>
              <w:t xml:space="preserve">Aligned with </w:t>
            </w:r>
            <w:r>
              <w:rPr>
                <w:i/>
              </w:rPr>
              <w:t>closing</w:t>
            </w:r>
            <w:r>
              <w:t>, not with the tenant</w:t>
            </w:r>
          </w:p>
        </w:tc>
        <w:tc>
          <w:tcPr>
            <w:tcW w:w="2465" w:type="dxa"/>
            <w:vAlign w:val="center"/>
          </w:tcPr>
          <w:p w14:paraId="40458E36" w14:textId="77777777" w:rsidR="00376999" w:rsidRDefault="00000000">
            <w:pPr>
              <w:pStyle w:val="TableContents"/>
            </w:pPr>
            <w:r>
              <w:t>Moderate (</w:t>
            </w:r>
            <w:proofErr w:type="spellStart"/>
            <w:r>
              <w:t>Openigloo's</w:t>
            </w:r>
            <w:proofErr w:type="spellEnd"/>
            <w:r>
              <w:t xml:space="preserve"> pivot)</w:t>
            </w:r>
          </w:p>
        </w:tc>
        <w:tc>
          <w:tcPr>
            <w:tcW w:w="2403" w:type="dxa"/>
            <w:vAlign w:val="center"/>
          </w:tcPr>
          <w:p w14:paraId="476D8C40" w14:textId="77777777" w:rsidR="00376999" w:rsidRDefault="00000000">
            <w:pPr>
              <w:pStyle w:val="TableContents"/>
            </w:pPr>
            <w:r>
              <w:t>Filling a unit</w:t>
            </w:r>
          </w:p>
        </w:tc>
      </w:tr>
      <w:tr w:rsidR="00376999" w14:paraId="048D5C90" w14:textId="77777777">
        <w:tc>
          <w:tcPr>
            <w:tcW w:w="2517" w:type="dxa"/>
            <w:vAlign w:val="center"/>
          </w:tcPr>
          <w:p w14:paraId="32BAC1BE" w14:textId="77777777" w:rsidR="00376999" w:rsidRDefault="00000000">
            <w:pPr>
              <w:pStyle w:val="TableContents"/>
              <w:rPr>
                <w:b/>
              </w:rPr>
            </w:pPr>
            <w:r>
              <w:rPr>
                <w:b/>
              </w:rPr>
              <w:t>Insurers</w:t>
            </w:r>
          </w:p>
        </w:tc>
        <w:tc>
          <w:tcPr>
            <w:tcW w:w="2361" w:type="dxa"/>
            <w:vAlign w:val="center"/>
          </w:tcPr>
          <w:p w14:paraId="41A755DD" w14:textId="77777777" w:rsidR="00376999" w:rsidRDefault="00000000">
            <w:pPr>
              <w:pStyle w:val="TableContents"/>
            </w:pPr>
            <w:r>
              <w:t>Inverted</w:t>
            </w:r>
          </w:p>
        </w:tc>
        <w:tc>
          <w:tcPr>
            <w:tcW w:w="2465" w:type="dxa"/>
            <w:vAlign w:val="center"/>
          </w:tcPr>
          <w:p w14:paraId="4B95CFD5" w14:textId="77777777" w:rsidR="00376999" w:rsidRDefault="00000000">
            <w:pPr>
              <w:pStyle w:val="TableContents"/>
            </w:pPr>
            <w:r>
              <w:t>Highest of all</w:t>
            </w:r>
          </w:p>
        </w:tc>
        <w:tc>
          <w:tcPr>
            <w:tcW w:w="2403" w:type="dxa"/>
            <w:vAlign w:val="center"/>
          </w:tcPr>
          <w:p w14:paraId="4D530255" w14:textId="77777777" w:rsidR="00376999" w:rsidRDefault="00000000">
            <w:pPr>
              <w:pStyle w:val="TableContents"/>
            </w:pPr>
            <w:r>
              <w:t>Habitability exclusions — denying a claim</w:t>
            </w:r>
          </w:p>
        </w:tc>
      </w:tr>
    </w:tbl>
    <w:p w14:paraId="3E24A015" w14:textId="77777777" w:rsidR="00376999" w:rsidRDefault="00000000">
      <w:pPr>
        <w:pStyle w:val="BodyText"/>
      </w:pPr>
      <w:r>
        <w:t xml:space="preserve">Read the last column downward. The willingness to pay rises exactly as the purpose rotates away from the person </w:t>
      </w:r>
      <w:r>
        <w:lastRenderedPageBreak/>
        <w:t>the record describes. At the top, the use is "help this tenant." At the bottom, it is "use this building's condition against the tenant living in it."</w:t>
      </w:r>
    </w:p>
    <w:p w14:paraId="1E1E2012" w14:textId="77777777" w:rsidR="00376999" w:rsidRDefault="00000000">
      <w:pPr>
        <w:pStyle w:val="Heading3"/>
      </w:pPr>
      <w:r>
        <w:t xml:space="preserve">Why </w:t>
      </w:r>
      <w:proofErr w:type="gramStart"/>
      <w:r>
        <w:t>this is</w:t>
      </w:r>
      <w:proofErr w:type="gramEnd"/>
      <w:r>
        <w:t xml:space="preserve"> the answer rather than </w:t>
      </w:r>
      <w:proofErr w:type="gramStart"/>
      <w:r>
        <w:t>one of the</w:t>
      </w:r>
      <w:proofErr w:type="gramEnd"/>
      <w:r>
        <w:t xml:space="preserve"> others</w:t>
      </w:r>
    </w:p>
    <w:p w14:paraId="04C10F3C" w14:textId="77777777" w:rsidR="00376999" w:rsidRDefault="00000000">
      <w:pPr>
        <w:pStyle w:val="BodyText"/>
      </w:pPr>
      <w:r>
        <w:t>Four other signals in this document are real:</w:t>
      </w:r>
    </w:p>
    <w:p w14:paraId="7D722937" w14:textId="77777777" w:rsidR="00376999" w:rsidRDefault="00000000">
      <w:pPr>
        <w:pStyle w:val="BodyText"/>
        <w:numPr>
          <w:ilvl w:val="0"/>
          <w:numId w:val="5"/>
        </w:numPr>
        <w:tabs>
          <w:tab w:val="left" w:pos="709"/>
        </w:tabs>
        <w:spacing w:after="0"/>
      </w:pPr>
      <w:r>
        <w:t>Every layer of the landscape has a settled payer except this one (§2b).</w:t>
      </w:r>
    </w:p>
    <w:p w14:paraId="1FA41A91" w14:textId="77777777" w:rsidR="00376999" w:rsidRDefault="00000000">
      <w:pPr>
        <w:pStyle w:val="BodyText"/>
        <w:numPr>
          <w:ilvl w:val="0"/>
          <w:numId w:val="5"/>
        </w:numPr>
        <w:tabs>
          <w:tab w:val="left" w:pos="709"/>
        </w:tabs>
        <w:spacing w:after="0"/>
      </w:pPr>
      <w:r>
        <w:t xml:space="preserve">The in-market moment is 1 in 75, so reach was never </w:t>
      </w:r>
      <w:proofErr w:type="spellStart"/>
      <w:r>
        <w:t>Openigloo's</w:t>
      </w:r>
      <w:proofErr w:type="spellEnd"/>
      <w:r>
        <w:t xml:space="preserve"> constraint (§3).</w:t>
      </w:r>
    </w:p>
    <w:p w14:paraId="759C029E" w14:textId="77777777" w:rsidR="00376999" w:rsidRDefault="00000000">
      <w:pPr>
        <w:pStyle w:val="BodyText"/>
        <w:numPr>
          <w:ilvl w:val="0"/>
          <w:numId w:val="5"/>
        </w:numPr>
        <w:tabs>
          <w:tab w:val="left" w:pos="709"/>
        </w:tabs>
        <w:spacing w:after="0"/>
      </w:pPr>
      <w:r>
        <w:t>The highest-frequency users have the lowest budget (§3).</w:t>
      </w:r>
    </w:p>
    <w:p w14:paraId="7D1D4E59" w14:textId="77777777" w:rsidR="00376999" w:rsidRDefault="00000000">
      <w:pPr>
        <w:pStyle w:val="BodyText"/>
        <w:numPr>
          <w:ilvl w:val="0"/>
          <w:numId w:val="5"/>
        </w:numPr>
        <w:tabs>
          <w:tab w:val="left" w:pos="709"/>
        </w:tabs>
      </w:pPr>
      <w:r>
        <w:t xml:space="preserve">Nobody turns violation </w:t>
      </w:r>
      <w:r>
        <w:rPr>
          <w:i/>
        </w:rPr>
        <w:t>counts</w:t>
      </w:r>
      <w:r>
        <w:t xml:space="preserve"> into violation </w:t>
      </w:r>
      <w:r>
        <w:rPr>
          <w:i/>
        </w:rPr>
        <w:t>meaning</w:t>
      </w:r>
      <w:r>
        <w:t xml:space="preserve"> (§4).</w:t>
      </w:r>
    </w:p>
    <w:p w14:paraId="68539C59" w14:textId="77777777" w:rsidR="00376999" w:rsidRDefault="00000000">
      <w:pPr>
        <w:pStyle w:val="BodyText"/>
      </w:pPr>
      <w:r>
        <w:t xml:space="preserve">The first three are </w:t>
      </w:r>
      <w:r>
        <w:rPr>
          <w:b/>
        </w:rPr>
        <w:t>consequences of this one.</w:t>
      </w:r>
      <w:r>
        <w:t xml:space="preserve"> The layer has no settled payer because every available payer is somewhere down the gradient. The high-frequency, zero-budget worker sits at the top of it. Twelve years and two companies did not fail to find a business model; they found that the models which work require pointing the data away from the person it was collected about. </w:t>
      </w:r>
      <w:proofErr w:type="spellStart"/>
      <w:r>
        <w:t>Rentlogic</w:t>
      </w:r>
      <w:proofErr w:type="spellEnd"/>
      <w:r>
        <w:t xml:space="preserve"> went to landlords and inherited adverse selection — the worst buildings never buy. </w:t>
      </w:r>
      <w:proofErr w:type="spellStart"/>
      <w:r>
        <w:t>Openigloo</w:t>
      </w:r>
      <w:proofErr w:type="spellEnd"/>
      <w:r>
        <w:t xml:space="preserve"> went to the transaction. Neither of those is a mistake. They are what the gradient permits.</w:t>
      </w:r>
    </w:p>
    <w:p w14:paraId="6AA1F173" w14:textId="77777777" w:rsidR="00376999" w:rsidRDefault="00000000">
      <w:pPr>
        <w:pStyle w:val="BodyText"/>
      </w:pPr>
      <w:r>
        <w:t>The fourth — violation meaning — is a genuine product gap and not part of this pattern, which is why it is worth keeping separate rather than folding in.</w:t>
      </w:r>
    </w:p>
    <w:p w14:paraId="61B8B0ED" w14:textId="77777777" w:rsidR="00376999" w:rsidRDefault="00000000">
      <w:pPr>
        <w:pStyle w:val="Heading3"/>
      </w:pPr>
      <w:r>
        <w:t>Where the pattern might break, which is what makes it interesting rather than just bleak</w:t>
      </w:r>
    </w:p>
    <w:p w14:paraId="0568605F" w14:textId="77777777" w:rsidR="00376999" w:rsidRDefault="00000000">
      <w:pPr>
        <w:pStyle w:val="BodyText"/>
      </w:pPr>
      <w:r>
        <w:t>Two buyers in §4 do not obviously sit on the gradient:</w:t>
      </w:r>
    </w:p>
    <w:p w14:paraId="1045E20C" w14:textId="77777777" w:rsidR="00376999" w:rsidRDefault="00000000">
      <w:pPr>
        <w:pStyle w:val="BodyText"/>
        <w:numPr>
          <w:ilvl w:val="0"/>
          <w:numId w:val="6"/>
        </w:numPr>
        <w:tabs>
          <w:tab w:val="left" w:pos="709"/>
        </w:tabs>
        <w:spacing w:after="0"/>
      </w:pPr>
      <w:proofErr w:type="gramStart"/>
      <w:r>
        <w:rPr>
          <w:b/>
        </w:rPr>
        <w:t>Lenders</w:t>
      </w:r>
      <w:proofErr w:type="gramEnd"/>
      <w:r>
        <w:t xml:space="preserve"> pricing multifamily credit risk. A lender wants the loan priced correctly. A building with a bad violation history is a genuine default signal. Nothing about that requires harming the tenant.</w:t>
      </w:r>
    </w:p>
    <w:p w14:paraId="63FDAF6A" w14:textId="77777777" w:rsidR="00376999" w:rsidRDefault="00000000">
      <w:pPr>
        <w:pStyle w:val="BodyText"/>
        <w:numPr>
          <w:ilvl w:val="0"/>
          <w:numId w:val="6"/>
        </w:numPr>
        <w:tabs>
          <w:tab w:val="left" w:pos="709"/>
        </w:tabs>
      </w:pPr>
      <w:r>
        <w:rPr>
          <w:b/>
        </w:rPr>
        <w:t>City agencies</w:t>
      </w:r>
      <w:r>
        <w:t xml:space="preserve"> targeting enforcement. The enforcement body already holds the data; the value would be </w:t>
      </w:r>
      <w:proofErr w:type="spellStart"/>
      <w:r>
        <w:t>prioritisation</w:t>
      </w:r>
      <w:proofErr w:type="spellEnd"/>
      <w:r>
        <w:t>, and its purpose is the same as ours.</w:t>
      </w:r>
    </w:p>
    <w:p w14:paraId="163F532C" w14:textId="77777777" w:rsidR="00376999" w:rsidRDefault="00000000">
      <w:pPr>
        <w:pStyle w:val="BodyText"/>
      </w:pPr>
      <w:r>
        <w:t>Whether those two are real exceptions or just less obvious points on the same line is the question this research does not answer.</w:t>
      </w:r>
    </w:p>
    <w:p w14:paraId="16667469" w14:textId="77777777" w:rsidR="00376999" w:rsidRDefault="00000000">
      <w:pPr>
        <w:pStyle w:val="BodyText"/>
      </w:pPr>
      <w:r>
        <w:rPr>
          <w:b/>
        </w:rPr>
        <w:t>Named, not solved.</w:t>
      </w:r>
      <w:r>
        <w:t xml:space="preserve"> Deciding what to do about it is the next block's work, and any answer that ignores the gradient is going to rediscover it the expensive way.</w:t>
      </w:r>
    </w:p>
    <w:p w14:paraId="738CA72C" w14:textId="77777777" w:rsidR="00376999" w:rsidRDefault="00376999">
      <w:pPr>
        <w:pStyle w:val="HorizontalLine"/>
      </w:pPr>
    </w:p>
    <w:p w14:paraId="75F64AAD" w14:textId="77777777" w:rsidR="00376999" w:rsidRDefault="00000000">
      <w:pPr>
        <w:pStyle w:val="Heading2"/>
      </w:pPr>
      <w:r>
        <w:t>7. Open questions — the live edge of this document</w:t>
      </w:r>
    </w:p>
    <w:p w14:paraId="049BCD41" w14:textId="77777777" w:rsidR="00376999" w:rsidRDefault="00000000">
      <w:pPr>
        <w:pStyle w:val="BodyText"/>
        <w:numPr>
          <w:ilvl w:val="0"/>
          <w:numId w:val="7"/>
        </w:numPr>
        <w:tabs>
          <w:tab w:val="left" w:pos="709"/>
        </w:tabs>
        <w:spacing w:after="0"/>
      </w:pPr>
      <w:r>
        <w:rPr>
          <w:b/>
        </w:rPr>
        <w:t>Current pricing.</w:t>
      </w:r>
      <w:r>
        <w:t xml:space="preserve"> </w:t>
      </w:r>
      <w:proofErr w:type="spellStart"/>
      <w:r>
        <w:t>Rentlogic's</w:t>
      </w:r>
      <w:proofErr w:type="spellEnd"/>
      <w:r>
        <w:t xml:space="preserve"> public numbers are from 2018. </w:t>
      </w:r>
      <w:proofErr w:type="spellStart"/>
      <w:r>
        <w:t>Openigloo's</w:t>
      </w:r>
      <w:proofErr w:type="spellEnd"/>
      <w:r>
        <w:t xml:space="preserve"> subscription tiers and brokerage fee are described qualitatively, not published. Both need direct contact.</w:t>
      </w:r>
    </w:p>
    <w:p w14:paraId="681DFA92" w14:textId="77777777" w:rsidR="00376999" w:rsidRDefault="00000000">
      <w:pPr>
        <w:pStyle w:val="BodyText"/>
        <w:numPr>
          <w:ilvl w:val="0"/>
          <w:numId w:val="7"/>
        </w:numPr>
        <w:tabs>
          <w:tab w:val="left" w:pos="709"/>
        </w:tabs>
        <w:spacing w:after="0"/>
      </w:pPr>
      <w:proofErr w:type="spellStart"/>
      <w:r>
        <w:rPr>
          <w:b/>
        </w:rPr>
        <w:t>Openigloo's</w:t>
      </w:r>
      <w:proofErr w:type="spellEnd"/>
      <w:r>
        <w:rPr>
          <w:b/>
        </w:rPr>
        <w:t xml:space="preserve"> real revenue.</w:t>
      </w:r>
      <w:r>
        <w:t xml:space="preserve"> The $1.37M figure is a scraped estimate.</w:t>
      </w:r>
    </w:p>
    <w:p w14:paraId="6122A993" w14:textId="77777777" w:rsidR="00376999" w:rsidRDefault="00000000">
      <w:pPr>
        <w:pStyle w:val="BodyText"/>
        <w:numPr>
          <w:ilvl w:val="0"/>
          <w:numId w:val="7"/>
        </w:numPr>
        <w:tabs>
          <w:tab w:val="left" w:pos="709"/>
        </w:tabs>
        <w:spacing w:after="0"/>
      </w:pPr>
      <w:r>
        <w:rPr>
          <w:b/>
        </w:rPr>
        <w:t>Rent-burden reconciliation.</w:t>
      </w:r>
      <w:r>
        <w:t xml:space="preserve"> Our case study cites </w:t>
      </w:r>
      <w:r>
        <w:rPr>
          <w:b/>
        </w:rPr>
        <w:t>51.6%</w:t>
      </w:r>
      <w:r>
        <w:t xml:space="preserve"> rent-burdened (RGB 2026 Income &amp; Affordability Study); the 2023 NYCHVS reports </w:t>
      </w:r>
      <w:r>
        <w:rPr>
          <w:b/>
        </w:rPr>
        <w:t>29.5%</w:t>
      </w:r>
      <w:r>
        <w:t>. Very likely different populations or thresholds — renter households versus all households — rather than a contradiction, but the distinction must be established before either is cited in front of someone who knows the other.</w:t>
      </w:r>
    </w:p>
    <w:p w14:paraId="09D053E2" w14:textId="77777777" w:rsidR="00376999" w:rsidRDefault="00000000">
      <w:pPr>
        <w:pStyle w:val="BodyText"/>
        <w:numPr>
          <w:ilvl w:val="0"/>
          <w:numId w:val="7"/>
        </w:numPr>
        <w:tabs>
          <w:tab w:val="left" w:pos="709"/>
        </w:tabs>
        <w:spacing w:after="0"/>
      </w:pPr>
      <w:r>
        <w:rPr>
          <w:b/>
        </w:rPr>
        <w:t xml:space="preserve">Whether the white space in §4 is </w:t>
      </w:r>
      <w:proofErr w:type="gramStart"/>
      <w:r>
        <w:rPr>
          <w:b/>
        </w:rPr>
        <w:t>actually empty</w:t>
      </w:r>
      <w:proofErr w:type="gramEnd"/>
      <w:r>
        <w:t>, or merely not visible from public search.</w:t>
      </w:r>
    </w:p>
    <w:p w14:paraId="182EB2A9" w14:textId="77777777" w:rsidR="00376999" w:rsidRDefault="00000000">
      <w:pPr>
        <w:pStyle w:val="BodyText"/>
        <w:numPr>
          <w:ilvl w:val="0"/>
          <w:numId w:val="7"/>
        </w:numPr>
        <w:tabs>
          <w:tab w:val="left" w:pos="709"/>
        </w:tabs>
      </w:pPr>
      <w:r>
        <w:rPr>
          <w:b/>
        </w:rPr>
        <w:t xml:space="preserve">Whether renters use it </w:t>
      </w:r>
      <w:proofErr w:type="gramStart"/>
      <w:r>
        <w:rPr>
          <w:b/>
        </w:rPr>
        <w:t>at the moment</w:t>
      </w:r>
      <w:proofErr w:type="gramEnd"/>
      <w:r>
        <w:rPr>
          <w:b/>
        </w:rPr>
        <w:t xml:space="preserve"> that matters.</w:t>
      </w:r>
      <w:r>
        <w:t xml:space="preserve"> </w:t>
      </w:r>
      <w:proofErr w:type="spellStart"/>
      <w:r>
        <w:t>Openigloo</w:t>
      </w:r>
      <w:proofErr w:type="spellEnd"/>
      <w:r>
        <w:t xml:space="preserve"> reached 3M+ people and still had to leave for brokerage revenue. Audience was not the constraint. This is the question the comparables leave open and the one our own build cannot yet answer.</w:t>
      </w:r>
    </w:p>
    <w:p w14:paraId="5288C1A7" w14:textId="77777777" w:rsidR="00376999" w:rsidRDefault="00376999">
      <w:pPr>
        <w:pStyle w:val="HorizontalLine"/>
      </w:pPr>
    </w:p>
    <w:p w14:paraId="637A0FB6" w14:textId="77777777" w:rsidR="00376999" w:rsidRDefault="00000000">
      <w:pPr>
        <w:pStyle w:val="Heading2"/>
      </w:pPr>
      <w:r>
        <w:lastRenderedPageBreak/>
        <w:t>Sources</w:t>
      </w:r>
    </w:p>
    <w:p w14:paraId="5CB9B679" w14:textId="77777777" w:rsidR="00376999" w:rsidRDefault="00000000">
      <w:pPr>
        <w:pStyle w:val="BodyText"/>
        <w:numPr>
          <w:ilvl w:val="0"/>
          <w:numId w:val="8"/>
        </w:numPr>
        <w:tabs>
          <w:tab w:val="left" w:pos="709"/>
        </w:tabs>
        <w:spacing w:after="0"/>
      </w:pPr>
      <w:proofErr w:type="spellStart"/>
      <w:r>
        <w:t>Openigloo</w:t>
      </w:r>
      <w:proofErr w:type="spellEnd"/>
      <w:r>
        <w:t xml:space="preserve"> pivot to brokerage — </w:t>
      </w:r>
      <w:r>
        <w:rPr>
          <w:i/>
        </w:rPr>
        <w:t>The Real Deal</w:t>
      </w:r>
      <w:r>
        <w:t>, 28 Aug 2025 — https://therealdeal.com/new-york/2025/08/28/openigloo-won-over-tenants-can-it-do-the-same-with-landlords/</w:t>
      </w:r>
    </w:p>
    <w:p w14:paraId="5B9A1560" w14:textId="77777777" w:rsidR="00376999" w:rsidRDefault="00000000">
      <w:pPr>
        <w:pStyle w:val="BodyText"/>
        <w:numPr>
          <w:ilvl w:val="0"/>
          <w:numId w:val="8"/>
        </w:numPr>
        <w:tabs>
          <w:tab w:val="left" w:pos="709"/>
        </w:tabs>
        <w:spacing w:after="0"/>
      </w:pPr>
      <w:proofErr w:type="spellStart"/>
      <w:r>
        <w:t>Openigloo</w:t>
      </w:r>
      <w:proofErr w:type="spellEnd"/>
      <w:r>
        <w:t xml:space="preserve"> — https://www.openigloo.com/</w:t>
      </w:r>
    </w:p>
    <w:p w14:paraId="4132E069" w14:textId="77777777" w:rsidR="00376999" w:rsidRDefault="00000000">
      <w:pPr>
        <w:pStyle w:val="BodyText"/>
        <w:numPr>
          <w:ilvl w:val="0"/>
          <w:numId w:val="8"/>
        </w:numPr>
        <w:tabs>
          <w:tab w:val="left" w:pos="709"/>
        </w:tabs>
        <w:spacing w:after="0"/>
      </w:pPr>
      <w:proofErr w:type="spellStart"/>
      <w:r>
        <w:t>Openigloo</w:t>
      </w:r>
      <w:proofErr w:type="spellEnd"/>
      <w:r>
        <w:t xml:space="preserve"> company profile — https://www.crunchbase.com/organization/openigloo</w:t>
      </w:r>
    </w:p>
    <w:p w14:paraId="57D8027F" w14:textId="77777777" w:rsidR="00376999" w:rsidRDefault="00000000">
      <w:pPr>
        <w:pStyle w:val="BodyText"/>
        <w:numPr>
          <w:ilvl w:val="0"/>
          <w:numId w:val="8"/>
        </w:numPr>
        <w:tabs>
          <w:tab w:val="left" w:pos="709"/>
        </w:tabs>
        <w:spacing w:after="0"/>
      </w:pPr>
      <w:proofErr w:type="spellStart"/>
      <w:r>
        <w:t>Rentlogic</w:t>
      </w:r>
      <w:proofErr w:type="spellEnd"/>
      <w:r>
        <w:t xml:space="preserve"> raises $2.4M — </w:t>
      </w:r>
      <w:r>
        <w:rPr>
          <w:i/>
        </w:rPr>
        <w:t>TechCrunch</w:t>
      </w:r>
      <w:r>
        <w:t>, 3 Aug 2018 — https://techcrunch.com/2018/08/03/rentlogic-lands-millions-to-grade-nyc-real-estate-for-renters-and-landlords/</w:t>
      </w:r>
    </w:p>
    <w:p w14:paraId="14E4A0A0" w14:textId="77777777" w:rsidR="00376999" w:rsidRDefault="00000000">
      <w:pPr>
        <w:pStyle w:val="BodyText"/>
        <w:numPr>
          <w:ilvl w:val="0"/>
          <w:numId w:val="8"/>
        </w:numPr>
        <w:tabs>
          <w:tab w:val="left" w:pos="709"/>
        </w:tabs>
        <w:spacing w:after="0"/>
      </w:pPr>
      <w:proofErr w:type="spellStart"/>
      <w:r>
        <w:t>Rentlogic</w:t>
      </w:r>
      <w:proofErr w:type="spellEnd"/>
      <w:r>
        <w:t xml:space="preserve"> expansion and pricing — </w:t>
      </w:r>
      <w:r>
        <w:rPr>
          <w:i/>
        </w:rPr>
        <w:t>Inman</w:t>
      </w:r>
      <w:r>
        <w:t>, 7 Aug 2018 — https://www.inman.com/2018/08/07/nyc-building-grading-startup-rentlogic-raises-2-point-4-m-for-expansion-to-other-cities/</w:t>
      </w:r>
    </w:p>
    <w:p w14:paraId="21F2CF7A" w14:textId="77777777" w:rsidR="00376999" w:rsidRDefault="00000000">
      <w:pPr>
        <w:pStyle w:val="BodyText"/>
        <w:numPr>
          <w:ilvl w:val="0"/>
          <w:numId w:val="8"/>
        </w:numPr>
        <w:tabs>
          <w:tab w:val="left" w:pos="709"/>
        </w:tabs>
        <w:spacing w:after="0"/>
      </w:pPr>
      <w:proofErr w:type="spellStart"/>
      <w:r>
        <w:t>Rentlogic</w:t>
      </w:r>
      <w:proofErr w:type="spellEnd"/>
      <w:r>
        <w:t xml:space="preserve"> per-unit pricing — </w:t>
      </w:r>
      <w:proofErr w:type="spellStart"/>
      <w:r>
        <w:rPr>
          <w:i/>
        </w:rPr>
        <w:t>Techweek</w:t>
      </w:r>
      <w:proofErr w:type="spellEnd"/>
      <w:r>
        <w:t xml:space="preserve"> — https://techweek.com/rentlogic-building-certification-newyork-startup/</w:t>
      </w:r>
    </w:p>
    <w:p w14:paraId="7B0E3B61" w14:textId="77777777" w:rsidR="00376999" w:rsidRDefault="00000000">
      <w:pPr>
        <w:pStyle w:val="BodyText"/>
        <w:numPr>
          <w:ilvl w:val="0"/>
          <w:numId w:val="8"/>
        </w:numPr>
        <w:tabs>
          <w:tab w:val="left" w:pos="709"/>
        </w:tabs>
        <w:spacing w:after="0"/>
      </w:pPr>
      <w:r>
        <w:t xml:space="preserve">NYC vacancy rate at </w:t>
      </w:r>
      <w:proofErr w:type="gramStart"/>
      <w:r>
        <w:t>1.4% —</w:t>
      </w:r>
      <w:proofErr w:type="gramEnd"/>
      <w:r>
        <w:t xml:space="preserve"> NYC HPD — https://www.nyc.gov/site/hpd/news/007-24/new-york-city-s-vacancy-rate-reaches-historic-low-1-4-percent-demanding-urgent-action-new</w:t>
      </w:r>
    </w:p>
    <w:p w14:paraId="6C09040D" w14:textId="77777777" w:rsidR="00376999" w:rsidRDefault="00000000">
      <w:pPr>
        <w:pStyle w:val="BodyText"/>
        <w:numPr>
          <w:ilvl w:val="0"/>
          <w:numId w:val="8"/>
        </w:numPr>
        <w:tabs>
          <w:tab w:val="left" w:pos="709"/>
        </w:tabs>
        <w:spacing w:after="0"/>
      </w:pPr>
      <w:r>
        <w:t>NYC Housing and Vacancy Survey — Rent Guidelines Board — https://rentguidelinesboard.cityofnewyork.us/research/nyc-housing-vacancy-survey/</w:t>
      </w:r>
    </w:p>
    <w:p w14:paraId="30ED64D4" w14:textId="77777777" w:rsidR="00376999" w:rsidRDefault="00000000">
      <w:pPr>
        <w:pStyle w:val="BodyText"/>
        <w:numPr>
          <w:ilvl w:val="0"/>
          <w:numId w:val="8"/>
        </w:numPr>
        <w:tabs>
          <w:tab w:val="left" w:pos="709"/>
        </w:tabs>
        <w:spacing w:after="0"/>
      </w:pPr>
      <w:r>
        <w:t>Moody's to acquire CAPE Analytics — Moody's IR, 13 Jan 2025 — https://ir.moodys.com/press-releases/news-details/2025/Moodys-to-Acquire-CAPE-Analytics-Adding-AI-Powered-Geospatial-Property-Risk-Intelligence-to-Its-Industry-Leading-Insurance-Risk-Models/default.aspx</w:t>
      </w:r>
    </w:p>
    <w:p w14:paraId="1E41E778" w14:textId="77777777" w:rsidR="00376999" w:rsidRDefault="00000000">
      <w:pPr>
        <w:pStyle w:val="BodyText"/>
        <w:numPr>
          <w:ilvl w:val="0"/>
          <w:numId w:val="8"/>
        </w:numPr>
        <w:tabs>
          <w:tab w:val="left" w:pos="709"/>
        </w:tabs>
        <w:spacing w:after="0"/>
      </w:pPr>
      <w:r>
        <w:t xml:space="preserve">Moody's acquires CAPE Analytics — </w:t>
      </w:r>
      <w:r>
        <w:rPr>
          <w:i/>
        </w:rPr>
        <w:t>Insurance Journal</w:t>
      </w:r>
      <w:r>
        <w:t>, 13 Jan 2025 — https://www.insurancejournal.com/news/national/2025/01/13/807956.htm</w:t>
      </w:r>
    </w:p>
    <w:p w14:paraId="6159A0E3" w14:textId="77777777" w:rsidR="00376999" w:rsidRDefault="00000000">
      <w:pPr>
        <w:pStyle w:val="BodyText"/>
        <w:numPr>
          <w:ilvl w:val="0"/>
          <w:numId w:val="8"/>
        </w:numPr>
        <w:tabs>
          <w:tab w:val="left" w:pos="709"/>
        </w:tabs>
        <w:spacing w:after="0"/>
      </w:pPr>
      <w:proofErr w:type="spellStart"/>
      <w:r>
        <w:t>ZestyAI</w:t>
      </w:r>
      <w:proofErr w:type="spellEnd"/>
      <w:r>
        <w:t xml:space="preserve"> — https://zesty.ai/</w:t>
      </w:r>
    </w:p>
    <w:p w14:paraId="467E0A71" w14:textId="77777777" w:rsidR="00376999" w:rsidRDefault="00000000">
      <w:pPr>
        <w:pStyle w:val="BodyText"/>
        <w:numPr>
          <w:ilvl w:val="0"/>
          <w:numId w:val="8"/>
        </w:numPr>
        <w:tabs>
          <w:tab w:val="left" w:pos="709"/>
        </w:tabs>
        <w:spacing w:after="0"/>
      </w:pPr>
      <w:r>
        <w:t xml:space="preserve">Verisk </w:t>
      </w:r>
      <w:proofErr w:type="spellStart"/>
      <w:r>
        <w:t>BuildFax</w:t>
      </w:r>
      <w:proofErr w:type="spellEnd"/>
      <w:r>
        <w:t xml:space="preserve"> </w:t>
      </w:r>
      <w:proofErr w:type="gramStart"/>
      <w:r>
        <w:t>permit</w:t>
      </w:r>
      <w:proofErr w:type="gramEnd"/>
      <w:r>
        <w:t xml:space="preserve"> data for insurers — https://www.globenewswire.com/news-release/2021/02/17/2177301/0/en/An-Industry-First-Canadian-Property-Insurers-Can-Unearth-Insights-from-Building-Permits-with-Verisk-s-BuildFax.html</w:t>
      </w:r>
    </w:p>
    <w:p w14:paraId="6C63730E" w14:textId="77777777" w:rsidR="00376999" w:rsidRDefault="00000000">
      <w:pPr>
        <w:pStyle w:val="BodyText"/>
        <w:numPr>
          <w:ilvl w:val="0"/>
          <w:numId w:val="8"/>
        </w:numPr>
        <w:tabs>
          <w:tab w:val="left" w:pos="709"/>
        </w:tabs>
        <w:spacing w:after="0"/>
      </w:pPr>
      <w:r>
        <w:t xml:space="preserve">Housing code violations and insurer habitability exclusions — </w:t>
      </w:r>
      <w:r>
        <w:rPr>
          <w:i/>
        </w:rPr>
        <w:t>Distinguished</w:t>
      </w:r>
      <w:r>
        <w:t xml:space="preserve"> — https://distinguished.com/blog/housing-code-violations-in-los-angeles-an-interview-with-katie-vespia/</w:t>
      </w:r>
    </w:p>
    <w:p w14:paraId="3E41D067" w14:textId="77777777" w:rsidR="00376999" w:rsidRDefault="00000000">
      <w:pPr>
        <w:pStyle w:val="BodyText"/>
        <w:numPr>
          <w:ilvl w:val="0"/>
          <w:numId w:val="8"/>
        </w:numPr>
        <w:tabs>
          <w:tab w:val="left" w:pos="709"/>
        </w:tabs>
        <w:spacing w:after="0"/>
      </w:pPr>
      <w:proofErr w:type="spellStart"/>
      <w:r>
        <w:t>PropTech</w:t>
      </w:r>
      <w:proofErr w:type="spellEnd"/>
      <w:r>
        <w:t xml:space="preserve"> market size — Fortune Business Insights — https://www.fortunebusinessinsights.com/proptech-market-108634</w:t>
      </w:r>
    </w:p>
    <w:p w14:paraId="7DE4E40B" w14:textId="77777777" w:rsidR="00376999" w:rsidRDefault="00000000">
      <w:pPr>
        <w:pStyle w:val="BodyText"/>
        <w:numPr>
          <w:ilvl w:val="0"/>
          <w:numId w:val="8"/>
        </w:numPr>
        <w:tabs>
          <w:tab w:val="left" w:pos="709"/>
        </w:tabs>
        <w:spacing w:after="0"/>
      </w:pPr>
      <w:proofErr w:type="spellStart"/>
      <w:r>
        <w:t>PropTech</w:t>
      </w:r>
      <w:proofErr w:type="spellEnd"/>
      <w:r>
        <w:t xml:space="preserve"> market size — Grand View Research — https://www.grandviewresearch.com/industry-analysis/proptech-market-report</w:t>
      </w:r>
    </w:p>
    <w:p w14:paraId="510D7806" w14:textId="77777777" w:rsidR="00376999" w:rsidRDefault="00000000">
      <w:pPr>
        <w:pStyle w:val="BodyText"/>
        <w:numPr>
          <w:ilvl w:val="0"/>
          <w:numId w:val="8"/>
        </w:numPr>
        <w:tabs>
          <w:tab w:val="left" w:pos="709"/>
        </w:tabs>
        <w:spacing w:after="0"/>
      </w:pPr>
      <w:proofErr w:type="spellStart"/>
      <w:r>
        <w:t>PropTech</w:t>
      </w:r>
      <w:proofErr w:type="spellEnd"/>
      <w:r>
        <w:t xml:space="preserve"> market size — Precedence Research — https://www.precedenceresearch.com/proptech-market</w:t>
      </w:r>
    </w:p>
    <w:p w14:paraId="0CC26C1A" w14:textId="77777777" w:rsidR="00376999" w:rsidRDefault="00000000">
      <w:pPr>
        <w:pStyle w:val="BodyText"/>
        <w:numPr>
          <w:ilvl w:val="0"/>
          <w:numId w:val="8"/>
        </w:numPr>
        <w:tabs>
          <w:tab w:val="left" w:pos="709"/>
        </w:tabs>
        <w:spacing w:after="0"/>
      </w:pPr>
      <w:proofErr w:type="spellStart"/>
      <w:r>
        <w:t>PropTech</w:t>
      </w:r>
      <w:proofErr w:type="spellEnd"/>
      <w:r>
        <w:t xml:space="preserve"> market size — Market.us — https://market.us/report/proptech-market/</w:t>
      </w:r>
    </w:p>
    <w:p w14:paraId="19B9E6D5" w14:textId="77777777" w:rsidR="00376999" w:rsidRDefault="00000000">
      <w:pPr>
        <w:pStyle w:val="BodyText"/>
        <w:numPr>
          <w:ilvl w:val="0"/>
          <w:numId w:val="8"/>
        </w:numPr>
        <w:tabs>
          <w:tab w:val="left" w:pos="709"/>
        </w:tabs>
      </w:pPr>
      <w:proofErr w:type="spellStart"/>
      <w:r>
        <w:t>PropTech</w:t>
      </w:r>
      <w:proofErr w:type="spellEnd"/>
      <w:r>
        <w:t xml:space="preserve"> market size — SNS Insider — https://www.snsinsider.com/reports/proptech-market-6857</w:t>
      </w:r>
    </w:p>
    <w:sectPr w:rsidR="00376999" w:rsidSect="005C5368">
      <w:pgSz w:w="12240" w:h="15840"/>
      <w:pgMar w:top="720" w:right="720" w:bottom="720" w:left="720" w:header="0" w:footer="0" w:gutter="0"/>
      <w:cols w:space="720"/>
      <w:formProt w:val="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1"/>
    <w:family w:val="roman"/>
    <w:pitch w:val="variable"/>
  </w:font>
  <w:font w:name="NSimSun">
    <w:panose1 w:val="00000000000000000000"/>
    <w:charset w:val="00"/>
    <w:family w:val="roman"/>
    <w:notTrueType/>
    <w:pitch w:val="default"/>
  </w:font>
  <w:font w:name="Lucida Sans">
    <w:panose1 w:val="020B0602030504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1"/>
    <w:family w:val="swiss"/>
    <w:pitch w:val="variable"/>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7D7F"/>
    <w:multiLevelType w:val="multilevel"/>
    <w:tmpl w:val="9ABA6D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14B3F98"/>
    <w:multiLevelType w:val="multilevel"/>
    <w:tmpl w:val="F65270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52B022E"/>
    <w:multiLevelType w:val="multilevel"/>
    <w:tmpl w:val="AFBE7F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0DF7941"/>
    <w:multiLevelType w:val="multilevel"/>
    <w:tmpl w:val="2952A1D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47595D29"/>
    <w:multiLevelType w:val="multilevel"/>
    <w:tmpl w:val="6054F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979731C"/>
    <w:multiLevelType w:val="multilevel"/>
    <w:tmpl w:val="A1886B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59FC52AB"/>
    <w:multiLevelType w:val="multilevel"/>
    <w:tmpl w:val="544698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6A5F0021"/>
    <w:multiLevelType w:val="multilevel"/>
    <w:tmpl w:val="77EE6F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4A41710"/>
    <w:multiLevelType w:val="multilevel"/>
    <w:tmpl w:val="E6526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62067093">
    <w:abstractNumId w:val="7"/>
  </w:num>
  <w:num w:numId="2" w16cid:durableId="13459808">
    <w:abstractNumId w:val="0"/>
  </w:num>
  <w:num w:numId="3" w16cid:durableId="1530026099">
    <w:abstractNumId w:val="3"/>
  </w:num>
  <w:num w:numId="4" w16cid:durableId="1208713049">
    <w:abstractNumId w:val="5"/>
  </w:num>
  <w:num w:numId="5" w16cid:durableId="1828283923">
    <w:abstractNumId w:val="4"/>
  </w:num>
  <w:num w:numId="6" w16cid:durableId="1088773242">
    <w:abstractNumId w:val="8"/>
  </w:num>
  <w:num w:numId="7" w16cid:durableId="1319456622">
    <w:abstractNumId w:val="6"/>
  </w:num>
  <w:num w:numId="8" w16cid:durableId="305820431">
    <w:abstractNumId w:val="1"/>
  </w:num>
  <w:num w:numId="9" w16cid:durableId="1296788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76999"/>
    <w:rsid w:val="00376999"/>
    <w:rsid w:val="005C5368"/>
    <w:rsid w:val="006F1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88F"/>
  <w15:docId w15:val="{3585D07A-CD93-4240-B4DD-42BB734D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46" w:lineRule="auto"/>
    </w:pPr>
    <w:rPr>
      <w:rFonts w:ascii="Georgia" w:eastAsia="Georgia" w:hAnsi="Georgia" w:cs="Georgia"/>
      <w:color w:val="1C1C1E"/>
      <w:sz w:val="21"/>
      <w:szCs w:val="21"/>
    </w:rPr>
  </w:style>
  <w:style w:type="paragraph" w:styleId="Heading1">
    <w:name w:val="heading 1"/>
    <w:basedOn w:val="Heading"/>
    <w:next w:val="BodyText"/>
    <w:uiPriority w:val="9"/>
    <w:qFormat/>
    <w:pPr>
      <w:pageBreakBefore/>
      <w:spacing w:after="80"/>
      <w:outlineLvl w:val="0"/>
    </w:pPr>
    <w:rPr>
      <w:rFonts w:ascii="Segoe UI" w:eastAsia="Segoe UI" w:hAnsi="Segoe UI" w:cs="Segoe UI"/>
      <w:b/>
      <w:bCs/>
      <w:sz w:val="40"/>
      <w:szCs w:val="40"/>
    </w:rPr>
  </w:style>
  <w:style w:type="paragraph" w:styleId="Heading2">
    <w:name w:val="heading 2"/>
    <w:basedOn w:val="Heading"/>
    <w:next w:val="BodyText"/>
    <w:uiPriority w:val="9"/>
    <w:unhideWhenUsed/>
    <w:qFormat/>
    <w:pPr>
      <w:spacing w:before="320" w:after="80"/>
      <w:ind w:left="320" w:right="320"/>
      <w:outlineLvl w:val="1"/>
    </w:pPr>
    <w:rPr>
      <w:rFonts w:ascii="Segoe UI" w:eastAsia="Segoe UI" w:hAnsi="Segoe UI" w:cs="Segoe UI"/>
      <w:b/>
      <w:bCs/>
      <w:color w:val="3A3A3C"/>
      <w:sz w:val="27"/>
      <w:szCs w:val="27"/>
    </w:rPr>
  </w:style>
  <w:style w:type="paragraph" w:styleId="Heading3">
    <w:name w:val="heading 3"/>
    <w:basedOn w:val="Heading"/>
    <w:next w:val="BodyText"/>
    <w:uiPriority w:val="9"/>
    <w:unhideWhenUsed/>
    <w:qFormat/>
    <w:pPr>
      <w:spacing w:after="60"/>
      <w:ind w:left="240" w:right="240"/>
      <w:outlineLvl w:val="2"/>
    </w:pPr>
    <w:rPr>
      <w:rFonts w:ascii="Segoe UI" w:eastAsia="Segoe UI" w:hAnsi="Segoe UI" w:cs="Segoe UI"/>
      <w:b/>
      <w:bCs/>
      <w:color w:val="3A3A3C"/>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Consolas" w:eastAsia="Consolas" w:hAnsi="Consolas" w:cs="Consolas"/>
      <w:sz w:val="18"/>
      <w:szCs w:val="18"/>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styleId="Hyperlink">
    <w:name w:val="Hyperlink"/>
    <w:rPr>
      <w:color w:val="2A8440"/>
      <w:u w:val="single"/>
    </w:rPr>
  </w:style>
  <w:style w:type="character" w:styleId="FollowedHyperlink">
    <w:name w:val="FollowedHyperlink"/>
    <w:rPr>
      <w:color w:val="2A844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ing1first">
    <w:name w:val="Heading 1.first"/>
    <w:basedOn w:val="Heading1"/>
    <w:qFormat/>
    <w:pPr>
      <w:outlineLvl w:val="9"/>
    </w:pPr>
  </w:style>
  <w:style w:type="paragraph" w:customStyle="1" w:styleId="PreformattedText">
    <w:name w:val="Preformatted Text"/>
    <w:basedOn w:val="Normal"/>
    <w:qFormat/>
    <w:pPr>
      <w:pBdr>
        <w:left w:val="single" w:sz="24" w:space="9" w:color="2A8440"/>
      </w:pBdr>
      <w:shd w:val="clear" w:color="auto" w:fill="F0F0F2"/>
      <w:spacing w:before="160" w:after="160" w:line="324" w:lineRule="auto"/>
      <w:ind w:left="160" w:right="160"/>
    </w:pPr>
    <w:rPr>
      <w:rFonts w:ascii="Consolas" w:eastAsia="Consolas" w:hAnsi="Consolas" w:cs="Consolas"/>
      <w:sz w:val="17"/>
      <w:szCs w:val="17"/>
    </w:rPr>
  </w:style>
  <w:style w:type="paragraph" w:customStyle="1" w:styleId="BlockQuotation">
    <w:name w:val="Block Quotation"/>
    <w:basedOn w:val="Normal"/>
    <w:qFormat/>
    <w:pPr>
      <w:pBdr>
        <w:left w:val="single" w:sz="24" w:space="12" w:color="2A8440"/>
      </w:pBdr>
      <w:shd w:val="clear" w:color="auto" w:fill="D7D7D9"/>
      <w:spacing w:before="160" w:after="160"/>
      <w:ind w:left="160" w:right="160"/>
    </w:pPr>
  </w:style>
  <w:style w:type="paragraph" w:customStyle="1" w:styleId="BodyTexteyebrow">
    <w:name w:val="Body Text.eyebrow"/>
    <w:basedOn w:val="BodyText"/>
    <w:qFormat/>
    <w:pPr>
      <w:spacing w:after="120"/>
    </w:pPr>
    <w:rPr>
      <w:rFonts w:ascii="Segoe UI" w:eastAsia="Segoe UI" w:hAnsi="Segoe UI" w:cs="Segoe UI"/>
      <w:color w:val="6A6A72"/>
      <w:spacing w:val="28"/>
      <w:sz w:val="16"/>
      <w:szCs w:val="16"/>
    </w:rPr>
  </w:style>
  <w:style w:type="paragraph" w:customStyle="1" w:styleId="BodyTextcover-h">
    <w:name w:val="Body Text.cover-h"/>
    <w:basedOn w:val="BodyText"/>
    <w:qFormat/>
    <w:pPr>
      <w:spacing w:after="160"/>
    </w:pPr>
    <w:rPr>
      <w:rFonts w:ascii="Segoe UI" w:eastAsia="Segoe UI" w:hAnsi="Segoe UI" w:cs="Segoe UI"/>
      <w:sz w:val="60"/>
      <w:szCs w:val="60"/>
    </w:rPr>
  </w:style>
  <w:style w:type="paragraph" w:customStyle="1" w:styleId="BodyTextlede">
    <w:name w:val="Body Text.lede"/>
    <w:basedOn w:val="BodyText"/>
    <w:qFormat/>
    <w:pPr>
      <w:spacing w:after="280"/>
    </w:pPr>
    <w:rPr>
      <w:color w:val="3A3A3C"/>
      <w:sz w:val="24"/>
      <w:szCs w:val="24"/>
    </w:rPr>
  </w:style>
  <w:style w:type="paragraph" w:customStyle="1" w:styleId="BodyTextmeta">
    <w:name w:val="Body Text.meta"/>
    <w:basedOn w:val="BodyText"/>
    <w:qFormat/>
    <w:pPr>
      <w:spacing w:after="60"/>
    </w:pPr>
    <w:rPr>
      <w:rFonts w:ascii="Segoe UI" w:eastAsia="Segoe UI" w:hAnsi="Segoe UI" w:cs="Segoe UI"/>
      <w:color w:val="6A6A72"/>
      <w:sz w:val="17"/>
      <w:szCs w:val="17"/>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shd w:val="clear" w:color="auto" w:fill="3A3A3C"/>
    </w:pPr>
    <w:rPr>
      <w:b/>
      <w:bCs/>
      <w:color w:val="F5F5F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3272</Words>
  <Characters>18655</Characters>
  <Application>Microsoft Office Word</Application>
  <DocSecurity>0</DocSecurity>
  <Lines>155</Lines>
  <Paragraphs>43</Paragraphs>
  <ScaleCrop>false</ScaleCrop>
  <Company/>
  <LinksUpToDate>false</LinksUpToDate>
  <CharactersWithSpaces>21884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Rental Transparency — Research Notes</dc:title>
  <dc:subject/>
  <dc:creator/>
  <dc:description/>
  <cp:lastModifiedBy>Stan Aisling Leiva-Davila</cp:lastModifiedBy>
  <cp:revision>2</cp:revision>
  <dcterms:created xsi:type="dcterms:W3CDTF">2026-08-09T04:58:00Z</dcterms:created>
  <dcterms:modified xsi:type="dcterms:W3CDTF">2026-08-09T04:59:00Z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6c68e562-26d2-4231-ab15-fad6ed576c80</vt:lpwstr>
  </property>
</Properties>
</file>