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jc w:val="start"/>
        <w:rPr/>
      </w:pPr>
      <w:r>
        <w:rPr/>
        <w:t>HOUSECHECK · MARKET FRAMING NOTES</w:t>
      </w:r>
    </w:p>
    <w:p>
      <w:pPr>
        <w:pStyle w:val="BodyTextcover-h"/>
        <w:bidi w:val="0"/>
        <w:jc w:val="start"/>
        <w:rPr/>
      </w:pPr>
      <w:r>
        <w:rPr/>
        <w:t>Past One User</w:t>
      </w:r>
    </w:p>
    <w:p>
      <w:pPr>
        <w:pStyle w:val="BodyTextlede"/>
        <w:bidi w:val="0"/>
        <w:jc w:val="start"/>
        <w:rPr/>
      </w:pPr>
      <w:r>
        <w:rPr/>
        <w:t>Who else has this problem, roughly how many of them there are, and what they do instead today.</w:t>
      </w:r>
    </w:p>
    <w:p>
      <w:pPr>
        <w:pStyle w:val="BodyTextmeta"/>
        <w:bidi w:val="0"/>
        <w:jc w:val="start"/>
        <w:rPr/>
      </w:pPr>
      <w:r>
        <w:rPr/>
        <w:t>Aisling · Pursuit L2 Cycle 4 · 9 August 2026</w:t>
      </w:r>
    </w:p>
    <w:p>
      <w:pPr>
        <w:pStyle w:val="BlockQuotation"/>
        <w:bidi w:val="0"/>
        <w:jc w:val="start"/>
        <w:rPr>
          <w:b/>
        </w:rPr>
      </w:pPr>
      <w:r>
        <w:rPr>
          <w:b/>
        </w:rPr>
        <w:t>STANDARD USED THROUGHOUT</w:t>
      </w:r>
    </w:p>
    <w:p>
      <w:pPr>
        <w:pStyle w:val="BlockQuotation"/>
        <w:bidi w:val="0"/>
        <w:jc w:val="start"/>
        <w:rPr/>
      </w:pPr>
      <w:r>
        <w:rPr/>
        <w:t>Every figure carries its source. Where a number is derived rather than sourced, it says so. Earlier cycles are not covered, because the evidence for them is not in reach and reconstructing it from memory would not meet the standard the rest of these notes are held to.</w:t>
      </w:r>
    </w:p>
    <w:p>
      <w:pPr>
        <w:pStyle w:val="HorizontalLine"/>
        <w:bidi w:val="0"/>
        <w:jc w:val="start"/>
        <w:rPr/>
      </w:pPr>
      <w:r>
        <w:rPr/>
      </w:r>
    </w:p>
    <w:p>
      <w:pPr>
        <w:pStyle w:val="Heading2"/>
        <w:bidi w:val="0"/>
        <w:jc w:val="start"/>
        <w:rPr/>
      </w:pPr>
      <w:r>
        <w:rPr/>
        <w:t>Question 1 — Where I'm starting from</w:t>
      </w:r>
    </w:p>
    <w:p>
      <w:pPr>
        <w:pStyle w:val="BodyText"/>
        <w:bidi w:val="0"/>
        <w:jc w:val="start"/>
        <w:rPr/>
      </w:pPr>
      <w:r>
        <w:rPr/>
        <w:t>I have run into this distinction, and not as theory. It happened twice in this cycle, in the last week, and both times it changed an answer I had already written down.</w:t>
      </w:r>
    </w:p>
    <w:p>
      <w:pPr>
        <w:pStyle w:val="Heading3"/>
        <w:bidi w:val="0"/>
        <w:jc w:val="start"/>
        <w:rPr/>
      </w:pPr>
      <w:r>
        <w:rPr/>
        <w:t>The first time: the denominator collapsed by a factor of 75</w:t>
      </w:r>
    </w:p>
    <w:p>
      <w:pPr>
        <w:pStyle w:val="BodyText"/>
        <w:bidi w:val="0"/>
        <w:jc w:val="start"/>
        <w:rPr/>
      </w:pPr>
      <w:r>
        <w:rPr/>
        <w:t xml:space="preserve">While mapping the industry I wrote down who HouseCheck serves and reached for the obvious number: </w:t>
      </w:r>
      <w:r>
        <w:rPr>
          <w:b/>
        </w:rPr>
        <w:t>~2.5M NYC renters.</w:t>
      </w:r>
      <w:r>
        <w:rPr/>
        <w:t xml:space="preserve"> It is true, it is sourced, and it is the number anyone would put on a slide.</w:t>
      </w:r>
    </w:p>
    <w:p>
      <w:pPr>
        <w:pStyle w:val="BodyText"/>
        <w:bidi w:val="0"/>
        <w:jc w:val="start"/>
        <w:rPr/>
      </w:pPr>
      <w:r>
        <w:rPr/>
        <w:t xml:space="preserve">Then a harder question got asked — </w:t>
      </w:r>
      <w:r>
        <w:rPr>
          <w:i/>
        </w:rPr>
        <w:t>does a renter actually use this at the moment that matters?</w:t>
      </w:r>
      <w:r>
        <w:rPr/>
        <w:t xml:space="preserve"> — and that is a behavioural question, not a market-size one. A tool used at the moment of decision does not serve a population. It serves a </w:t>
      </w:r>
      <w:r>
        <w:rPr>
          <w:b/>
        </w:rPr>
        <w:t>moment</w:t>
      </w:r>
      <w:r>
        <w:rPr/>
        <w:t>.</w:t>
      </w:r>
    </w:p>
    <w:tbl>
      <w:tblPr>
        <w:tblW w:w="5000" w:type="pct"/>
        <w:jc w:val="start"/>
        <w:tblInd w:w="0" w:type="dxa"/>
        <w:tblLayout w:type="fixed"/>
        <w:tblCellMar>
          <w:top w:w="90" w:type="dxa"/>
          <w:start w:w="90" w:type="dxa"/>
          <w:bottom w:w="90" w:type="dxa"/>
          <w:end w:w="90" w:type="dxa"/>
        </w:tblCellMar>
      </w:tblPr>
      <w:tblGrid>
        <w:gridCol w:w="8158"/>
        <w:gridCol w:w="1587"/>
      </w:tblGrid>
      <w:tr>
        <w:trPr/>
        <w:tc>
          <w:tcPr>
            <w:tcW w:w="8158" w:type="dxa"/>
            <w:tcBorders/>
            <w:vAlign w:val="center"/>
          </w:tcPr>
          <w:p>
            <w:pPr>
              <w:pStyle w:val="TableHeading"/>
              <w:suppressLineNumbers/>
              <w:shd w:fill="3A3A3C" w:val="clear"/>
              <w:bidi w:val="0"/>
              <w:jc w:val="start"/>
              <w:rPr/>
            </w:pPr>
            <w:r>
              <w:rPr/>
              <w:t>Framing</w:t>
            </w:r>
          </w:p>
        </w:tc>
        <w:tc>
          <w:tcPr>
            <w:tcW w:w="1587" w:type="dxa"/>
            <w:tcBorders/>
            <w:vAlign w:val="center"/>
          </w:tcPr>
          <w:p>
            <w:pPr>
              <w:pStyle w:val="TableHeading"/>
              <w:suppressLineNumbers/>
              <w:shd w:fill="3A3A3C" w:val="clear"/>
              <w:bidi w:val="0"/>
              <w:jc w:val="start"/>
              <w:rPr/>
            </w:pPr>
            <w:r>
              <w:rPr/>
              <w:t>Count</w:t>
            </w:r>
          </w:p>
        </w:tc>
      </w:tr>
      <w:tr>
        <w:trPr/>
        <w:tc>
          <w:tcPr>
            <w:tcW w:w="8158" w:type="dxa"/>
            <w:tcBorders/>
            <w:vAlign w:val="center"/>
          </w:tcPr>
          <w:p>
            <w:pPr>
              <w:pStyle w:val="TableContents"/>
              <w:widowControl w:val="false"/>
              <w:suppressLineNumbers/>
              <w:bidi w:val="0"/>
              <w:jc w:val="start"/>
              <w:rPr/>
            </w:pPr>
            <w:r>
              <w:rPr/>
              <w:t xml:space="preserve">NYC renters — the population that </w:t>
            </w:r>
            <w:r>
              <w:rPr>
                <w:i/>
              </w:rPr>
              <w:t>has</w:t>
            </w:r>
            <w:r>
              <w:rPr/>
              <w:t xml:space="preserve"> the problem</w:t>
            </w:r>
          </w:p>
        </w:tc>
        <w:tc>
          <w:tcPr>
            <w:tcW w:w="1587" w:type="dxa"/>
            <w:tcBorders/>
            <w:vAlign w:val="center"/>
          </w:tcPr>
          <w:p>
            <w:pPr>
              <w:pStyle w:val="TableContents"/>
              <w:widowControl w:val="false"/>
              <w:suppressLineNumbers/>
              <w:bidi w:val="0"/>
              <w:jc w:val="start"/>
              <w:rPr/>
            </w:pPr>
            <w:r>
              <w:rPr/>
              <w:t>~2,500,000</w:t>
            </w:r>
          </w:p>
        </w:tc>
      </w:tr>
      <w:tr>
        <w:trPr/>
        <w:tc>
          <w:tcPr>
            <w:tcW w:w="8158" w:type="dxa"/>
            <w:tcBorders/>
            <w:vAlign w:val="center"/>
          </w:tcPr>
          <w:p>
            <w:pPr>
              <w:pStyle w:val="TableContents"/>
              <w:widowControl w:val="false"/>
              <w:suppressLineNumbers/>
              <w:bidi w:val="0"/>
              <w:jc w:val="start"/>
              <w:rPr/>
            </w:pPr>
            <w:r>
              <w:rPr/>
              <w:t xml:space="preserve">Units actually available at a point in time — the people who can </w:t>
            </w:r>
            <w:r>
              <w:rPr>
                <w:i/>
              </w:rPr>
              <w:t>act</w:t>
            </w:r>
            <w:r>
              <w:rPr/>
              <w:t xml:space="preserve"> on it</w:t>
            </w:r>
          </w:p>
        </w:tc>
        <w:tc>
          <w:tcPr>
            <w:tcW w:w="1587" w:type="dxa"/>
            <w:tcBorders/>
            <w:vAlign w:val="center"/>
          </w:tcPr>
          <w:p>
            <w:pPr>
              <w:pStyle w:val="TableContents"/>
              <w:bidi w:val="0"/>
              <w:jc w:val="start"/>
              <w:rPr>
                <w:b/>
              </w:rPr>
            </w:pPr>
            <w:r>
              <w:rPr>
                <w:b/>
              </w:rPr>
              <w:t>33,210</w:t>
            </w:r>
          </w:p>
        </w:tc>
      </w:tr>
    </w:tbl>
    <w:p>
      <w:pPr>
        <w:pStyle w:val="BodyText"/>
        <w:bidi w:val="0"/>
        <w:jc w:val="start"/>
        <w:rPr>
          <w:b/>
        </w:rPr>
      </w:pPr>
      <w:r>
        <w:rPr>
          <w:b/>
        </w:rPr>
        <w:t>About 1.3%. Roughly 1 in 75.</w:t>
      </w:r>
    </w:p>
    <w:p>
      <w:pPr>
        <w:pStyle w:val="BodyText"/>
        <w:bidi w:val="0"/>
        <w:jc w:val="start"/>
        <w:rPr/>
      </w:pPr>
      <w:r>
        <w:rPr/>
        <w:t>Two independent routes agree, which is why I trust it: the sourced vacancy figure (1.41%, NYC HPD, 2023) says 33,210 units are on the market at once, and an 8–12% turnover model against 2,357,000 housing units implies 21,800–32,600 households searching in any six-week window. Different methods, same order of magnitude.</w:t>
      </w:r>
    </w:p>
    <w:p>
      <w:pPr>
        <w:pStyle w:val="BodyText"/>
        <w:bidi w:val="0"/>
        <w:jc w:val="start"/>
        <w:rPr/>
      </w:pPr>
      <w:r>
        <w:rPr>
          <w:b/>
        </w:rPr>
        <w:t>What that taught me concretely:</w:t>
      </w:r>
      <w:r>
        <w:rPr/>
        <w:t xml:space="preserve"> "how many people have this problem" and "how many people can use this product" are different questions with answers two orders of magnitude apart, and the second one is the one that governs. It also explained something I could not explain before — Openigloo reached 3M+ NYC renters and still pivoted into brokerage. Reach was never their constraint. Only about one in seventy-five of the people they reached could act at any given time, and the ones who could were standing next to a transaction.</w:t>
      </w:r>
    </w:p>
    <w:p>
      <w:pPr>
        <w:pStyle w:val="Heading3"/>
        <w:bidi w:val="0"/>
        <w:jc w:val="start"/>
        <w:rPr/>
      </w:pPr>
      <w:r>
        <w:rPr/>
        <w:t>The second time: one building versus 28% of them</w:t>
      </w:r>
    </w:p>
    <w:p>
      <w:pPr>
        <w:pStyle w:val="BodyText"/>
        <w:bidi w:val="0"/>
        <w:jc w:val="start"/>
        <w:rPr/>
      </w:pPr>
      <w:r>
        <w:rPr/>
        <w:t xml:space="preserve">Separately, auditing our own build, I found a single building — 689 Myrtle Avenue — whose Health Card said it had </w:t>
      </w:r>
      <w:r>
        <w:rPr>
          <w:i/>
        </w:rPr>
        <w:t>"a clean hazardous-violation record"</w:t>
      </w:r>
      <w:r>
        <w:rPr/>
        <w:t xml:space="preserve"> while HPD held </w:t>
      </w:r>
      <w:r>
        <w:rPr>
          <w:b/>
        </w:rPr>
        <w:t>seven open immediately-hazardous violations</w:t>
      </w:r>
      <w:r>
        <w:rPr/>
        <w:t xml:space="preserve"> against it.</w:t>
      </w:r>
    </w:p>
    <w:p>
      <w:pPr>
        <w:pStyle w:val="BodyText"/>
        <w:bidi w:val="0"/>
        <w:jc w:val="start"/>
        <w:rPr/>
      </w:pPr>
      <w:r>
        <w:rPr/>
        <w:t>One building is an anecdote. It is a bug report, and someone can reasonably ask whether it matters. So I recomputed all 250:</w:t>
      </w:r>
    </w:p>
    <w:p>
      <w:pPr>
        <w:pStyle w:val="BodyText"/>
        <w:numPr>
          <w:ilvl w:val="0"/>
          <w:numId w:val="1"/>
        </w:numPr>
        <w:tabs>
          <w:tab w:val="clear" w:pos="709"/>
          <w:tab w:val="left" w:pos="709" w:leader="none"/>
        </w:tabs>
        <w:bidi w:val="0"/>
        <w:spacing w:before="0" w:after="0"/>
        <w:ind w:hanging="283" w:start="709"/>
        <w:jc w:val="start"/>
        <w:rPr/>
      </w:pPr>
      <w:r>
        <w:rPr/>
        <w:t xml:space="preserve">mean score </w:t>
      </w:r>
      <w:r>
        <w:rPr>
          <w:b/>
        </w:rPr>
        <w:t>69.5 → 63.0</w:t>
      </w:r>
    </w:p>
    <w:p>
      <w:pPr>
        <w:pStyle w:val="BodyText"/>
        <w:numPr>
          <w:ilvl w:val="0"/>
          <w:numId w:val="1"/>
        </w:numPr>
        <w:tabs>
          <w:tab w:val="clear" w:pos="709"/>
          <w:tab w:val="left" w:pos="709" w:leader="none"/>
        </w:tabs>
        <w:bidi w:val="0"/>
        <w:spacing w:before="0" w:after="0"/>
        <w:ind w:hanging="283" w:start="709"/>
        <w:jc w:val="start"/>
        <w:rPr/>
      </w:pPr>
      <w:r>
        <w:rPr>
          <w:b/>
        </w:rPr>
        <w:t>72 of 250</w:t>
      </w:r>
      <w:r>
        <w:rPr/>
        <w:t xml:space="preserve"> buildings changed band</w:t>
      </w:r>
    </w:p>
    <w:p>
      <w:pPr>
        <w:pStyle w:val="BodyText"/>
        <w:numPr>
          <w:ilvl w:val="0"/>
          <w:numId w:val="1"/>
        </w:numPr>
        <w:tabs>
          <w:tab w:val="clear" w:pos="709"/>
          <w:tab w:val="left" w:pos="709" w:leader="none"/>
        </w:tabs>
        <w:bidi w:val="0"/>
        <w:ind w:hanging="283" w:start="709"/>
        <w:jc w:val="start"/>
        <w:rPr/>
      </w:pPr>
      <w:r>
        <w:rPr>
          <w:b/>
        </w:rPr>
        <w:t>69 of the 72 moved down</w:t>
      </w:r>
      <w:r>
        <w:rPr/>
        <w:t xml:space="preserve">, and none could move up, because the score starts at 100 and subtracts — a violation you fail to fetch can only ever make a building look </w:t>
      </w:r>
      <w:r>
        <w:rPr>
          <w:i/>
        </w:rPr>
        <w:t>better</w:t>
      </w:r>
    </w:p>
    <w:p>
      <w:pPr>
        <w:pStyle w:val="BodyText"/>
        <w:bidi w:val="0"/>
        <w:jc w:val="start"/>
        <w:rPr/>
      </w:pPr>
      <w:r>
        <w:rPr/>
        <w:t xml:space="preserve">That third line is the point. At one building it looks like a data glitch. At 250 it is a </w:t>
      </w:r>
      <w:r>
        <w:rPr>
          <w:b/>
        </w:rPr>
        <w:t>structural bias with a direction</w:t>
      </w:r>
      <w:r>
        <w:rPr/>
        <w:t>: a tool built to give tenants leverage against landlords was systematically flattering landlords. Same defect, completely different severity, and the difference is only visible in aggregate.</w:t>
      </w:r>
    </w:p>
    <w:p>
      <w:pPr>
        <w:pStyle w:val="Heading3"/>
        <w:bidi w:val="0"/>
        <w:jc w:val="start"/>
        <w:rPr/>
      </w:pPr>
      <w:r>
        <w:rPr/>
        <w:t>The third time, and it is a constraint rather than an insight</w:t>
      </w:r>
    </w:p>
    <w:p>
      <w:pPr>
        <w:pStyle w:val="BodyText"/>
        <w:bidi w:val="0"/>
        <w:jc w:val="start"/>
        <w:rPr/>
      </w:pPr>
      <w:r>
        <w:rPr/>
        <w:t>Coverage. HouseCheck serves 250 buildings. I measured what the current architecture — a SQLite file baked into the container image — actually supports:</w:t>
      </w:r>
    </w:p>
    <w:tbl>
      <w:tblPr>
        <w:tblW w:w="5000" w:type="pct"/>
        <w:jc w:val="start"/>
        <w:tblInd w:w="0" w:type="dxa"/>
        <w:tblLayout w:type="fixed"/>
        <w:tblCellMar>
          <w:top w:w="90" w:type="dxa"/>
          <w:start w:w="90" w:type="dxa"/>
          <w:bottom w:w="90" w:type="dxa"/>
          <w:end w:w="90" w:type="dxa"/>
        </w:tblCellMar>
      </w:tblPr>
      <w:tblGrid>
        <w:gridCol w:w="3674"/>
        <w:gridCol w:w="1445"/>
        <w:gridCol w:w="1749"/>
        <w:gridCol w:w="2877"/>
      </w:tblGrid>
      <w:tr>
        <w:trPr/>
        <w:tc>
          <w:tcPr>
            <w:tcW w:w="3674" w:type="dxa"/>
            <w:tcBorders/>
            <w:vAlign w:val="center"/>
          </w:tcPr>
          <w:p>
            <w:pPr>
              <w:pStyle w:val="TableHeading"/>
              <w:suppressLineNumbers/>
              <w:shd w:fill="3A3A3C" w:val="clear"/>
              <w:bidi w:val="0"/>
              <w:jc w:val="start"/>
              <w:rPr/>
            </w:pPr>
            <w:r>
              <w:rPr/>
              <w:t>Coverage</w:t>
            </w:r>
          </w:p>
        </w:tc>
        <w:tc>
          <w:tcPr>
            <w:tcW w:w="1445" w:type="dxa"/>
            <w:tcBorders/>
            <w:vAlign w:val="center"/>
          </w:tcPr>
          <w:p>
            <w:pPr>
              <w:pStyle w:val="TableHeading"/>
              <w:suppressLineNumbers/>
              <w:shd w:fill="3A3A3C" w:val="clear"/>
              <w:bidi w:val="0"/>
              <w:jc w:val="start"/>
              <w:rPr/>
            </w:pPr>
            <w:r>
              <w:rPr/>
              <w:t>Buildings</w:t>
            </w:r>
          </w:p>
        </w:tc>
        <w:tc>
          <w:tcPr>
            <w:tcW w:w="1749" w:type="dxa"/>
            <w:tcBorders/>
            <w:vAlign w:val="center"/>
          </w:tcPr>
          <w:p>
            <w:pPr>
              <w:pStyle w:val="TableHeading"/>
              <w:suppressLineNumbers/>
              <w:shd w:fill="3A3A3C" w:val="clear"/>
              <w:bidi w:val="0"/>
              <w:jc w:val="start"/>
              <w:rPr/>
            </w:pPr>
            <w:r>
              <w:rPr/>
              <w:t>Artifact size</w:t>
            </w:r>
          </w:p>
        </w:tc>
        <w:tc>
          <w:tcPr>
            <w:tcW w:w="2877" w:type="dxa"/>
            <w:tcBorders/>
            <w:vAlign w:val="center"/>
          </w:tcPr>
          <w:p>
            <w:pPr>
              <w:pStyle w:val="TableHeading"/>
              <w:suppressLineNumbers/>
              <w:shd w:fill="3A3A3C" w:val="clear"/>
              <w:bidi w:val="0"/>
              <w:jc w:val="start"/>
              <w:rPr/>
            </w:pPr>
            <w:r>
              <w:rPr/>
              <w:t>Verdict</w:t>
            </w:r>
          </w:p>
        </w:tc>
      </w:tr>
      <w:tr>
        <w:trPr/>
        <w:tc>
          <w:tcPr>
            <w:tcW w:w="3674" w:type="dxa"/>
            <w:tcBorders/>
            <w:vAlign w:val="center"/>
          </w:tcPr>
          <w:p>
            <w:pPr>
              <w:pStyle w:val="TableContents"/>
              <w:widowControl w:val="false"/>
              <w:suppressLineNumbers/>
              <w:bidi w:val="0"/>
              <w:jc w:val="start"/>
              <w:rPr/>
            </w:pPr>
            <w:r>
              <w:rPr/>
              <w:t>One community district (today)</w:t>
            </w:r>
          </w:p>
        </w:tc>
        <w:tc>
          <w:tcPr>
            <w:tcW w:w="1445" w:type="dxa"/>
            <w:tcBorders/>
            <w:vAlign w:val="center"/>
          </w:tcPr>
          <w:p>
            <w:pPr>
              <w:pStyle w:val="TableContents"/>
              <w:widowControl w:val="false"/>
              <w:suppressLineNumbers/>
              <w:bidi w:val="0"/>
              <w:jc w:val="start"/>
              <w:rPr/>
            </w:pPr>
            <w:r>
              <w:rPr/>
              <w:t>250</w:t>
            </w:r>
          </w:p>
        </w:tc>
        <w:tc>
          <w:tcPr>
            <w:tcW w:w="1749" w:type="dxa"/>
            <w:tcBorders/>
            <w:vAlign w:val="center"/>
          </w:tcPr>
          <w:p>
            <w:pPr>
              <w:pStyle w:val="TableContents"/>
              <w:widowControl w:val="false"/>
              <w:suppressLineNumbers/>
              <w:bidi w:val="0"/>
              <w:jc w:val="start"/>
              <w:rPr/>
            </w:pPr>
            <w:r>
              <w:rPr/>
              <w:t>1.3 MB</w:t>
            </w:r>
          </w:p>
        </w:tc>
        <w:tc>
          <w:tcPr>
            <w:tcW w:w="2877" w:type="dxa"/>
            <w:tcBorders/>
            <w:vAlign w:val="center"/>
          </w:tcPr>
          <w:p>
            <w:pPr>
              <w:pStyle w:val="TableContents"/>
              <w:widowControl w:val="false"/>
              <w:suppressLineNumbers/>
              <w:bidi w:val="0"/>
              <w:jc w:val="start"/>
              <w:rPr/>
            </w:pPr>
            <w:r>
              <w:rPr/>
              <w:t>fits the 2 MB page cache</w:t>
            </w:r>
          </w:p>
        </w:tc>
      </w:tr>
      <w:tr>
        <w:trPr/>
        <w:tc>
          <w:tcPr>
            <w:tcW w:w="3674" w:type="dxa"/>
            <w:tcBorders/>
            <w:vAlign w:val="center"/>
          </w:tcPr>
          <w:p>
            <w:pPr>
              <w:pStyle w:val="TableContents"/>
              <w:widowControl w:val="false"/>
              <w:suppressLineNumbers/>
              <w:bidi w:val="0"/>
              <w:jc w:val="start"/>
              <w:rPr/>
            </w:pPr>
            <w:r>
              <w:rPr/>
              <w:t>One borough subset</w:t>
            </w:r>
          </w:p>
        </w:tc>
        <w:tc>
          <w:tcPr>
            <w:tcW w:w="1445" w:type="dxa"/>
            <w:tcBorders/>
            <w:vAlign w:val="center"/>
          </w:tcPr>
          <w:p>
            <w:pPr>
              <w:pStyle w:val="TableContents"/>
              <w:widowControl w:val="false"/>
              <w:suppressLineNumbers/>
              <w:bidi w:val="0"/>
              <w:jc w:val="start"/>
              <w:rPr/>
            </w:pPr>
            <w:r>
              <w:rPr/>
              <w:t>5,000</w:t>
            </w:r>
          </w:p>
        </w:tc>
        <w:tc>
          <w:tcPr>
            <w:tcW w:w="1749" w:type="dxa"/>
            <w:tcBorders/>
            <w:vAlign w:val="center"/>
          </w:tcPr>
          <w:p>
            <w:pPr>
              <w:pStyle w:val="TableContents"/>
              <w:widowControl w:val="false"/>
              <w:suppressLineNumbers/>
              <w:bidi w:val="0"/>
              <w:jc w:val="start"/>
              <w:rPr/>
            </w:pPr>
            <w:r>
              <w:rPr/>
              <w:t>25 MB</w:t>
            </w:r>
          </w:p>
        </w:tc>
        <w:tc>
          <w:tcPr>
            <w:tcW w:w="2877" w:type="dxa"/>
            <w:tcBorders/>
            <w:vAlign w:val="center"/>
          </w:tcPr>
          <w:p>
            <w:pPr>
              <w:pStyle w:val="TableContents"/>
              <w:widowControl w:val="false"/>
              <w:suppressLineNumbers/>
              <w:bidi w:val="0"/>
              <w:jc w:val="start"/>
              <w:rPr/>
            </w:pPr>
            <w:r>
              <w:rPr/>
              <w:t>fits the 256 MB VM</w:t>
            </w:r>
          </w:p>
        </w:tc>
      </w:tr>
      <w:tr>
        <w:trPr/>
        <w:tc>
          <w:tcPr>
            <w:tcW w:w="3674" w:type="dxa"/>
            <w:tcBorders/>
            <w:vAlign w:val="center"/>
          </w:tcPr>
          <w:p>
            <w:pPr>
              <w:pStyle w:val="TableContents"/>
              <w:widowControl w:val="false"/>
              <w:suppressLineNumbers/>
              <w:bidi w:val="0"/>
              <w:jc w:val="start"/>
              <w:rPr/>
            </w:pPr>
            <w:r>
              <w:rPr/>
              <w:t>All NYC community districts</w:t>
            </w:r>
          </w:p>
        </w:tc>
        <w:tc>
          <w:tcPr>
            <w:tcW w:w="1445" w:type="dxa"/>
            <w:tcBorders/>
            <w:vAlign w:val="center"/>
          </w:tcPr>
          <w:p>
            <w:pPr>
              <w:pStyle w:val="TableContents"/>
              <w:widowControl w:val="false"/>
              <w:suppressLineNumbers/>
              <w:bidi w:val="0"/>
              <w:jc w:val="start"/>
              <w:rPr/>
            </w:pPr>
            <w:r>
              <w:rPr/>
              <w:t>48,000</w:t>
            </w:r>
          </w:p>
        </w:tc>
        <w:tc>
          <w:tcPr>
            <w:tcW w:w="1749" w:type="dxa"/>
            <w:tcBorders/>
            <w:vAlign w:val="center"/>
          </w:tcPr>
          <w:p>
            <w:pPr>
              <w:pStyle w:val="TableContents"/>
              <w:widowControl w:val="false"/>
              <w:suppressLineNumbers/>
              <w:bidi w:val="0"/>
              <w:jc w:val="start"/>
              <w:rPr/>
            </w:pPr>
            <w:r>
              <w:rPr/>
              <w:t>244 MB</w:t>
            </w:r>
          </w:p>
        </w:tc>
        <w:tc>
          <w:tcPr>
            <w:tcW w:w="2877" w:type="dxa"/>
            <w:tcBorders/>
            <w:vAlign w:val="center"/>
          </w:tcPr>
          <w:p>
            <w:pPr>
              <w:pStyle w:val="TableContents"/>
              <w:bidi w:val="0"/>
              <w:jc w:val="start"/>
              <w:rPr>
                <w:b/>
              </w:rPr>
            </w:pPr>
            <w:r>
              <w:rPr>
                <w:b/>
              </w:rPr>
              <w:t>exceeds the VM</w:t>
            </w:r>
          </w:p>
        </w:tc>
      </w:tr>
      <w:tr>
        <w:trPr/>
        <w:tc>
          <w:tcPr>
            <w:tcW w:w="3674" w:type="dxa"/>
            <w:tcBorders/>
            <w:vAlign w:val="center"/>
          </w:tcPr>
          <w:p>
            <w:pPr>
              <w:pStyle w:val="TableContents"/>
              <w:widowControl w:val="false"/>
              <w:suppressLineNumbers/>
              <w:bidi w:val="0"/>
              <w:jc w:val="start"/>
              <w:rPr/>
            </w:pPr>
            <w:r>
              <w:rPr/>
              <w:t>All HPD-registered multifamily</w:t>
            </w:r>
          </w:p>
        </w:tc>
        <w:tc>
          <w:tcPr>
            <w:tcW w:w="1445" w:type="dxa"/>
            <w:tcBorders/>
            <w:vAlign w:val="center"/>
          </w:tcPr>
          <w:p>
            <w:pPr>
              <w:pStyle w:val="TableContents"/>
              <w:widowControl w:val="false"/>
              <w:suppressLineNumbers/>
              <w:bidi w:val="0"/>
              <w:jc w:val="start"/>
              <w:rPr/>
            </w:pPr>
            <w:r>
              <w:rPr/>
              <w:t>180,000</w:t>
            </w:r>
          </w:p>
        </w:tc>
        <w:tc>
          <w:tcPr>
            <w:tcW w:w="1749" w:type="dxa"/>
            <w:tcBorders/>
            <w:vAlign w:val="center"/>
          </w:tcPr>
          <w:p>
            <w:pPr>
              <w:pStyle w:val="TableContents"/>
              <w:widowControl w:val="false"/>
              <w:suppressLineNumbers/>
              <w:bidi w:val="0"/>
              <w:jc w:val="start"/>
              <w:rPr/>
            </w:pPr>
            <w:r>
              <w:rPr/>
              <w:t>914 MB</w:t>
            </w:r>
          </w:p>
        </w:tc>
        <w:tc>
          <w:tcPr>
            <w:tcW w:w="2877" w:type="dxa"/>
            <w:tcBorders/>
            <w:vAlign w:val="center"/>
          </w:tcPr>
          <w:p>
            <w:pPr>
              <w:pStyle w:val="TableContents"/>
              <w:bidi w:val="0"/>
              <w:jc w:val="start"/>
              <w:rPr>
                <w:b/>
              </w:rPr>
            </w:pPr>
            <w:r>
              <w:rPr>
                <w:b/>
              </w:rPr>
              <w:t>exceeds the VM</w:t>
            </w:r>
          </w:p>
        </w:tc>
      </w:tr>
    </w:tbl>
    <w:p>
      <w:pPr>
        <w:pStyle w:val="BodyText"/>
        <w:bidi w:val="0"/>
        <w:jc w:val="start"/>
        <w:rPr/>
      </w:pPr>
      <w:r>
        <w:rPr/>
        <w:t>Scale is not an ambition here. It is a number with a cliff in it at roughly 40,000 buildings, and it tells me which decisions are cheap now and which ones require replacing the design.</w:t>
      </w:r>
    </w:p>
    <w:p>
      <w:pPr>
        <w:pStyle w:val="Heading3"/>
        <w:bidi w:val="0"/>
        <w:jc w:val="start"/>
        <w:rPr/>
      </w:pPr>
      <w:r>
        <w:rPr/>
        <w:t>What I already believed, and what changed</w:t>
      </w:r>
    </w:p>
    <w:p>
      <w:pPr>
        <w:pStyle w:val="BodyText"/>
        <w:bidi w:val="0"/>
        <w:jc w:val="start"/>
        <w:rPr/>
      </w:pPr>
      <w:r>
        <w:rPr>
          <w:b/>
        </w:rPr>
        <w:t>What I brought in:</w:t>
      </w:r>
      <w:r>
        <w:rPr/>
        <w:t xml:space="preserve"> that a product should work for a real person before it works for a market, and that starting from one concrete user is the honest way to build. I still believe that — the whole product was designed around one person standing in a hallway with fifteen minutes and a lease in front of them.</w:t>
      </w:r>
    </w:p>
    <w:p>
      <w:pPr>
        <w:pStyle w:val="BodyText"/>
        <w:bidi w:val="0"/>
        <w:jc w:val="start"/>
        <w:rPr/>
      </w:pPr>
      <w:r>
        <w:rPr>
          <w:b/>
        </w:rPr>
        <w:t>What changed:</w:t>
      </w:r>
      <w:r>
        <w:rPr/>
        <w:t xml:space="preserve"> I used to treat "and lots of people have this problem" as a supporting argument you add afterwards. This cycle it stopped being supporting and started being </w:t>
      </w:r>
      <w:r>
        <w:rPr>
          <w:i/>
        </w:rPr>
        <w:t>load-bearing</w:t>
      </w:r>
      <w:r>
        <w:rPr/>
        <w:t xml:space="preserve"> — it changed the denominator by 75×, it turned a bug into a bias, and it put a hard ceiling on the architecture. None of those were visible from the single-user view.</w:t>
      </w:r>
    </w:p>
    <w:p>
      <w:pPr>
        <w:pStyle w:val="BodyText"/>
        <w:bidi w:val="0"/>
        <w:jc w:val="start"/>
        <w:rPr/>
      </w:pPr>
      <w:r>
        <w:rPr>
          <w:b/>
        </w:rPr>
        <w:t>The distinction I would now draw:</w:t>
      </w:r>
      <w:r>
        <w:rPr/>
        <w:t xml:space="preserve"> solving for one person tells you whether the product is </w:t>
      </w:r>
      <w:r>
        <w:rPr>
          <w:i/>
        </w:rPr>
        <w:t>right</w:t>
      </w:r>
      <w:r>
        <w:rPr/>
        <w:t xml:space="preserve">. Thinking at scale tells you whether it is </w:t>
      </w:r>
      <w:r>
        <w:rPr>
          <w:i/>
        </w:rPr>
        <w:t>viable</w:t>
      </w:r>
      <w:r>
        <w:rPr/>
        <w:t xml:space="preserve">, and — the part I did not expect — whether a defect is </w:t>
      </w:r>
      <w:r>
        <w:rPr>
          <w:i/>
        </w:rPr>
        <w:t>serious</w:t>
      </w:r>
      <w:r>
        <w:rPr/>
        <w:t>. Those are three different jobs and only the first one is answerable by talking to one user.</w:t>
      </w:r>
    </w:p>
    <w:p>
      <w:pPr>
        <w:pStyle w:val="Heading3"/>
        <w:bidi w:val="0"/>
        <w:jc w:val="start"/>
        <w:rPr/>
      </w:pPr>
      <w:r>
        <w:rPr/>
        <w:t>Where I'd actually run into this before: Cycles 1 through 3</w:t>
      </w:r>
    </w:p>
    <w:p>
      <w:pPr>
        <w:pStyle w:val="BodyText"/>
        <w:bidi w:val="0"/>
        <w:jc w:val="start"/>
        <w:rPr/>
      </w:pPr>
      <w:r>
        <w:rPr/>
        <w:t>I went back and read the code rather than trusting memory. Four projects, ~24,000 lines of first-party code, one developer.</w:t>
      </w:r>
    </w:p>
    <w:tbl>
      <w:tblPr>
        <w:tblW w:w="5000" w:type="pct"/>
        <w:jc w:val="start"/>
        <w:tblInd w:w="0" w:type="dxa"/>
        <w:tblLayout w:type="fixed"/>
        <w:tblCellMar>
          <w:top w:w="90" w:type="dxa"/>
          <w:start w:w="90" w:type="dxa"/>
          <w:bottom w:w="90" w:type="dxa"/>
          <w:end w:w="90" w:type="dxa"/>
        </w:tblCellMar>
      </w:tblPr>
      <w:tblGrid>
        <w:gridCol w:w="741"/>
        <w:gridCol w:w="1552"/>
        <w:gridCol w:w="4719"/>
        <w:gridCol w:w="2734"/>
      </w:tblGrid>
      <w:tr>
        <w:trPr/>
        <w:tc>
          <w:tcPr>
            <w:tcW w:w="741" w:type="dxa"/>
            <w:tcBorders/>
            <w:vAlign w:val="center"/>
          </w:tcPr>
          <w:p>
            <w:pPr>
              <w:pStyle w:val="TableHeading"/>
              <w:bidi w:val="0"/>
              <w:jc w:val="start"/>
              <w:rPr>
                <w:sz w:val="4"/>
                <w:szCs w:val="4"/>
              </w:rPr>
            </w:pPr>
            <w:r>
              <w:rPr>
                <w:sz w:val="4"/>
                <w:szCs w:val="4"/>
              </w:rPr>
            </w:r>
          </w:p>
        </w:tc>
        <w:tc>
          <w:tcPr>
            <w:tcW w:w="1552" w:type="dxa"/>
            <w:tcBorders/>
            <w:vAlign w:val="center"/>
          </w:tcPr>
          <w:p>
            <w:pPr>
              <w:pStyle w:val="TableHeading"/>
              <w:suppressLineNumbers/>
              <w:shd w:fill="3A3A3C" w:val="clear"/>
              <w:bidi w:val="0"/>
              <w:jc w:val="start"/>
              <w:rPr/>
            </w:pPr>
            <w:r>
              <w:rPr/>
              <w:t>Project</w:t>
            </w:r>
          </w:p>
        </w:tc>
        <w:tc>
          <w:tcPr>
            <w:tcW w:w="4719" w:type="dxa"/>
            <w:tcBorders/>
            <w:vAlign w:val="center"/>
          </w:tcPr>
          <w:p>
            <w:pPr>
              <w:pStyle w:val="TableHeading"/>
              <w:suppressLineNumbers/>
              <w:shd w:fill="3A3A3C" w:val="clear"/>
              <w:bidi w:val="0"/>
              <w:jc w:val="start"/>
              <w:rPr/>
            </w:pPr>
            <w:r>
              <w:rPr/>
              <w:t>What it is</w:t>
            </w:r>
          </w:p>
        </w:tc>
        <w:tc>
          <w:tcPr>
            <w:tcW w:w="2734" w:type="dxa"/>
            <w:tcBorders/>
            <w:vAlign w:val="center"/>
          </w:tcPr>
          <w:p>
            <w:pPr>
              <w:pStyle w:val="TableHeading"/>
              <w:suppressLineNumbers/>
              <w:shd w:fill="3A3A3C" w:val="clear"/>
              <w:bidi w:val="0"/>
              <w:jc w:val="start"/>
              <w:rPr/>
            </w:pPr>
            <w:r>
              <w:rPr/>
              <w:t>First-party code</w:t>
            </w:r>
          </w:p>
        </w:tc>
      </w:tr>
      <w:tr>
        <w:trPr/>
        <w:tc>
          <w:tcPr>
            <w:tcW w:w="741" w:type="dxa"/>
            <w:tcBorders/>
            <w:vAlign w:val="center"/>
          </w:tcPr>
          <w:p>
            <w:pPr>
              <w:pStyle w:val="TableContents"/>
              <w:bidi w:val="0"/>
              <w:jc w:val="start"/>
              <w:rPr>
                <w:b/>
              </w:rPr>
            </w:pPr>
            <w:r>
              <w:rPr>
                <w:b/>
              </w:rPr>
              <w:t>L2 C1</w:t>
            </w:r>
          </w:p>
        </w:tc>
        <w:tc>
          <w:tcPr>
            <w:tcW w:w="1552" w:type="dxa"/>
            <w:tcBorders/>
            <w:vAlign w:val="center"/>
          </w:tcPr>
          <w:p>
            <w:pPr>
              <w:pStyle w:val="TableContents"/>
              <w:bidi w:val="0"/>
              <w:jc w:val="start"/>
              <w:rPr>
                <w:b/>
              </w:rPr>
            </w:pPr>
            <w:r>
              <w:rPr>
                <w:b/>
              </w:rPr>
              <w:t>Resona</w:t>
            </w:r>
          </w:p>
        </w:tc>
        <w:tc>
          <w:tcPr>
            <w:tcW w:w="4719" w:type="dxa"/>
            <w:tcBorders/>
            <w:vAlign w:val="center"/>
          </w:tcPr>
          <w:p>
            <w:pPr>
              <w:pStyle w:val="TableContents"/>
              <w:widowControl w:val="false"/>
              <w:suppressLineNumbers/>
              <w:bidi w:val="0"/>
              <w:jc w:val="start"/>
              <w:rPr/>
            </w:pPr>
            <w:r>
              <w:rPr/>
              <w:t>Local voice-to-text desktop app. Grew out of a Whisper clone</w:t>
            </w:r>
          </w:p>
        </w:tc>
        <w:tc>
          <w:tcPr>
            <w:tcW w:w="2734" w:type="dxa"/>
            <w:tcBorders/>
            <w:vAlign w:val="center"/>
          </w:tcPr>
          <w:p>
            <w:pPr>
              <w:pStyle w:val="TableContents"/>
              <w:widowControl w:val="false"/>
              <w:suppressLineNumbers/>
              <w:bidi w:val="0"/>
              <w:jc w:val="start"/>
              <w:rPr/>
            </w:pPr>
            <w:r>
              <w:rPr/>
              <w:t>736 Rust / 458 TS</w:t>
            </w:r>
          </w:p>
        </w:tc>
      </w:tr>
      <w:tr>
        <w:trPr/>
        <w:tc>
          <w:tcPr>
            <w:tcW w:w="741" w:type="dxa"/>
            <w:tcBorders/>
            <w:vAlign w:val="center"/>
          </w:tcPr>
          <w:p>
            <w:pPr>
              <w:pStyle w:val="TableContents"/>
              <w:bidi w:val="0"/>
              <w:jc w:val="start"/>
              <w:rPr>
                <w:b/>
              </w:rPr>
            </w:pPr>
            <w:r>
              <w:rPr>
                <w:b/>
              </w:rPr>
              <w:t>L2 C2</w:t>
            </w:r>
          </w:p>
        </w:tc>
        <w:tc>
          <w:tcPr>
            <w:tcW w:w="1552" w:type="dxa"/>
            <w:tcBorders/>
            <w:vAlign w:val="center"/>
          </w:tcPr>
          <w:p>
            <w:pPr>
              <w:pStyle w:val="TableContents"/>
              <w:bidi w:val="0"/>
              <w:jc w:val="start"/>
              <w:rPr>
                <w:b/>
              </w:rPr>
            </w:pPr>
            <w:r>
              <w:rPr>
                <w:b/>
              </w:rPr>
              <w:t>SiteAssure</w:t>
            </w:r>
          </w:p>
        </w:tc>
        <w:tc>
          <w:tcPr>
            <w:tcW w:w="4719" w:type="dxa"/>
            <w:tcBorders/>
            <w:vAlign w:val="center"/>
          </w:tcPr>
          <w:p>
            <w:pPr>
              <w:pStyle w:val="TableContents"/>
              <w:widowControl w:val="false"/>
              <w:suppressLineNumbers/>
              <w:bidi w:val="0"/>
              <w:jc w:val="start"/>
              <w:rPr/>
            </w:pPr>
            <w:r>
              <w:rPr/>
              <w:t>OSHA compliance app, built on Resona's engine</w:t>
            </w:r>
          </w:p>
        </w:tc>
        <w:tc>
          <w:tcPr>
            <w:tcW w:w="2734" w:type="dxa"/>
            <w:tcBorders/>
            <w:vAlign w:val="center"/>
          </w:tcPr>
          <w:p>
            <w:pPr>
              <w:pStyle w:val="TableContents"/>
              <w:widowControl w:val="false"/>
              <w:suppressLineNumbers/>
              <w:bidi w:val="0"/>
              <w:jc w:val="start"/>
              <w:rPr/>
            </w:pPr>
            <w:r>
              <w:rPr/>
              <w:t>551 Rust own (+5,184 vendored)</w:t>
            </w:r>
          </w:p>
        </w:tc>
      </w:tr>
      <w:tr>
        <w:trPr/>
        <w:tc>
          <w:tcPr>
            <w:tcW w:w="741" w:type="dxa"/>
            <w:tcBorders/>
            <w:vAlign w:val="center"/>
          </w:tcPr>
          <w:p>
            <w:pPr>
              <w:pStyle w:val="TableContents"/>
              <w:bidi w:val="0"/>
              <w:jc w:val="start"/>
              <w:rPr>
                <w:b/>
              </w:rPr>
            </w:pPr>
            <w:r>
              <w:rPr>
                <w:b/>
              </w:rPr>
              <w:t>L2 C3</w:t>
            </w:r>
          </w:p>
        </w:tc>
        <w:tc>
          <w:tcPr>
            <w:tcW w:w="1552" w:type="dxa"/>
            <w:tcBorders/>
            <w:vAlign w:val="center"/>
          </w:tcPr>
          <w:p>
            <w:pPr>
              <w:pStyle w:val="TableContents"/>
              <w:bidi w:val="0"/>
              <w:jc w:val="start"/>
              <w:rPr>
                <w:b/>
              </w:rPr>
            </w:pPr>
            <w:r>
              <w:rPr>
                <w:b/>
              </w:rPr>
              <w:t>Ziqpu</w:t>
            </w:r>
          </w:p>
        </w:tc>
        <w:tc>
          <w:tcPr>
            <w:tcW w:w="4719" w:type="dxa"/>
            <w:tcBorders/>
            <w:vAlign w:val="center"/>
          </w:tcPr>
          <w:p>
            <w:pPr>
              <w:pStyle w:val="TableContents"/>
              <w:widowControl w:val="false"/>
              <w:suppressLineNumbers/>
              <w:bidi w:val="0"/>
              <w:jc w:val="start"/>
              <w:rPr/>
            </w:pPr>
            <w:r>
              <w:rPr/>
              <w:t>Astrology agent, descended from my L1 Cycle 4 capstone</w:t>
            </w:r>
          </w:p>
        </w:tc>
        <w:tc>
          <w:tcPr>
            <w:tcW w:w="2734" w:type="dxa"/>
            <w:tcBorders/>
            <w:vAlign w:val="center"/>
          </w:tcPr>
          <w:p>
            <w:pPr>
              <w:pStyle w:val="TableContents"/>
              <w:widowControl w:val="false"/>
              <w:suppressLineNumbers/>
              <w:bidi w:val="0"/>
              <w:jc w:val="start"/>
              <w:rPr/>
            </w:pPr>
            <w:r>
              <w:rPr/>
              <w:t>6,718 Rust across 7 crates</w:t>
            </w:r>
          </w:p>
        </w:tc>
      </w:tr>
      <w:tr>
        <w:trPr/>
        <w:tc>
          <w:tcPr>
            <w:tcW w:w="741" w:type="dxa"/>
            <w:tcBorders/>
            <w:vAlign w:val="center"/>
          </w:tcPr>
          <w:p>
            <w:pPr>
              <w:pStyle w:val="TableContents"/>
              <w:bidi w:val="0"/>
              <w:jc w:val="start"/>
              <w:rPr>
                <w:b/>
              </w:rPr>
            </w:pPr>
            <w:r>
              <w:rPr>
                <w:b/>
              </w:rPr>
              <w:t>L2 C4</w:t>
            </w:r>
          </w:p>
        </w:tc>
        <w:tc>
          <w:tcPr>
            <w:tcW w:w="1552" w:type="dxa"/>
            <w:tcBorders/>
            <w:vAlign w:val="center"/>
          </w:tcPr>
          <w:p>
            <w:pPr>
              <w:pStyle w:val="TableContents"/>
              <w:bidi w:val="0"/>
              <w:jc w:val="start"/>
              <w:rPr>
                <w:b/>
              </w:rPr>
            </w:pPr>
            <w:r>
              <w:rPr>
                <w:b/>
              </w:rPr>
              <w:t>HouseCheck</w:t>
            </w:r>
          </w:p>
        </w:tc>
        <w:tc>
          <w:tcPr>
            <w:tcW w:w="4719" w:type="dxa"/>
            <w:tcBorders/>
            <w:vAlign w:val="center"/>
          </w:tcPr>
          <w:p>
            <w:pPr>
              <w:pStyle w:val="TableContents"/>
              <w:widowControl w:val="false"/>
              <w:suppressLineNumbers/>
              <w:bidi w:val="0"/>
              <w:jc w:val="start"/>
              <w:rPr/>
            </w:pPr>
            <w:r>
              <w:rPr/>
              <w:t>This one. NYC tenant building-health scores</w:t>
            </w:r>
          </w:p>
        </w:tc>
        <w:tc>
          <w:tcPr>
            <w:tcW w:w="2734" w:type="dxa"/>
            <w:tcBorders/>
            <w:vAlign w:val="center"/>
          </w:tcPr>
          <w:p>
            <w:pPr>
              <w:pStyle w:val="TableContents"/>
              <w:widowControl w:val="false"/>
              <w:suppressLineNumbers/>
              <w:bidi w:val="0"/>
              <w:jc w:val="start"/>
              <w:rPr/>
            </w:pPr>
            <w:r>
              <w:rPr/>
              <w:t>5,591 Rust / 4,303 TS</w:t>
            </w:r>
          </w:p>
        </w:tc>
      </w:tr>
    </w:tbl>
    <w:p>
      <w:pPr>
        <w:pStyle w:val="BodyText"/>
        <w:bidi w:val="0"/>
        <w:jc w:val="start"/>
        <w:rPr/>
      </w:pPr>
      <w:r>
        <w:rPr/>
        <w:t>The honest finding is not a clean upward arc, and it is not flattering:</w:t>
      </w:r>
    </w:p>
    <w:p>
      <w:pPr>
        <w:pStyle w:val="BlockQuotation"/>
        <w:bidi w:val="0"/>
        <w:jc w:val="start"/>
        <w:rPr/>
      </w:pPr>
      <w:r>
        <w:rPr>
          <w:b/>
        </w:rPr>
        <w:t>In four cycles I never once built an authentication system, a user record, or any server-side state belonging to a specific person.</w:t>
      </w:r>
      <w:r>
        <w:rPr/>
        <w:t xml:space="preserve"> A grep for </w:t>
      </w:r>
      <w:r>
        <w:rPr>
          <w:rStyle w:val="SourceText"/>
        </w:rPr>
        <w:t>login</w:t>
      </w:r>
      <w:r>
        <w:rPr/>
        <w:t xml:space="preserve">, </w:t>
      </w:r>
      <w:r>
        <w:rPr>
          <w:rStyle w:val="SourceText"/>
        </w:rPr>
        <w:t>jwt</w:t>
      </w:r>
      <w:r>
        <w:rPr/>
        <w:t xml:space="preserve">, </w:t>
      </w:r>
      <w:r>
        <w:rPr>
          <w:rStyle w:val="SourceText"/>
        </w:rPr>
        <w:t>session</w:t>
      </w:r>
      <w:r>
        <w:rPr/>
        <w:t xml:space="preserve">, </w:t>
      </w:r>
      <w:r>
        <w:rPr>
          <w:rStyle w:val="SourceText"/>
        </w:rPr>
        <w:t>user_id</w:t>
      </w:r>
      <w:r>
        <w:rPr/>
        <w:t xml:space="preserve">, </w:t>
      </w:r>
      <w:r>
        <w:rPr>
          <w:rStyle w:val="SourceText"/>
        </w:rPr>
        <w:t>tenant</w:t>
      </w:r>
      <w:r>
        <w:rPr/>
        <w:t xml:space="preserve"> returns no implementation hits in any of the four.</w:t>
      </w:r>
    </w:p>
    <w:p>
      <w:pPr>
        <w:pStyle w:val="BodyText"/>
        <w:bidi w:val="0"/>
        <w:jc w:val="start"/>
        <w:rPr/>
      </w:pPr>
      <w:r>
        <w:rPr/>
        <w:t xml:space="preserve">What actually changed was not </w:t>
      </w:r>
      <w:r>
        <w:rPr>
          <w:i/>
        </w:rPr>
        <w:t>how many users</w:t>
      </w:r>
      <w:r>
        <w:rPr/>
        <w:t xml:space="preserve"> the code served. It was </w:t>
      </w:r>
      <w:r>
        <w:rPr>
          <w:b/>
        </w:rPr>
        <w:t>which non-author human I was designing against</w:t>
      </w:r>
      <w:r>
        <w:rPr/>
        <w:t xml:space="preserve"> — and that moved, with a reversal in the middle.</w:t>
      </w:r>
    </w:p>
    <w:p>
      <w:pPr>
        <w:pStyle w:val="BodyText"/>
        <w:bidi w:val="0"/>
        <w:jc w:val="start"/>
        <w:rPr/>
      </w:pPr>
      <w:r>
        <w:rPr/>
        <w:t xml:space="preserve">**Cycle 1 — Resona had the most multi-user </w:t>
      </w:r>
      <w:r>
        <w:rPr>
          <w:i/>
        </w:rPr>
        <w:t>intent</w:t>
      </w:r>
      <w:r>
        <w:rPr/>
        <w:t xml:space="preserve"> and the least multi-user </w:t>
      </w:r>
      <w:r>
        <w:rPr>
          <w:i/>
        </w:rPr>
        <w:t>code</w:t>
      </w:r>
      <w:r>
        <w:rPr/>
        <w:t xml:space="preserve">.** A </w:t>
      </w:r>
      <w:r>
        <w:rPr>
          <w:rStyle w:val="SourceText"/>
        </w:rPr>
        <w:t>Tier</w:t>
      </w:r>
      <w:r>
        <w:rPr/>
        <w:t xml:space="preserve"> enum, an entitlements struct checked at every command, a shipped paywall modal with a 7-row feature matrix, and a PRD specifying a genuinely multi-tenant Team plan at $25/user/mo with shared workspaces and admin controls, measured by DAU and free→paid conversion. Underneath: one global </w:t>
      </w:r>
      <w:r>
        <w:rPr>
          <w:rStyle w:val="SourceText"/>
        </w:rPr>
        <w:t>AppState</w:t>
      </w:r>
      <w:r>
        <w:rPr/>
        <w:t xml:space="preserve">, one process, one person. </w:t>
      </w:r>
      <w:r>
        <w:rPr>
          <w:rStyle w:val="SourceText"/>
        </w:rPr>
        <w:t>start_dictation</w:t>
      </w:r>
      <w:r>
        <w:rPr/>
        <w:t xml:space="preserve"> tears down any prior session, so concurrency is </w:t>
      </w:r>
      <w:r>
        <w:rPr>
          <w:i/>
        </w:rPr>
        <w:t>impossible by construction</w:t>
      </w:r>
      <w:r>
        <w:rPr/>
        <w:t xml:space="preserve">. </w:t>
      </w:r>
      <w:r>
        <w:rPr>
          <w:rStyle w:val="SourceText"/>
        </w:rPr>
        <w:t>validate_license</w:t>
      </w:r>
      <w:r>
        <w:rPr/>
        <w:t xml:space="preserve"> is </w:t>
      </w:r>
      <w:r>
        <w:rPr>
          <w:rStyle w:val="SourceText"/>
        </w:rPr>
        <w:t>key.starts_with("PRO-")</w:t>
      </w:r>
      <w:r>
        <w:rPr/>
        <w:t>, marked DEMO ONLY. Zero network calls anywhere in the shipping app.</w:t>
      </w:r>
    </w:p>
    <w:p>
      <w:pPr>
        <w:pStyle w:val="BodyText"/>
        <w:bidi w:val="0"/>
        <w:jc w:val="start"/>
        <w:rPr/>
      </w:pPr>
      <w:r>
        <w:rPr>
          <w:b/>
        </w:rPr>
        <w:t>Cycle 2 — SiteAssure went backwards, on purpose.</w:t>
      </w:r>
      <w:r>
        <w:rPr/>
        <w:t xml:space="preserve"> "Single device, single user, offline" appears verbatim in the README, the kickoff and the build plan. The schema literally comments </w:t>
      </w:r>
      <w:r>
        <w:rPr>
          <w:rStyle w:val="SourceText"/>
        </w:rPr>
        <w:t>-- author id (single user in v1)</w:t>
      </w:r>
      <w:r>
        <w:rPr/>
        <w:t>. The Team tier and the conversion metrics are gone.</w:t>
      </w:r>
    </w:p>
    <w:p>
      <w:pPr>
        <w:pStyle w:val="BodyText"/>
        <w:bidi w:val="0"/>
        <w:jc w:val="start"/>
        <w:rPr/>
      </w:pPr>
      <w:r>
        <w:rPr/>
        <w:t xml:space="preserve">But it introduced a genuinely new non-author reader: </w:t>
      </w:r>
      <w:r>
        <w:rPr>
          <w:b/>
        </w:rPr>
        <w:t>the verifier.</w:t>
      </w:r>
      <w:r>
        <w:rPr/>
        <w:t xml:space="preserve"> The SHA-256 hash chain — </w:t>
      </w:r>
      <w:r>
        <w:rPr>
          <w:rStyle w:val="SourceText"/>
        </w:rPr>
        <w:t>entry_hash = sha256(prev_hash + payload_hash)</w:t>
      </w:r>
      <w:r>
        <w:rPr/>
        <w:t xml:space="preserve">, append-only, re-walked by </w:t>
      </w:r>
      <w:r>
        <w:rPr>
          <w:rStyle w:val="SourceText"/>
        </w:rPr>
        <w:t>verify()</w:t>
      </w:r>
      <w:r>
        <w:rPr/>
        <w:t xml:space="preserve"> — exists so an OSHA inspector or an insurer can </w:t>
      </w:r>
      <w:r>
        <w:rPr>
          <w:i/>
        </w:rPr>
        <w:t>disbelieve me and check</w:t>
      </w:r>
      <w:r>
        <w:rPr/>
        <w:t>. That is an audience expansion along a completely different axis than headcount.</w:t>
      </w:r>
    </w:p>
    <w:p>
      <w:pPr>
        <w:pStyle w:val="BodyText"/>
        <w:bidi w:val="0"/>
        <w:jc w:val="start"/>
        <w:rPr/>
      </w:pPr>
      <w:r>
        <w:rPr>
          <w:b/>
        </w:rPr>
        <w:t>Cycle 3 — Ziqpu scaled installs and contributors, not users.</w:t>
      </w:r>
      <w:r>
        <w:rPr/>
        <w:t xml:space="preserve"> Twelve release tags, a 3-OS CI matrix, a CLA, DCO enforcement, CODEOWNERS, an MCP server so third-party hosts can drive it. The </w:t>
      </w:r>
      <w:r>
        <w:rPr>
          <w:i/>
        </w:rPr>
        <w:t>item</w:t>
      </w:r>
      <w:r>
        <w:rPr/>
        <w:t xml:space="preserve"> axis genuinely scales: Postgres 16 with a pooled 5 connections, 5,271 tickers, a 69,458-city gazetteer. The </w:t>
      </w:r>
      <w:r>
        <w:rPr>
          <w:i/>
        </w:rPr>
        <w:t>user</w:t>
      </w:r>
      <w:r>
        <w:rPr/>
        <w:t xml:space="preserve"> axis does not: no auth, no rate limits, no pagination, one API key per process. The tell is a table keyed </w:t>
      </w:r>
      <w:r>
        <w:rPr>
          <w:rStyle w:val="SourceText"/>
        </w:rPr>
        <w:t>PRIMARY KEY (user_chart_hash, choice_ticker)</w:t>
      </w:r>
      <w:r>
        <w:rPr/>
        <w:t xml:space="preserve"> — the only real multi-user data structure in three cycles — that </w:t>
      </w:r>
      <w:r>
        <w:rPr>
          <w:b/>
        </w:rPr>
        <w:t>no code ever writes to.</w:t>
      </w:r>
    </w:p>
    <w:p>
      <w:pPr>
        <w:pStyle w:val="BodyText"/>
        <w:bidi w:val="0"/>
        <w:jc w:val="start"/>
        <w:rPr/>
      </w:pPr>
      <w:r>
        <w:rPr>
          <w:b/>
        </w:rPr>
        <w:t>Cycle 4 — HouseCheck is the first project whose request path was written against strangers.</w:t>
      </w:r>
      <w:r>
        <w:rPr/>
        <w:t xml:space="preserve"> And the proof is in the comments, which say so out loud: the rate limiter's note reads </w:t>
      </w:r>
      <w:r>
        <w:rPr>
          <w:i/>
        </w:rPr>
        <w:t>"/agent/chat is the first endpoint here that costs real money per request, so an unlimited public endpoint is a way for a stranger to run up the bill."</w:t>
      </w:r>
      <w:r>
        <w:rPr/>
        <w:t xml:space="preserve"> </w:t>
      </w:r>
      <w:r>
        <w:rPr>
          <w:b/>
        </w:rPr>
        <w:t>The first endpoint here</w:t>
      </w:r>
      <w:r>
        <w:rPr/>
        <w:t xml:space="preserve"> — I knew it was a first. </w:t>
      </w:r>
      <w:r>
        <w:rPr>
          <w:rStyle w:val="SourceText"/>
        </w:rPr>
        <w:t>ConcurrencyLimitLayer(64)</w:t>
      </w:r>
      <w:r>
        <w:rPr/>
        <w:t xml:space="preserve"> answers a question that does not arise for one user. The startup guard refuses to boot on an empty database </w:t>
      </w:r>
      <w:r>
        <w:rPr>
          <w:i/>
        </w:rPr>
        <w:t>"rather than serve a 404 for every address under a green health check"</w:t>
      </w:r>
      <w:r>
        <w:rPr/>
        <w:t xml:space="preserve"> — an operator worrying about other people's requests. And correctness finally got evaluated at population scale: the paging bug was measured across all 250 buildings, not spot-checked on one.</w:t>
      </w:r>
    </w:p>
    <w:p>
      <w:pPr>
        <w:pStyle w:val="Heading3"/>
        <w:bidi w:val="0"/>
        <w:jc w:val="start"/>
        <w:rPr/>
      </w:pPr>
      <w:r>
        <w:rPr/>
        <w:t>The constant, which is the part I did not expect</w:t>
      </w:r>
    </w:p>
    <w:p>
      <w:pPr>
        <w:pStyle w:val="BodyText"/>
        <w:bidi w:val="0"/>
        <w:jc w:val="start"/>
        <w:rPr/>
      </w:pPr>
      <w:r>
        <w:rPr/>
        <w:t xml:space="preserve">In all four projects the multi-user affordance is </w:t>
      </w:r>
      <w:r>
        <w:rPr>
          <w:b/>
        </w:rPr>
        <w:t>modeled, annotated, and left inert</w:t>
      </w:r>
      <w:r>
        <w:rPr/>
        <w:t xml:space="preserve"> — and I was right about it every time. Resona's licensing file says client-side gating is bypassable and that revenue needs a signed server entitlement, then defers it. SiteAssure carves </w:t>
      </w:r>
      <w:r>
        <w:rPr>
          <w:rStyle w:val="SourceText"/>
        </w:rPr>
        <w:t>status</w:t>
      </w:r>
      <w:r>
        <w:rPr/>
        <w:t xml:space="preserve"> and </w:t>
      </w:r>
      <w:r>
        <w:rPr>
          <w:rStyle w:val="SourceText"/>
        </w:rPr>
        <w:t>role</w:t>
      </w:r>
      <w:r>
        <w:rPr/>
        <w:t xml:space="preserve"> into the schema labeled "v2 hook" and nothing reads them. Ziqpu builds the </w:t>
      </w:r>
      <w:r>
        <w:rPr>
          <w:rStyle w:val="SourceText"/>
        </w:rPr>
        <w:t>user_chart_hash</w:t>
      </w:r>
      <w:r>
        <w:rPr/>
        <w:t xml:space="preserve"> key and never writes the table. HouseCheck's store says "no accounts — design decision #3."</w:t>
      </w:r>
    </w:p>
    <w:p>
      <w:pPr>
        <w:pStyle w:val="BodyText"/>
        <w:bidi w:val="0"/>
        <w:jc w:val="start"/>
        <w:rPr/>
      </w:pPr>
      <w:r>
        <w:rPr/>
        <w:t>Paired with zero telemetry in all four, the pattern is:</w:t>
      </w:r>
    </w:p>
    <w:p>
      <w:pPr>
        <w:pStyle w:val="BlockQuotation"/>
        <w:bidi w:val="0"/>
        <w:jc w:val="start"/>
        <w:rPr>
          <w:b/>
        </w:rPr>
      </w:pPr>
      <w:r>
        <w:rPr>
          <w:b/>
        </w:rPr>
        <w:t>The first non-author human I model is always an auditor, an attacker, or a cost risk. The customer only ever appears in a document.</w:t>
      </w:r>
    </w:p>
    <w:p>
      <w:pPr>
        <w:pStyle w:val="BodyText"/>
        <w:bidi w:val="0"/>
        <w:jc w:val="start"/>
        <w:rPr/>
      </w:pPr>
      <w:r>
        <w:rPr/>
        <w:t>The market research is consistently more populous than the code — Resona's Team tier, HouseCheck's 91,918-building ARR table.</w:t>
      </w:r>
    </w:p>
    <w:p>
      <w:pPr>
        <w:pStyle w:val="BodyText"/>
        <w:bidi w:val="0"/>
        <w:jc w:val="start"/>
        <w:rPr/>
      </w:pPr>
      <w:r>
        <w:rPr/>
        <w:t xml:space="preserve">Said plainly: four cycles, four correct diagnoses of the same missing piece, zero implementations. The capstone reached </w:t>
      </w:r>
      <w:r>
        <w:rPr>
          <w:i/>
        </w:rPr>
        <w:t>many concurrent anonymous clients</w:t>
      </w:r>
      <w:r>
        <w:rPr/>
        <w:t xml:space="preserve">, which is a real step and a well-engineered one. But a read-only database baked into an image cannot hold a user, and localStorage is not an account. </w:t>
      </w:r>
      <w:r>
        <w:rPr>
          <w:b/>
        </w:rPr>
        <w:t>I got to no-user-at-scale, not to multi-user.</w:t>
      </w:r>
    </w:p>
    <w:p>
      <w:pPr>
        <w:pStyle w:val="BodyText"/>
        <w:bidi w:val="0"/>
        <w:jc w:val="start"/>
        <w:rPr/>
      </w:pPr>
      <w:r>
        <w:rPr/>
        <w:t>That is the honest place I am starting from for this block.</w:t>
      </w:r>
    </w:p>
    <w:p>
      <w:pPr>
        <w:pStyle w:val="HorizontalLine"/>
        <w:bidi w:val="0"/>
        <w:jc w:val="start"/>
        <w:rPr/>
      </w:pPr>
      <w:r>
        <w:rPr/>
      </w:r>
    </w:p>
    <w:p>
      <w:pPr>
        <w:pStyle w:val="Heading2"/>
        <w:bidi w:val="0"/>
        <w:jc w:val="start"/>
        <w:rPr/>
      </w:pPr>
      <w:r>
        <w:rPr/>
        <w:t xml:space="preserve">Question 2 — </w:t>
      </w:r>
      <w:r>
        <w:rPr>
          <w:i/>
        </w:rPr>
        <w:t>(pending)</w:t>
      </w:r>
    </w:p>
    <w:p>
      <w:pPr>
        <w:pStyle w:val="Heading2"/>
        <w:bidi w:val="0"/>
        <w:jc w:val="start"/>
        <w:rPr/>
      </w:pPr>
      <w:r>
        <w:rPr/>
        <w:t xml:space="preserve">Question 3 — </w:t>
      </w:r>
      <w:r>
        <w:rPr>
          <w:i/>
        </w:rPr>
        <w:t>(pending)</w:t>
      </w:r>
    </w:p>
    <w:p>
      <w:pPr>
        <w:pStyle w:val="HorizontalLine"/>
        <w:bidi w:val="0"/>
        <w:jc w:val="start"/>
        <w:rPr/>
      </w:pPr>
      <w:r>
        <w:rPr/>
      </w:r>
    </w:p>
    <w:p>
      <w:pPr>
        <w:pStyle w:val="Heading2"/>
        <w:bidi w:val="0"/>
        <w:jc w:val="start"/>
        <w:rPr/>
      </w:pPr>
      <w:r>
        <w:rPr/>
        <w:t>Working material for the questions ahead</w:t>
      </w:r>
    </w:p>
    <w:p>
      <w:pPr>
        <w:pStyle w:val="BodyText"/>
        <w:bidi w:val="0"/>
        <w:jc w:val="start"/>
        <w:rPr/>
      </w:pPr>
      <w:r>
        <w:rPr/>
        <w:t>Collected while answering Q1, so it is here when the later questions need it.</w:t>
      </w:r>
    </w:p>
    <w:p>
      <w:pPr>
        <w:pStyle w:val="Heading3"/>
        <w:bidi w:val="0"/>
        <w:jc w:val="start"/>
        <w:rPr/>
      </w:pPr>
      <w:r>
        <w:rPr/>
        <w:t>Who else has this problem</w:t>
      </w:r>
    </w:p>
    <w:tbl>
      <w:tblPr>
        <w:tblW w:w="5000" w:type="pct"/>
        <w:jc w:val="start"/>
        <w:tblInd w:w="0" w:type="dxa"/>
        <w:tblLayout w:type="fixed"/>
        <w:tblCellMar>
          <w:top w:w="90" w:type="dxa"/>
          <w:start w:w="90" w:type="dxa"/>
          <w:bottom w:w="90" w:type="dxa"/>
          <w:end w:w="90" w:type="dxa"/>
        </w:tblCellMar>
      </w:tblPr>
      <w:tblGrid>
        <w:gridCol w:w="3469"/>
        <w:gridCol w:w="4088"/>
        <w:gridCol w:w="2189"/>
      </w:tblGrid>
      <w:tr>
        <w:trPr/>
        <w:tc>
          <w:tcPr>
            <w:tcW w:w="3469" w:type="dxa"/>
            <w:tcBorders/>
            <w:vAlign w:val="center"/>
          </w:tcPr>
          <w:p>
            <w:pPr>
              <w:pStyle w:val="TableHeading"/>
              <w:suppressLineNumbers/>
              <w:shd w:fill="3A3A3C" w:val="clear"/>
              <w:bidi w:val="0"/>
              <w:jc w:val="start"/>
              <w:rPr/>
            </w:pPr>
            <w:r>
              <w:rPr/>
              <w:t>Group</w:t>
            </w:r>
          </w:p>
        </w:tc>
        <w:tc>
          <w:tcPr>
            <w:tcW w:w="4088" w:type="dxa"/>
            <w:tcBorders/>
            <w:vAlign w:val="center"/>
          </w:tcPr>
          <w:p>
            <w:pPr>
              <w:pStyle w:val="TableHeading"/>
              <w:suppressLineNumbers/>
              <w:shd w:fill="3A3A3C" w:val="clear"/>
              <w:bidi w:val="0"/>
              <w:jc w:val="start"/>
              <w:rPr/>
            </w:pPr>
            <w:r>
              <w:rPr/>
              <w:t>Rough size</w:t>
            </w:r>
          </w:p>
        </w:tc>
        <w:tc>
          <w:tcPr>
            <w:tcW w:w="2189" w:type="dxa"/>
            <w:tcBorders/>
            <w:vAlign w:val="center"/>
          </w:tcPr>
          <w:p>
            <w:pPr>
              <w:pStyle w:val="TableHeading"/>
              <w:suppressLineNumbers/>
              <w:shd w:fill="3A3A3C" w:val="clear"/>
              <w:bidi w:val="0"/>
              <w:jc w:val="start"/>
              <w:rPr/>
            </w:pPr>
            <w:r>
              <w:rPr/>
              <w:t>Frequency of need</w:t>
            </w:r>
          </w:p>
        </w:tc>
      </w:tr>
      <w:tr>
        <w:trPr/>
        <w:tc>
          <w:tcPr>
            <w:tcW w:w="3469" w:type="dxa"/>
            <w:tcBorders/>
            <w:vAlign w:val="center"/>
          </w:tcPr>
          <w:p>
            <w:pPr>
              <w:pStyle w:val="TableContents"/>
              <w:widowControl w:val="false"/>
              <w:suppressLineNumbers/>
              <w:bidi w:val="0"/>
              <w:jc w:val="start"/>
              <w:rPr/>
            </w:pPr>
            <w:r>
              <w:rPr/>
              <w:t>NYC renters signing a lease</w:t>
            </w:r>
          </w:p>
        </w:tc>
        <w:tc>
          <w:tcPr>
            <w:tcW w:w="4088" w:type="dxa"/>
            <w:tcBorders/>
            <w:vAlign w:val="center"/>
          </w:tcPr>
          <w:p>
            <w:pPr>
              <w:pStyle w:val="TableContents"/>
              <w:widowControl w:val="false"/>
              <w:suppressLineNumbers/>
              <w:bidi w:val="0"/>
              <w:jc w:val="start"/>
              <w:rPr/>
            </w:pPr>
            <w:r>
              <w:rPr/>
              <w:t>~33,210 in market at once; 188K–283K/yr</w:t>
            </w:r>
          </w:p>
        </w:tc>
        <w:tc>
          <w:tcPr>
            <w:tcW w:w="2189" w:type="dxa"/>
            <w:tcBorders/>
            <w:vAlign w:val="center"/>
          </w:tcPr>
          <w:p>
            <w:pPr>
              <w:pStyle w:val="TableContents"/>
              <w:widowControl w:val="false"/>
              <w:suppressLineNumbers/>
              <w:bidi w:val="0"/>
              <w:jc w:val="start"/>
              <w:rPr/>
            </w:pPr>
            <w:r>
              <w:rPr/>
              <w:t>Once every few years</w:t>
            </w:r>
          </w:p>
        </w:tc>
      </w:tr>
      <w:tr>
        <w:trPr/>
        <w:tc>
          <w:tcPr>
            <w:tcW w:w="3469" w:type="dxa"/>
            <w:tcBorders/>
            <w:vAlign w:val="center"/>
          </w:tcPr>
          <w:p>
            <w:pPr>
              <w:pStyle w:val="TableContents"/>
              <w:widowControl w:val="false"/>
              <w:suppressLineNumbers/>
              <w:bidi w:val="0"/>
              <w:jc w:val="start"/>
              <w:rPr/>
            </w:pPr>
            <w:r>
              <w:rPr/>
              <w:t>Rent-stabilised / controlled tenants</w:t>
            </w:r>
          </w:p>
        </w:tc>
        <w:tc>
          <w:tcPr>
            <w:tcW w:w="4088" w:type="dxa"/>
            <w:tcBorders/>
            <w:vAlign w:val="center"/>
          </w:tcPr>
          <w:p>
            <w:pPr>
              <w:pStyle w:val="TableContents"/>
              <w:widowControl w:val="false"/>
              <w:suppressLineNumbers/>
              <w:bidi w:val="0"/>
              <w:jc w:val="start"/>
              <w:rPr/>
            </w:pPr>
            <w:r>
              <w:rPr/>
              <w:t>~1M units, ~2.5M tenants</w:t>
            </w:r>
          </w:p>
        </w:tc>
        <w:tc>
          <w:tcPr>
            <w:tcW w:w="2189" w:type="dxa"/>
            <w:tcBorders/>
            <w:vAlign w:val="center"/>
          </w:tcPr>
          <w:p>
            <w:pPr>
              <w:pStyle w:val="TableContents"/>
              <w:widowControl w:val="false"/>
              <w:suppressLineNumbers/>
              <w:bidi w:val="0"/>
              <w:jc w:val="start"/>
              <w:rPr/>
            </w:pPr>
            <w:r>
              <w:rPr/>
              <w:t>Ongoing, situational</w:t>
            </w:r>
          </w:p>
        </w:tc>
      </w:tr>
      <w:tr>
        <w:trPr/>
        <w:tc>
          <w:tcPr>
            <w:tcW w:w="3469" w:type="dxa"/>
            <w:tcBorders/>
            <w:vAlign w:val="center"/>
          </w:tcPr>
          <w:p>
            <w:pPr>
              <w:pStyle w:val="TableContents"/>
              <w:widowControl w:val="false"/>
              <w:suppressLineNumbers/>
              <w:bidi w:val="0"/>
              <w:jc w:val="start"/>
              <w:rPr/>
            </w:pPr>
            <w:r>
              <w:rPr/>
              <w:t>Tenant lawyers and Legal Aid staff</w:t>
            </w:r>
          </w:p>
        </w:tc>
        <w:tc>
          <w:tcPr>
            <w:tcW w:w="4088" w:type="dxa"/>
            <w:tcBorders/>
            <w:vAlign w:val="center"/>
          </w:tcPr>
          <w:p>
            <w:pPr>
              <w:pStyle w:val="TableContents"/>
              <w:widowControl w:val="false"/>
              <w:suppressLineNumbers/>
              <w:bidi w:val="0"/>
              <w:jc w:val="start"/>
              <w:rPr/>
            </w:pPr>
            <w:r>
              <w:rPr/>
              <w:t>Hundreds citywide</w:t>
            </w:r>
          </w:p>
        </w:tc>
        <w:tc>
          <w:tcPr>
            <w:tcW w:w="2189" w:type="dxa"/>
            <w:tcBorders/>
            <w:vAlign w:val="center"/>
          </w:tcPr>
          <w:p>
            <w:pPr>
              <w:pStyle w:val="TableContents"/>
              <w:bidi w:val="0"/>
              <w:jc w:val="start"/>
              <w:rPr>
                <w:b/>
              </w:rPr>
            </w:pPr>
            <w:r>
              <w:rPr>
                <w:b/>
              </w:rPr>
              <w:t>Daily, per client</w:t>
            </w:r>
          </w:p>
        </w:tc>
      </w:tr>
      <w:tr>
        <w:trPr/>
        <w:tc>
          <w:tcPr>
            <w:tcW w:w="3469" w:type="dxa"/>
            <w:tcBorders/>
            <w:vAlign w:val="center"/>
          </w:tcPr>
          <w:p>
            <w:pPr>
              <w:pStyle w:val="TableContents"/>
              <w:widowControl w:val="false"/>
              <w:suppressLineNumbers/>
              <w:bidi w:val="0"/>
              <w:jc w:val="start"/>
              <w:rPr/>
            </w:pPr>
            <w:r>
              <w:rPr/>
              <w:t>Tenant organisers</w:t>
            </w:r>
          </w:p>
        </w:tc>
        <w:tc>
          <w:tcPr>
            <w:tcW w:w="4088" w:type="dxa"/>
            <w:tcBorders/>
            <w:vAlign w:val="center"/>
          </w:tcPr>
          <w:p>
            <w:pPr>
              <w:pStyle w:val="TableContents"/>
              <w:widowControl w:val="false"/>
              <w:suppressLineNumbers/>
              <w:bidi w:val="0"/>
              <w:jc w:val="start"/>
              <w:rPr/>
            </w:pPr>
            <w:r>
              <w:rPr/>
              <w:t>Hundreds</w:t>
            </w:r>
          </w:p>
        </w:tc>
        <w:tc>
          <w:tcPr>
            <w:tcW w:w="2189" w:type="dxa"/>
            <w:tcBorders/>
            <w:vAlign w:val="center"/>
          </w:tcPr>
          <w:p>
            <w:pPr>
              <w:pStyle w:val="TableContents"/>
              <w:widowControl w:val="false"/>
              <w:suppressLineNumbers/>
              <w:bidi w:val="0"/>
              <w:jc w:val="start"/>
              <w:rPr/>
            </w:pPr>
            <w:r>
              <w:rPr/>
              <w:t>Weekly</w:t>
            </w:r>
          </w:p>
        </w:tc>
      </w:tr>
      <w:tr>
        <w:trPr/>
        <w:tc>
          <w:tcPr>
            <w:tcW w:w="3469" w:type="dxa"/>
            <w:tcBorders/>
            <w:vAlign w:val="center"/>
          </w:tcPr>
          <w:p>
            <w:pPr>
              <w:pStyle w:val="TableContents"/>
              <w:widowControl w:val="false"/>
              <w:suppressLineNumbers/>
              <w:bidi w:val="0"/>
              <w:jc w:val="start"/>
              <w:rPr/>
            </w:pPr>
            <w:r>
              <w:rPr/>
              <w:t>Housing Court staff</w:t>
            </w:r>
          </w:p>
        </w:tc>
        <w:tc>
          <w:tcPr>
            <w:tcW w:w="4088" w:type="dxa"/>
            <w:tcBorders/>
            <w:vAlign w:val="center"/>
          </w:tcPr>
          <w:p>
            <w:pPr>
              <w:pStyle w:val="TableContents"/>
              <w:widowControl w:val="false"/>
              <w:suppressLineNumbers/>
              <w:bidi w:val="0"/>
              <w:jc w:val="start"/>
              <w:rPr/>
            </w:pPr>
            <w:r>
              <w:rPr/>
              <w:t>Hundreds</w:t>
            </w:r>
          </w:p>
        </w:tc>
        <w:tc>
          <w:tcPr>
            <w:tcW w:w="2189" w:type="dxa"/>
            <w:tcBorders/>
            <w:vAlign w:val="center"/>
          </w:tcPr>
          <w:p>
            <w:pPr>
              <w:pStyle w:val="TableContents"/>
              <w:widowControl w:val="false"/>
              <w:suppressLineNumbers/>
              <w:bidi w:val="0"/>
              <w:jc w:val="start"/>
              <w:rPr/>
            </w:pPr>
            <w:r>
              <w:rPr/>
              <w:t>Per case</w:t>
            </w:r>
          </w:p>
        </w:tc>
      </w:tr>
      <w:tr>
        <w:trPr/>
        <w:tc>
          <w:tcPr>
            <w:tcW w:w="3469" w:type="dxa"/>
            <w:tcBorders/>
            <w:vAlign w:val="center"/>
          </w:tcPr>
          <w:p>
            <w:pPr>
              <w:pStyle w:val="TableContents"/>
              <w:widowControl w:val="false"/>
              <w:suppressLineNumbers/>
              <w:bidi w:val="0"/>
              <w:jc w:val="start"/>
              <w:rPr/>
            </w:pPr>
            <w:r>
              <w:rPr/>
              <w:t>HPD inspectors</w:t>
            </w:r>
          </w:p>
        </w:tc>
        <w:tc>
          <w:tcPr>
            <w:tcW w:w="4088" w:type="dxa"/>
            <w:tcBorders/>
            <w:vAlign w:val="center"/>
          </w:tcPr>
          <w:p>
            <w:pPr>
              <w:pStyle w:val="TableContents"/>
              <w:widowControl w:val="false"/>
              <w:suppressLineNumbers/>
              <w:bidi w:val="0"/>
              <w:jc w:val="start"/>
              <w:rPr/>
            </w:pPr>
            <w:r>
              <w:rPr/>
              <w:t>~400 (needs a source before use)</w:t>
            </w:r>
          </w:p>
        </w:tc>
        <w:tc>
          <w:tcPr>
            <w:tcW w:w="2189" w:type="dxa"/>
            <w:tcBorders/>
            <w:vAlign w:val="center"/>
          </w:tcPr>
          <w:p>
            <w:pPr>
              <w:pStyle w:val="TableContents"/>
              <w:widowControl w:val="false"/>
              <w:suppressLineNumbers/>
              <w:bidi w:val="0"/>
              <w:jc w:val="start"/>
              <w:rPr/>
            </w:pPr>
            <w:r>
              <w:rPr/>
              <w:t>Daily</w:t>
            </w:r>
          </w:p>
        </w:tc>
      </w:tr>
      <w:tr>
        <w:trPr/>
        <w:tc>
          <w:tcPr>
            <w:tcW w:w="3469" w:type="dxa"/>
            <w:tcBorders/>
            <w:vAlign w:val="center"/>
          </w:tcPr>
          <w:p>
            <w:pPr>
              <w:pStyle w:val="TableContents"/>
              <w:widowControl w:val="false"/>
              <w:suppressLineNumbers/>
              <w:bidi w:val="0"/>
              <w:jc w:val="start"/>
              <w:rPr/>
            </w:pPr>
            <w:r>
              <w:rPr/>
              <w:t>Journalists and researchers</w:t>
            </w:r>
          </w:p>
        </w:tc>
        <w:tc>
          <w:tcPr>
            <w:tcW w:w="4088" w:type="dxa"/>
            <w:tcBorders/>
            <w:vAlign w:val="center"/>
          </w:tcPr>
          <w:p>
            <w:pPr>
              <w:pStyle w:val="TableContents"/>
              <w:widowControl w:val="false"/>
              <w:suppressLineNumbers/>
              <w:bidi w:val="0"/>
              <w:jc w:val="start"/>
              <w:rPr/>
            </w:pPr>
            <w:r>
              <w:rPr/>
              <w:t>Dozens</w:t>
            </w:r>
          </w:p>
        </w:tc>
        <w:tc>
          <w:tcPr>
            <w:tcW w:w="2189" w:type="dxa"/>
            <w:tcBorders/>
            <w:vAlign w:val="center"/>
          </w:tcPr>
          <w:p>
            <w:pPr>
              <w:pStyle w:val="TableContents"/>
              <w:widowControl w:val="false"/>
              <w:suppressLineNumbers/>
              <w:bidi w:val="0"/>
              <w:jc w:val="start"/>
              <w:rPr/>
            </w:pPr>
            <w:r>
              <w:rPr/>
              <w:t>Per story</w:t>
            </w:r>
          </w:p>
        </w:tc>
      </w:tr>
    </w:tbl>
    <w:p>
      <w:pPr>
        <w:pStyle w:val="BodyText"/>
        <w:bidi w:val="0"/>
        <w:jc w:val="start"/>
        <w:rPr/>
      </w:pPr>
      <w:r>
        <w:rPr/>
        <w:t xml:space="preserve">The pattern already visible: </w:t>
      </w:r>
      <w:r>
        <w:rPr>
          <w:b/>
        </w:rPr>
        <w:t>the people who need it most often are not the people there are most of.</w:t>
      </w:r>
      <w:r>
        <w:rPr/>
        <w:t xml:space="preserve"> A renter needs this twice in a decade; a tenant lawyer needs it twice a day.</w:t>
      </w:r>
    </w:p>
    <w:p>
      <w:pPr>
        <w:pStyle w:val="Heading3"/>
        <w:bidi w:val="0"/>
        <w:jc w:val="start"/>
        <w:rPr/>
      </w:pPr>
      <w:r>
        <w:rPr/>
        <w:t>What they do instead today</w:t>
      </w:r>
    </w:p>
    <w:p>
      <w:pPr>
        <w:pStyle w:val="BodyText"/>
        <w:numPr>
          <w:ilvl w:val="0"/>
          <w:numId w:val="2"/>
        </w:numPr>
        <w:tabs>
          <w:tab w:val="clear" w:pos="709"/>
          <w:tab w:val="left" w:pos="709" w:leader="none"/>
        </w:tabs>
        <w:bidi w:val="0"/>
        <w:spacing w:before="0" w:after="0"/>
        <w:ind w:hanging="283" w:start="709"/>
        <w:jc w:val="start"/>
        <w:rPr/>
      </w:pPr>
      <w:r>
        <w:rPr>
          <w:b/>
        </w:rPr>
        <w:t>Renters:</w:t>
      </w:r>
      <w:r>
        <w:rPr/>
        <w:t xml:space="preserve"> cross-reference HPD Online, DHCR stabilisation lists and Census tables by hand — or, far more commonly, sign without checking. NYC Open Data holds </w:t>
      </w:r>
      <w:r>
        <w:rPr>
          <w:b/>
        </w:rPr>
        <w:t>11.1M</w:t>
      </w:r>
      <w:r>
        <w:rPr/>
        <w:t xml:space="preserve"> HPD violation records; they are public and effectively unreadable at the moment of decision.</w:t>
      </w:r>
    </w:p>
    <w:p>
      <w:pPr>
        <w:pStyle w:val="BodyText"/>
        <w:numPr>
          <w:ilvl w:val="0"/>
          <w:numId w:val="2"/>
        </w:numPr>
        <w:tabs>
          <w:tab w:val="clear" w:pos="709"/>
          <w:tab w:val="left" w:pos="709" w:leader="none"/>
        </w:tabs>
        <w:bidi w:val="0"/>
        <w:spacing w:before="0" w:after="0"/>
        <w:ind w:hanging="283" w:start="709"/>
        <w:jc w:val="start"/>
        <w:rPr/>
      </w:pPr>
      <w:r>
        <w:rPr>
          <w:b/>
        </w:rPr>
        <w:t>Tenant lawyers and organisers:</w:t>
      </w:r>
      <w:r>
        <w:rPr/>
        <w:t xml:space="preserve"> pull records case by case from the same portals, manually, every time.</w:t>
      </w:r>
    </w:p>
    <w:p>
      <w:pPr>
        <w:pStyle w:val="BodyText"/>
        <w:numPr>
          <w:ilvl w:val="0"/>
          <w:numId w:val="2"/>
        </w:numPr>
        <w:tabs>
          <w:tab w:val="clear" w:pos="709"/>
          <w:tab w:val="left" w:pos="709" w:leader="none"/>
        </w:tabs>
        <w:bidi w:val="0"/>
        <w:spacing w:before="0" w:after="0"/>
        <w:ind w:hanging="283" w:start="709"/>
        <w:jc w:val="start"/>
        <w:rPr/>
      </w:pPr>
      <w:r>
        <w:rPr>
          <w:b/>
        </w:rPr>
        <w:t>Landlords and managers:</w:t>
      </w:r>
      <w:r>
        <w:rPr/>
        <w:t xml:space="preserve"> commercial portfolio tools (Yardi, RealPage) that surface their own buildings, not a comparative read.</w:t>
      </w:r>
    </w:p>
    <w:p>
      <w:pPr>
        <w:pStyle w:val="BodyText"/>
        <w:numPr>
          <w:ilvl w:val="0"/>
          <w:numId w:val="2"/>
        </w:numPr>
        <w:tabs>
          <w:tab w:val="clear" w:pos="709"/>
          <w:tab w:val="left" w:pos="709" w:leader="none"/>
        </w:tabs>
        <w:bidi w:val="0"/>
        <w:ind w:hanging="283" w:start="709"/>
        <w:jc w:val="start"/>
        <w:rPr/>
      </w:pPr>
      <w:r>
        <w:rPr>
          <w:b/>
        </w:rPr>
        <w:t>Everyone else:</w:t>
      </w:r>
      <w:r>
        <w:rPr/>
        <w:t xml:space="preserve"> word of mouth, a walk-through, and the broker's description.</w:t>
      </w:r>
    </w:p>
    <w:p>
      <w:pPr>
        <w:pStyle w:val="Heading3"/>
        <w:bidi w:val="0"/>
        <w:jc w:val="start"/>
        <w:rPr/>
      </w:pPr>
      <w:r>
        <w:rPr/>
        <w:t>Numbers already verified elsewhere in these notes</w:t>
      </w:r>
    </w:p>
    <w:p>
      <w:pPr>
        <w:pStyle w:val="BodyText"/>
        <w:numPr>
          <w:ilvl w:val="0"/>
          <w:numId w:val="3"/>
        </w:numPr>
        <w:tabs>
          <w:tab w:val="clear" w:pos="709"/>
          <w:tab w:val="left" w:pos="709" w:leader="none"/>
        </w:tabs>
        <w:bidi w:val="0"/>
        <w:spacing w:before="0" w:after="0"/>
        <w:ind w:hanging="283" w:start="709"/>
        <w:jc w:val="start"/>
        <w:rPr/>
      </w:pPr>
      <w:r>
        <w:rPr/>
        <w:t xml:space="preserve">91,918 multifamily buildings in NYC — REBNY, </w:t>
      </w:r>
      <w:r>
        <w:rPr>
          <w:i/>
        </w:rPr>
        <w:t>Data Over Rhetoric</w:t>
      </w:r>
      <w:r>
        <w:rPr/>
        <w:t>, Feb 2026</w:t>
      </w:r>
    </w:p>
    <w:p>
      <w:pPr>
        <w:pStyle w:val="BodyText"/>
        <w:numPr>
          <w:ilvl w:val="0"/>
          <w:numId w:val="3"/>
        </w:numPr>
        <w:tabs>
          <w:tab w:val="clear" w:pos="709"/>
          <w:tab w:val="left" w:pos="709" w:leader="none"/>
        </w:tabs>
        <w:bidi w:val="0"/>
        <w:spacing w:before="0" w:after="0"/>
        <w:ind w:hanging="283" w:start="709"/>
        <w:jc w:val="start"/>
        <w:rPr/>
      </w:pPr>
      <w:r>
        <w:rPr/>
        <w:t>2,357,000 total housing units — 2023 NYCHVS</w:t>
      </w:r>
    </w:p>
    <w:p>
      <w:pPr>
        <w:pStyle w:val="BodyText"/>
        <w:numPr>
          <w:ilvl w:val="0"/>
          <w:numId w:val="3"/>
        </w:numPr>
        <w:tabs>
          <w:tab w:val="clear" w:pos="709"/>
          <w:tab w:val="left" w:pos="709" w:leader="none"/>
        </w:tabs>
        <w:bidi w:val="0"/>
        <w:spacing w:before="0" w:after="0"/>
        <w:ind w:hanging="283" w:start="709"/>
        <w:jc w:val="start"/>
        <w:rPr/>
      </w:pPr>
      <w:r>
        <w:rPr/>
        <w:t>1.41% rental vacancy, 33,210 units available — NYC HPD, 2023</w:t>
      </w:r>
    </w:p>
    <w:p>
      <w:pPr>
        <w:pStyle w:val="BodyText"/>
        <w:numPr>
          <w:ilvl w:val="0"/>
          <w:numId w:val="3"/>
        </w:numPr>
        <w:tabs>
          <w:tab w:val="clear" w:pos="709"/>
          <w:tab w:val="left" w:pos="709" w:leader="none"/>
        </w:tabs>
        <w:bidi w:val="0"/>
        <w:spacing w:before="0" w:after="0"/>
        <w:ind w:hanging="283" w:start="709"/>
        <w:jc w:val="start"/>
        <w:rPr/>
      </w:pPr>
      <w:r>
        <w:rPr/>
        <w:t>11.1M HPD violation records — NYC Open Data</w:t>
      </w:r>
    </w:p>
    <w:p>
      <w:pPr>
        <w:pStyle w:val="BodyText"/>
        <w:numPr>
          <w:ilvl w:val="0"/>
          <w:numId w:val="3"/>
        </w:numPr>
        <w:tabs>
          <w:tab w:val="clear" w:pos="709"/>
          <w:tab w:val="left" w:pos="709" w:leader="none"/>
        </w:tabs>
        <w:bidi w:val="0"/>
        <w:spacing w:before="0" w:after="140"/>
        <w:ind w:hanging="283" w:start="709"/>
        <w:jc w:val="start"/>
        <w:rPr/>
      </w:pPr>
      <w:r>
        <w:rPr/>
        <w:t>Our own coverage: 250 buildings, 26,306 violations, in one community district</w:t>
      </w:r>
    </w:p>
    <w:sectPr>
      <w:type w:val="nextPage"/>
      <w:pgSz w:w="12240" w:h="15840"/>
      <w:pgMar w:left="1247" w:right="1247" w:gutter="0" w:header="0" w:top="1134" w:footer="0" w:bottom="124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auto"/>
    <w:pitch w:val="default"/>
  </w:font>
  <w:font w:name="Segoe UI">
    <w:charset w:val="01" w:characterSet="utf-8"/>
    <w:family w:val="auto"/>
    <w:pitch w:val="default"/>
  </w:font>
  <w:font w:name="Consolas">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6"/>
    </w:pPr>
    <w:rPr>
      <w:rFonts w:ascii="Georgia" w:hAnsi="Georgia" w:eastAsia="Georgia" w:cs="Georgia"/>
      <w:color w:val="1C1C1E"/>
      <w:sz w:val="21"/>
      <w:szCs w:val="21"/>
      <w:lang w:val="en-US" w:eastAsia="zh-CN" w:bidi="hi-IN"/>
    </w:rPr>
  </w:style>
  <w:style w:type="paragraph" w:styleId="Heading1">
    <w:name w:val="heading 1"/>
    <w:basedOn w:val="Heading"/>
    <w:next w:val="BodyText"/>
    <w:qFormat/>
    <w:pPr>
      <w:keepNext w:val="true"/>
      <w:pageBreakBefore/>
      <w:spacing w:before="240" w:after="80"/>
      <w:outlineLvl w:val="0"/>
    </w:pPr>
    <w:rPr>
      <w:rFonts w:ascii="Segoe UI" w:hAnsi="Segoe UI" w:eastAsia="Segoe UI" w:cs="Segoe UI"/>
      <w:b/>
      <w:bCs/>
      <w:color w:val="1C1C1E"/>
      <w:sz w:val="40"/>
      <w:szCs w:val="40"/>
    </w:rPr>
  </w:style>
  <w:style w:type="paragraph" w:styleId="Heading2">
    <w:name w:val="heading 2"/>
    <w:basedOn w:val="Heading"/>
    <w:next w:val="BodyText"/>
    <w:qFormat/>
    <w:pPr>
      <w:keepNext w:val="true"/>
      <w:spacing w:before="320" w:after="80"/>
      <w:ind w:start="320" w:end="320"/>
      <w:outlineLvl w:val="1"/>
    </w:pPr>
    <w:rPr>
      <w:rFonts w:ascii="Segoe UI" w:hAnsi="Segoe UI" w:eastAsia="Segoe UI" w:cs="Segoe UI"/>
      <w:b/>
      <w:bCs/>
      <w:color w:val="3A3A3C"/>
      <w:sz w:val="27"/>
      <w:szCs w:val="27"/>
    </w:rPr>
  </w:style>
  <w:style w:type="paragraph" w:styleId="Heading3">
    <w:name w:val="heading 3"/>
    <w:basedOn w:val="Heading"/>
    <w:next w:val="BodyText"/>
    <w:qFormat/>
    <w:pPr>
      <w:keepNext w:val="true"/>
      <w:spacing w:before="240" w:after="60"/>
      <w:ind w:start="240" w:end="240"/>
      <w:outlineLvl w:val="2"/>
    </w:pPr>
    <w:rPr>
      <w:rFonts w:ascii="Segoe UI" w:hAnsi="Segoe UI" w:eastAsia="Segoe UI" w:cs="Segoe UI"/>
      <w:b/>
      <w:bCs/>
      <w:color w:val="3A3A3C"/>
      <w:sz w:val="23"/>
      <w:szCs w:val="23"/>
    </w:rPr>
  </w:style>
  <w:style w:type="character" w:styleId="SourceText">
    <w:name w:val="Source Text"/>
    <w:qFormat/>
    <w:rPr>
      <w:rFonts w:ascii="Consolas" w:hAnsi="Consolas" w:eastAsia="Consolas" w:cs="Consolas"/>
      <w:sz w:val="18"/>
      <w:szCs w:val="18"/>
    </w:rPr>
  </w:style>
  <w:style w:type="character" w:styleId="Bullets">
    <w:name w:val="Bullets"/>
    <w:qFormat/>
    <w:rPr>
      <w:rFonts w:ascii="OpenSymbol" w:hAnsi="OpenSymbol" w:eastAsia="OpenSymbol" w:cs="OpenSymbol"/>
    </w:rPr>
  </w:style>
  <w:style w:type="character" w:styleId="Hyperlink">
    <w:name w:val="Hyperlink"/>
    <w:rPr>
      <w:color w:val="2A8440"/>
      <w:u w:val="single"/>
    </w:rPr>
  </w:style>
  <w:style w:type="character" w:styleId="FollowedHyperlink">
    <w:name w:val="FollowedHyperlink"/>
    <w:rPr>
      <w:color w:val="2A844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ing1first">
    <w:name w:val="Heading 1.first"/>
    <w:basedOn w:val="Heading1"/>
    <w:qFormat/>
    <w:pPr>
      <w:ind w:hanging="0" w:start="0"/>
      <w:outlineLvl w:val="9"/>
    </w:pPr>
    <w:rPr/>
  </w:style>
  <w:style w:type="paragraph" w:styleId="PreformattedText">
    <w:name w:val="Preformatted Text"/>
    <w:basedOn w:val="Normal"/>
    <w:qFormat/>
    <w:pPr>
      <w:pBdr>
        <w:left w:val="single" w:sz="24" w:space="9" w:color="2A8440"/>
      </w:pBdr>
      <w:shd w:fill="F0F0F2" w:val="clear"/>
      <w:spacing w:lineRule="auto" w:line="324" w:before="160" w:after="160"/>
      <w:ind w:start="160" w:end="160"/>
    </w:pPr>
    <w:rPr>
      <w:rFonts w:ascii="Consolas" w:hAnsi="Consolas" w:eastAsia="Consolas" w:cs="Consolas"/>
      <w:color w:val="1C1C1E"/>
      <w:sz w:val="17"/>
      <w:szCs w:val="17"/>
    </w:rPr>
  </w:style>
  <w:style w:type="paragraph" w:styleId="BlockQuotation">
    <w:name w:val="Block Quotation"/>
    <w:basedOn w:val="Normal"/>
    <w:qFormat/>
    <w:pPr>
      <w:pBdr>
        <w:left w:val="single" w:sz="24" w:space="12" w:color="2A8440"/>
      </w:pBdr>
      <w:shd w:fill="D7D7D9" w:val="clear"/>
      <w:spacing w:before="160" w:after="160"/>
      <w:ind w:hanging="0" w:start="160" w:end="160"/>
    </w:pPr>
    <w:rPr>
      <w:i w:val="false"/>
      <w:iCs w:val="false"/>
      <w:caps w:val="false"/>
      <w:smallCaps w:val="false"/>
    </w:rPr>
  </w:style>
  <w:style w:type="paragraph" w:styleId="BodyTexteyebrow">
    <w:name w:val="Body Text.eyebrow"/>
    <w:basedOn w:val="BodyText"/>
    <w:qFormat/>
    <w:pPr>
      <w:spacing w:before="0" w:after="120"/>
    </w:pPr>
    <w:rPr>
      <w:rFonts w:ascii="Segoe UI" w:hAnsi="Segoe UI" w:eastAsia="Segoe UI" w:cs="Segoe UI"/>
      <w:color w:val="6A6A72"/>
      <w:spacing w:val="28"/>
      <w:sz w:val="16"/>
      <w:szCs w:val="16"/>
    </w:rPr>
  </w:style>
  <w:style w:type="paragraph" w:styleId="BodyTextcover-h">
    <w:name w:val="Body Text.cover-h"/>
    <w:basedOn w:val="BodyText"/>
    <w:qFormat/>
    <w:pPr>
      <w:spacing w:before="0" w:after="160"/>
    </w:pPr>
    <w:rPr>
      <w:rFonts w:ascii="Segoe UI" w:hAnsi="Segoe UI" w:eastAsia="Segoe UI" w:cs="Segoe UI"/>
      <w:color w:val="1C1C1E"/>
      <w:sz w:val="60"/>
      <w:szCs w:val="60"/>
    </w:rPr>
  </w:style>
  <w:style w:type="paragraph" w:styleId="BodyTextlede">
    <w:name w:val="Body Text.lede"/>
    <w:basedOn w:val="BodyText"/>
    <w:qFormat/>
    <w:pPr>
      <w:spacing w:before="0" w:after="280"/>
    </w:pPr>
    <w:rPr>
      <w:color w:val="3A3A3C"/>
      <w:sz w:val="24"/>
      <w:szCs w:val="24"/>
    </w:rPr>
  </w:style>
  <w:style w:type="paragraph" w:styleId="BodyTextmeta">
    <w:name w:val="Body Text.meta"/>
    <w:basedOn w:val="BodyText"/>
    <w:qFormat/>
    <w:pPr>
      <w:spacing w:before="0" w:after="60"/>
    </w:pPr>
    <w:rPr>
      <w:rFonts w:ascii="Segoe UI" w:hAnsi="Segoe UI" w:eastAsia="Segoe UI" w:cs="Segoe UI"/>
      <w:color w:val="6A6A72"/>
      <w:sz w:val="17"/>
      <w:szCs w:val="17"/>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3A3A3C" w:val="clear"/>
      <w:jc w:val="start"/>
    </w:pPr>
    <w:rPr>
      <w:b/>
      <w:bCs/>
      <w:color w:val="F5F5F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Past One User — HouseCheck market framing notes</dc:title>
</cp:coreProperties>
</file>

<file path=docProps/custom.xml><?xml version="1.0" encoding="utf-8"?>
<Properties xmlns="http://schemas.openxmlformats.org/officeDocument/2006/custom-properties" xmlns:vt="http://schemas.openxmlformats.org/officeDocument/2006/docPropsVTypes"/>
</file>