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eyebrow"/>
        <w:bidi w:val="0"/>
        <w:jc w:val="start"/>
        <w:rPr/>
      </w:pPr>
      <w:r>
        <w:rPr/>
        <w:t>L2 CYCLES 1–4 · A LOOK BACK AT THE CODE</w:t>
      </w:r>
    </w:p>
    <w:p>
      <w:pPr>
        <w:pStyle w:val="BodyTextcover-h"/>
        <w:bidi w:val="0"/>
        <w:jc w:val="start"/>
        <w:rPr/>
      </w:pPr>
      <w:r>
        <w:rPr/>
        <w:t>Four Cycles,</w:t>
        <w:br/>
        <w:t>One Missing Piece</w:t>
      </w:r>
    </w:p>
    <w:p>
      <w:pPr>
        <w:pStyle w:val="BodyTextlede"/>
        <w:bidi w:val="0"/>
        <w:jc w:val="start"/>
        <w:rPr/>
      </w:pPr>
      <w:r>
        <w:rPr/>
        <w:t>Resona, SiteAssure, Ziqpu, HouseCheck — read as one arc, from the source rather than from memory.</w:t>
      </w:r>
    </w:p>
    <w:p>
      <w:pPr>
        <w:pStyle w:val="BodyTextmeta"/>
        <w:bidi w:val="0"/>
        <w:jc w:val="start"/>
        <w:rPr/>
      </w:pPr>
      <w:r>
        <w:rPr/>
        <w:t>Aisling · 9 August 2026</w:t>
      </w:r>
    </w:p>
    <w:p>
      <w:pPr>
        <w:pStyle w:val="BlockQuotation"/>
        <w:bidi w:val="0"/>
        <w:jc w:val="start"/>
        <w:rPr>
          <w:b/>
        </w:rPr>
      </w:pPr>
      <w:r>
        <w:rPr>
          <w:b/>
        </w:rPr>
        <w:t>HOW THIS WAS PRODUCED</w:t>
      </w:r>
    </w:p>
    <w:p>
      <w:pPr>
        <w:pStyle w:val="BlockQuotation"/>
        <w:bidi w:val="0"/>
        <w:jc w:val="start"/>
        <w:rPr/>
      </w:pPr>
      <w:r>
        <w:rPr/>
        <w:t>Each of the four codebases was profiled independently against the same questions: who is this built for, and what in the code proves it. The arc was traced afterwards. Every claim is grounded in a file, a line, or a measured count, and where the evidence did not support a tidy story it says so — the reversal in Cycle 2 is real and is not smoothed over.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Across four projects and roughly 24,000 lines of first-party code, this developer never once built an authentication system, a user record, or any server-side state belonging to a specific person. Not in Resona, not in SiteAssure, not in Ziqpu, not in HouseCheck. Every profile's grep for </w:t>
      </w:r>
      <w:r>
        <w:rPr>
          <w:rStyle w:val="SourceText"/>
        </w:rPr>
        <w:t>login|jwt|session|user_id|tenant</w:t>
      </w:r>
      <w:r>
        <w:rPr/>
        <w:t xml:space="preserve"> comes back empty of implementation hits. What changed across the four cycles is not </w:t>
      </w:r>
      <w:r>
        <w:rPr>
          <w:i/>
        </w:rPr>
        <w:t>how many users</w:t>
      </w:r>
      <w:r>
        <w:rPr/>
        <w:t xml:space="preserve"> the code serves — it is </w:t>
      </w:r>
      <w:r>
        <w:rPr>
          <w:i/>
        </w:rPr>
        <w:t>which non-author human she was designing against</w:t>
      </w:r>
      <w:r>
        <w:rPr/>
        <w:t>, and that shifted axis by axis, with a real reversal in the middle.</w:t>
      </w:r>
    </w:p>
    <w:p>
      <w:pPr>
        <w:pStyle w:val="Heading2"/>
        <w:bidi w:val="0"/>
        <w:jc w:val="start"/>
        <w:rPr/>
      </w:pPr>
      <w:r>
        <w:rPr/>
        <w:t>The trajectory, including the reversal</w:t>
      </w:r>
    </w:p>
    <w:p>
      <w:pPr>
        <w:pStyle w:val="BodyText"/>
        <w:bidi w:val="0"/>
        <w:jc w:val="start"/>
        <w:rPr/>
      </w:pPr>
      <w:r>
        <w:rPr>
          <w:b/>
        </w:rPr>
        <w:t>Resona (C1) had the most ambitious multi-user intent and the least multi-user code.</w:t>
      </w:r>
      <w:r>
        <w:rPr/>
        <w:t xml:space="preserve"> A </w:t>
      </w:r>
      <w:r>
        <w:rPr>
          <w:rStyle w:val="SourceText"/>
        </w:rPr>
        <w:t>Tier</w:t>
      </w:r>
      <w:r>
        <w:rPr/>
        <w:t xml:space="preserve"> enum, an </w:t>
      </w:r>
      <w:r>
        <w:rPr>
          <w:rStyle w:val="SourceText"/>
        </w:rPr>
        <w:t>Entitlements</w:t>
      </w:r>
      <w:r>
        <w:rPr/>
        <w:t xml:space="preserve"> struct enforced at every command entry point, a shipped paywall modal with a 7-row feature matrix, a PRD specifying a genuinely multi-tenant Team plan at $25/user/mo with shared workspaces and admin controls, and success criteria stated as DAU, free→paid conversion, and NPS &gt; 50. Underneath: </w:t>
      </w:r>
      <w:r>
        <w:rPr>
          <w:rStyle w:val="SourceText"/>
        </w:rPr>
        <w:t>AppState { engine: Mutex&lt;Option&lt;Arc&lt;WhisperEngine&gt;&gt;&gt;, stream: ..., tier: ... }</w:t>
      </w:r>
      <w:r>
        <w:rPr/>
        <w:t xml:space="preserve">, one process, one person; </w:t>
      </w:r>
      <w:r>
        <w:rPr>
          <w:rStyle w:val="SourceText"/>
        </w:rPr>
        <w:t>start_dictation</w:t>
      </w:r>
      <w:r>
        <w:rPr/>
        <w:t xml:space="preserve"> explicitly tears down any prior session so concurrency is impossible by construction; </w:t>
      </w:r>
      <w:r>
        <w:rPr>
          <w:rStyle w:val="SourceText"/>
        </w:rPr>
        <w:t>validate_license</w:t>
      </w:r>
      <w:r>
        <w:rPr/>
        <w:t xml:space="preserve"> is </w:t>
      </w:r>
      <w:r>
        <w:rPr>
          <w:rStyle w:val="SourceText"/>
        </w:rPr>
        <w:t>key.starts_with("PRO-")</w:t>
      </w:r>
      <w:r>
        <w:rPr/>
        <w:t>, marked DEMO ONLY; zero network calls anywhere.</w:t>
      </w:r>
    </w:p>
    <w:p>
      <w:pPr>
        <w:pStyle w:val="BodyText"/>
        <w:bidi w:val="0"/>
        <w:jc w:val="start"/>
        <w:rPr/>
      </w:pPr>
      <w:r>
        <w:rPr>
          <w:b/>
        </w:rPr>
        <w:t>SiteAssure (C2) is the reversal.</w:t>
      </w:r>
      <w:r>
        <w:rPr/>
        <w:t xml:space="preserve"> Multi-user intent goes </w:t>
      </w:r>
      <w:r>
        <w:rPr>
          <w:i/>
        </w:rPr>
        <w:t>down</w:t>
      </w:r>
      <w:r>
        <w:rPr/>
        <w:t xml:space="preserve">, not up. "Single device, single user, offline" appears verbatim in the README, the kickoff brief, and the build plan; </w:t>
      </w:r>
      <w:r>
        <w:rPr>
          <w:rStyle w:val="SourceText"/>
        </w:rPr>
        <w:t>schema.sql:11</w:t>
      </w:r>
      <w:r>
        <w:rPr/>
        <w:t xml:space="preserve"> comments the author column </w:t>
      </w:r>
      <w:r>
        <w:rPr>
          <w:rStyle w:val="SourceText"/>
        </w:rPr>
        <w:t>-- author id (single user in v1)</w:t>
      </w:r>
      <w:r>
        <w:rPr/>
        <w:t xml:space="preserve">; the kickoff reasons it out: "A conflict cannot even arise on one device." The Team tier, the conversion metrics, the paywall — all gone. But C2 introduces a genuinely new non-author human: the </w:t>
      </w:r>
      <w:r>
        <w:rPr>
          <w:b/>
        </w:rPr>
        <w:t>verifier</w:t>
      </w:r>
      <w:r>
        <w:rPr/>
        <w:t>. The SHA-256 hash chain (</w:t>
      </w:r>
      <w:r>
        <w:rPr>
          <w:rStyle w:val="SourceText"/>
        </w:rPr>
        <w:t>entry_hash = sha256(prev_hash + payload_hash)</w:t>
      </w:r>
      <w:r>
        <w:rPr/>
        <w:t xml:space="preserve">, append-only, re-walked by </w:t>
      </w:r>
      <w:r>
        <w:rPr>
          <w:rStyle w:val="SourceText"/>
        </w:rPr>
        <w:t>verify()</w:t>
      </w:r>
      <w:r>
        <w:rPr/>
        <w:t xml:space="preserve">) exists so an OSHA inspector or insurer can </w:t>
      </w:r>
      <w:r>
        <w:rPr>
          <w:i/>
        </w:rPr>
        <w:t>disbelieve the author and check</w:t>
      </w:r>
      <w:r>
        <w:rPr/>
        <w:t xml:space="preserve">, and DATA_POLICY.md designs a redacted export packet for exactly that reader. That is a real audience expansion along a different axis. It is also mostly unbuilt — 551 lines of first-party Rust, four of eight commands returning </w:t>
      </w:r>
      <w:r>
        <w:rPr>
          <w:rStyle w:val="SourceText"/>
        </w:rPr>
        <w:t>Err("not implemented")</w:t>
      </w:r>
      <w:r>
        <w:rPr/>
        <w:t xml:space="preserve">, all six React screens returning </w:t>
      </w:r>
      <w:r>
        <w:rPr>
          <w:rStyle w:val="SourceText"/>
        </w:rPr>
        <w:t>null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Ziqpu (C3) expands to installs and contributors, not users.</w:t>
      </w:r>
      <w:r>
        <w:rPr/>
        <w:t xml:space="preserve"> Twelve release tags, a 3-OS CI matrix, a CLA with a perpetual relicensing grant, DCO enforcement, CODEOWNERS, an MCP server so third-party hosts can drive the loop, and a </w:t>
      </w:r>
      <w:r>
        <w:rPr>
          <w:rStyle w:val="SourceText"/>
        </w:rPr>
        <w:t>datasets/</w:t>
      </w:r>
      <w:r>
        <w:rPr/>
        <w:t xml:space="preserve"> scaffold with templates that two teammates actually used to land aviation and insurance sets. The item axis genuinely scales: Postgres 16 with a pooled 5 connections, 5,271 tickers, a 69,458-city gazetteer. The user axis does not: no auth, no rate limits, no pagination, one </w:t>
      </w:r>
      <w:r>
        <w:rPr>
          <w:rStyle w:val="SourceText"/>
        </w:rPr>
        <w:t>ANTHROPIC_API_KEY</w:t>
      </w:r>
      <w:r>
        <w:rPr/>
        <w:t xml:space="preserve"> per process, hardcoded localhost, and a literal </w:t>
      </w:r>
      <w:r>
        <w:rPr>
          <w:rStyle w:val="SourceText"/>
        </w:rPr>
        <w:t>demo_seeker()</w:t>
      </w:r>
      <w:r>
        <w:rPr/>
        <w:t xml:space="preserve"> with one birth moment in code. The tell is </w:t>
      </w:r>
      <w:r>
        <w:rPr>
          <w:rStyle w:val="SourceText"/>
        </w:rPr>
        <w:t>synastry_readings</w:t>
      </w:r>
      <w:r>
        <w:rPr/>
        <w:t xml:space="preserve">, keyed </w:t>
      </w:r>
      <w:r>
        <w:rPr>
          <w:rStyle w:val="SourceText"/>
        </w:rPr>
        <w:t>PRIMARY KEY (user_chart_hash, choice_ticker)</w:t>
      </w:r>
      <w:r>
        <w:rPr/>
        <w:t xml:space="preserve"> — the only genuine multi-user data structure in three cycles — and </w:t>
      </w:r>
      <w:r>
        <w:rPr>
          <w:b/>
        </w:rPr>
        <w:t>no code ever writes to it</w:t>
      </w:r>
      <w:r>
        <w:rPr/>
        <w:t xml:space="preserve">, because the sidecar is architecturally read-only. It binds </w:t>
      </w:r>
      <w:r>
        <w:rPr>
          <w:rStyle w:val="SourceText"/>
        </w:rPr>
        <w:t>0.0.0.0:8787</w:t>
      </w:r>
      <w:r>
        <w:rPr/>
        <w:t xml:space="preserve"> with nothing in front of it.</w:t>
      </w:r>
    </w:p>
    <w:p>
      <w:pPr>
        <w:pStyle w:val="BodyText"/>
        <w:bidi w:val="0"/>
        <w:jc w:val="start"/>
        <w:rPr/>
      </w:pPr>
      <w:r>
        <w:rPr>
          <w:b/>
        </w:rPr>
        <w:t>HouseCheck (C4) is the first project whose request path was written against strangers.</w:t>
      </w:r>
      <w:r>
        <w:rPr/>
        <w:t xml:space="preserve"> The proof is specific and it is in the comments. The hand-rolled </w:t>
      </w:r>
      <w:r>
        <w:rPr>
          <w:rStyle w:val="SourceText"/>
        </w:rPr>
        <w:t>RateLimiter</w:t>
      </w:r>
      <w:r>
        <w:rPr/>
        <w:t xml:space="preserve"> (10 req/60s, keyed off </w:t>
      </w:r>
      <w:r>
        <w:rPr>
          <w:rStyle w:val="SourceText"/>
        </w:rPr>
        <w:t>Fly-Client-IP</w:t>
      </w:r>
      <w:r>
        <w:rPr/>
        <w:t xml:space="preserve">) carries the reasoning: "/agent/chat is the first endpoint here that costs real money per request, so an unlimited public endpoint is a way for a stranger to run up the bill" — note </w:t>
      </w:r>
      <w:r>
        <w:rPr>
          <w:i/>
        </w:rPr>
        <w:t>the first endpoint here</w:t>
      </w:r>
      <w:r>
        <w:rPr/>
        <w:t xml:space="preserve">, she knows it is a first. </w:t>
      </w:r>
      <w:r>
        <w:rPr>
          <w:rStyle w:val="SourceText"/>
        </w:rPr>
        <w:t>ConcurrencyLimitLayer::new(64)</w:t>
      </w:r>
      <w:r>
        <w:rPr/>
        <w:t xml:space="preserve"> answers a question that does not arise for one user, and the comment records that </w:t>
      </w:r>
      <w:r>
        <w:rPr>
          <w:rStyle w:val="SourceText"/>
        </w:rPr>
        <w:t>tower_governor</w:t>
      </w:r>
      <w:r>
        <w:rPr/>
        <w:t xml:space="preserve"> was evaluated and rejected for a stated reason. </w:t>
      </w:r>
      <w:r>
        <w:rPr>
          <w:rStyle w:val="SourceText"/>
        </w:rPr>
        <w:t>client_key</w:t>
      </w:r>
      <w:r>
        <w:rPr/>
        <w:t xml:space="preserve"> admits its own limits: "this is a spend guard, not an authentication boundary." The startup guard refuses to boot on an empty artifact "rather than serve a 404 for every address under a green health check" — an operator's worry about other people's requests. And correctness was finally evaluated at population scale: the Socrata paging bug was fixed and measured across all 250 buildings (mean score 69.5 → 63.0, 72 changed band), not spot-checked on one.</w:t>
      </w:r>
    </w:p>
    <w:p>
      <w:pPr>
        <w:pStyle w:val="Heading2"/>
        <w:bidi w:val="0"/>
        <w:jc w:val="start"/>
        <w:rPr/>
      </w:pPr>
      <w:r>
        <w:rPr/>
        <w:t>What was inherited</w:t>
      </w:r>
    </w:p>
    <w:p>
      <w:pPr>
        <w:pStyle w:val="BodyText"/>
        <w:bidi w:val="0"/>
        <w:jc w:val="start"/>
        <w:rPr/>
      </w:pPr>
      <w:r>
        <w:rPr/>
        <w:t xml:space="preserve">Resona → SiteAssure is code inheritance done badly: </w:t>
      </w:r>
      <w:r>
        <w:rPr>
          <w:rStyle w:val="SourceText"/>
        </w:rPr>
        <w:t>wisper-core</w:t>
      </w:r>
      <w:r>
        <w:rPr/>
        <w:t xml:space="preserve"> is vendored wholesale at 5,184 of 5,735 Rust lines (90%) carrying 53 of 53 tests, and the kickoff's own pruning list was ignored — </w:t>
      </w:r>
      <w:r>
        <w:rPr>
          <w:rStyle w:val="SourceText"/>
        </w:rPr>
        <w:t>fetch/</w:t>
      </w:r>
      <w:r>
        <w:rPr/>
        <w:t xml:space="preserve"> with </w:t>
      </w:r>
      <w:r>
        <w:rPr>
          <w:rStyle w:val="SourceText"/>
        </w:rPr>
        <w:t>download_url</w:t>
      </w:r>
      <w:r>
        <w:rPr/>
        <w:t xml:space="preserve"> and </w:t>
      </w:r>
      <w:r>
        <w:rPr>
          <w:rStyle w:val="SourceText"/>
        </w:rPr>
        <w:t>check_for_update</w:t>
      </w:r>
      <w:r>
        <w:rPr/>
        <w:t xml:space="preserve"> is still </w:t>
      </w:r>
      <w:r>
        <w:rPr>
          <w:rStyle w:val="SourceText"/>
        </w:rPr>
        <w:t>pub use</w:t>
      </w:r>
      <w:r>
        <w:rPr/>
        <w:t xml:space="preserve">-exported inside a project whose first non-negotiable is zero egress. After that, code inheritance stops entirely. Ziqpu and HouseCheck both start from clean genesis commits. What carries forward instead is </w:t>
      </w:r>
      <w:r>
        <w:rPr>
          <w:i/>
        </w:rPr>
        <w:t>practice and architecture</w:t>
      </w:r>
      <w:r>
        <w:rPr/>
        <w:t xml:space="preserve">: SiteAssure's CI posture (clippy </w:t>
      </w:r>
      <w:r>
        <w:rPr>
          <w:rStyle w:val="SourceText"/>
        </w:rPr>
        <w:t>-D warnings</w:t>
      </w:r>
      <w:r>
        <w:rPr/>
        <w:t xml:space="preserve">, gitleaks, cargo-audit, phase gates) becomes Ziqpu's and HouseCheck's; Ziqpu's read-only-server-over-a-baked-artifact becomes HouseCheck's read-only SQLite in the Docker image; Ziqpu's measure/interpret firewall becomes HouseCheck's </w:t>
      </w:r>
      <w:r>
        <w:rPr>
          <w:rStyle w:val="SourceText"/>
        </w:rPr>
        <w:t>scoring</w:t>
      </w:r>
      <w:r>
        <w:rPr/>
        <w:t xml:space="preserve"> crate with chrono deliberately absent from the workspace so no scoring path can read wall time; Ziqpu's </w:t>
      </w:r>
      <w:r>
        <w:rPr>
          <w:rStyle w:val="SourceText"/>
        </w:rPr>
        <w:t>NOT_ADVICE</w:t>
      </w:r>
      <w:r>
        <w:rPr/>
        <w:t xml:space="preserve"> constant and buy/sell/hold refusal become HouseCheck's 9-domain law allowlist and injection defense; Ziqpu's NOTICE becomes HouseCheck's </w:t>
      </w:r>
      <w:r>
        <w:rPr>
          <w:rStyle w:val="SourceText"/>
        </w:rPr>
        <w:t>/meta</w:t>
      </w:r>
      <w:r>
        <w:rPr/>
        <w:t xml:space="preserve"> provenance endpoint.</w:t>
      </w:r>
    </w:p>
    <w:p>
      <w:pPr>
        <w:pStyle w:val="Heading2"/>
        <w:bidi w:val="0"/>
        <w:jc w:val="start"/>
        <w:rPr/>
      </w:pPr>
      <w:r>
        <w:rPr/>
        <w:t>The constant</w:t>
      </w:r>
    </w:p>
    <w:p>
      <w:pPr>
        <w:pStyle w:val="BodyText"/>
        <w:bidi w:val="0"/>
        <w:jc w:val="start"/>
        <w:rPr/>
      </w:pPr>
      <w:r>
        <w:rPr/>
        <w:t xml:space="preserve">In all four projects, the multi-user affordance is </w:t>
      </w:r>
      <w:r>
        <w:rPr>
          <w:b/>
        </w:rPr>
        <w:t>modeled, annotated, and left inert</w:t>
      </w:r>
      <w:r>
        <w:rPr/>
        <w:t xml:space="preserve"> — and she is right about it every time. Resona's </w:t>
      </w:r>
      <w:r>
        <w:rPr>
          <w:rStyle w:val="SourceText"/>
        </w:rPr>
        <w:t>licensing.rs</w:t>
      </w:r>
      <w:r>
        <w:rPr/>
        <w:t xml:space="preserve"> and ADR-005 both state that client-side gating is bypassable and that revenue needs an Ed25519-signed server entitlement, then assign it to P2. SiteAssure carves </w:t>
      </w:r>
      <w:r>
        <w:rPr>
          <w:rStyle w:val="SourceText"/>
        </w:rPr>
        <w:t>status</w:t>
      </w:r>
      <w:r>
        <w:rPr/>
        <w:t xml:space="preserve"> and </w:t>
      </w:r>
      <w:r>
        <w:rPr>
          <w:rStyle w:val="SourceText"/>
        </w:rPr>
        <w:t>role</w:t>
      </w:r>
      <w:r>
        <w:rPr/>
        <w:t xml:space="preserve"> into the schema labeled "v2 hook" and no code reads them. Ziqpu builds the </w:t>
      </w:r>
      <w:r>
        <w:rPr>
          <w:rStyle w:val="SourceText"/>
        </w:rPr>
        <w:t>user_chart_hash</w:t>
      </w:r>
      <w:r>
        <w:rPr/>
        <w:t xml:space="preserve"> key and never writes the table. HouseCheck's </w:t>
      </w:r>
      <w:r>
        <w:rPr>
          <w:rStyle w:val="SourceText"/>
        </w:rPr>
        <w:t>store.ts</w:t>
      </w:r>
      <w:r>
        <w:rPr/>
        <w:t xml:space="preserve"> header says "no accounts — design decision #3," and its single </w:t>
      </w:r>
      <w:r>
        <w:rPr>
          <w:rStyle w:val="SourceText"/>
        </w:rPr>
        <w:t>Arc&lt;Mutex&lt;Connection&gt;&gt;</w:t>
      </w:r>
      <w:r>
        <w:rPr/>
        <w:t xml:space="preserve"> carries the tradeoff in a comment. Paired with a second constant — zero telemetry in Resona, "none" in SiteAssure's DATA_POLICY, zero in HouseCheck — this is the real finding: </w:t>
      </w:r>
      <w:r>
        <w:rPr>
          <w:b/>
        </w:rPr>
        <w:t>the first non-author human she models is always an auditor, an attacker, or a cost risk; the customer only ever appears in a document.</w:t>
      </w:r>
      <w:r>
        <w:rPr/>
        <w:t xml:space="preserve"> The market research (Resona's Team tier, HouseCheck's 91,918-building ARR table) is consistently more populous than the code.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Said plainly: four cycles, four correct diagnoses of the same missing piece, zero implementations. The capstone reached </w:t>
      </w:r>
      <w:r>
        <w:rPr>
          <w:i/>
        </w:rPr>
        <w:t>many concurrent anonymous clients</w:t>
      </w:r>
      <w:r>
        <w:rPr/>
        <w:t>, which is a genuine step and a well-engineered one — but a read-only database baked into an image cannot hold a user, and localStorage is not an account. She got to no-user-at-scale, not to multi-user.</w:t>
      </w:r>
    </w:p>
    <w:sectPr>
      <w:type w:val="nextPage"/>
      <w:pgSz w:w="12240" w:h="15840"/>
      <w:pgMar w:left="1247" w:right="1247" w:gutter="0" w:header="0" w:top="1134" w:footer="0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auto"/>
    <w:pitch w:val="default"/>
  </w:font>
  <w:font w:name="Segoe UI">
    <w:charset w:val="01" w:characterSet="utf-8"/>
    <w:family w:val="auto"/>
    <w:pitch w:val="default"/>
  </w:font>
  <w:font w:name="Consolas"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6"/>
    </w:pPr>
    <w:rPr>
      <w:rFonts w:ascii="Georgia" w:hAnsi="Georgia" w:eastAsia="Georgia" w:cs="Georgia"/>
      <w:color w:val="1C1C1E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ageBreakBefore/>
      <w:spacing w:before="240" w:after="80"/>
      <w:outlineLvl w:val="0"/>
    </w:pPr>
    <w:rPr>
      <w:rFonts w:ascii="Segoe UI" w:hAnsi="Segoe UI" w:eastAsia="Segoe UI" w:cs="Segoe UI"/>
      <w:b/>
      <w:bCs/>
      <w:color w:val="1C1C1E"/>
      <w:sz w:val="40"/>
      <w:szCs w:val="40"/>
    </w:rPr>
  </w:style>
  <w:style w:type="paragraph" w:styleId="Heading2">
    <w:name w:val="heading 2"/>
    <w:basedOn w:val="Heading"/>
    <w:next w:val="BodyText"/>
    <w:qFormat/>
    <w:pPr>
      <w:keepNext w:val="true"/>
      <w:spacing w:before="320" w:after="80"/>
      <w:ind w:start="320" w:end="320"/>
      <w:outlineLvl w:val="1"/>
    </w:pPr>
    <w:rPr>
      <w:rFonts w:ascii="Segoe UI" w:hAnsi="Segoe UI" w:eastAsia="Segoe UI" w:cs="Segoe UI"/>
      <w:b/>
      <w:bCs/>
      <w:color w:val="3A3A3C"/>
      <w:sz w:val="27"/>
      <w:szCs w:val="27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60"/>
      <w:ind w:start="240" w:end="240"/>
      <w:outlineLvl w:val="2"/>
    </w:pPr>
    <w:rPr>
      <w:rFonts w:ascii="Segoe UI" w:hAnsi="Segoe UI" w:eastAsia="Segoe UI" w:cs="Segoe UI"/>
      <w:b/>
      <w:bCs/>
      <w:color w:val="3A3A3C"/>
      <w:sz w:val="23"/>
      <w:szCs w:val="23"/>
    </w:rPr>
  </w:style>
  <w:style w:type="character" w:styleId="SourceText">
    <w:name w:val="Source Text"/>
    <w:qFormat/>
    <w:rPr>
      <w:rFonts w:ascii="Consolas" w:hAnsi="Consolas" w:eastAsia="Consolas" w:cs="Consolas"/>
      <w:sz w:val="18"/>
      <w:szCs w:val="18"/>
    </w:rPr>
  </w:style>
  <w:style w:type="character" w:styleId="Hyperlink">
    <w:name w:val="Hyperlink"/>
    <w:rPr>
      <w:color w:val="2A8440"/>
      <w:u w:val="single"/>
    </w:rPr>
  </w:style>
  <w:style w:type="character" w:styleId="FollowedHyperlink">
    <w:name w:val="FollowedHyperlink"/>
    <w:rPr>
      <w:color w:val="2A844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ing1first">
    <w:name w:val="Heading 1.first"/>
    <w:basedOn w:val="Heading1"/>
    <w:qFormat/>
    <w:pPr>
      <w:ind w:hanging="0" w:start="0"/>
      <w:outlineLvl w:val="9"/>
    </w:pPr>
    <w:rPr/>
  </w:style>
  <w:style w:type="paragraph" w:styleId="PreformattedText">
    <w:name w:val="Preformatted Text"/>
    <w:basedOn w:val="Normal"/>
    <w:qFormat/>
    <w:pPr>
      <w:pBdr>
        <w:left w:val="single" w:sz="24" w:space="9" w:color="2A8440"/>
      </w:pBdr>
      <w:shd w:fill="F0F0F2" w:val="clear"/>
      <w:spacing w:lineRule="auto" w:line="324" w:before="160" w:after="160"/>
      <w:ind w:start="160" w:end="160"/>
    </w:pPr>
    <w:rPr>
      <w:rFonts w:ascii="Consolas" w:hAnsi="Consolas" w:eastAsia="Consolas" w:cs="Consolas"/>
      <w:color w:val="1C1C1E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24" w:space="12" w:color="2A8440"/>
      </w:pBdr>
      <w:shd w:fill="D7D7D9" w:val="clear"/>
      <w:spacing w:before="160" w:after="160"/>
      <w:ind w:hanging="0" w:start="160" w:end="160"/>
    </w:pPr>
    <w:rPr>
      <w:i w:val="false"/>
      <w:iCs w:val="false"/>
      <w:caps w:val="false"/>
      <w:smallCaps w:val="false"/>
    </w:rPr>
  </w:style>
  <w:style w:type="paragraph" w:styleId="BodyTexteyebrow">
    <w:name w:val="Body Text.eyebrow"/>
    <w:basedOn w:val="BodyText"/>
    <w:qFormat/>
    <w:pPr>
      <w:spacing w:before="0" w:after="120"/>
    </w:pPr>
    <w:rPr>
      <w:rFonts w:ascii="Segoe UI" w:hAnsi="Segoe UI" w:eastAsia="Segoe UI" w:cs="Segoe UI"/>
      <w:color w:val="6A6A72"/>
      <w:spacing w:val="28"/>
      <w:sz w:val="16"/>
      <w:szCs w:val="16"/>
    </w:rPr>
  </w:style>
  <w:style w:type="paragraph" w:styleId="BodyTextcover-h">
    <w:name w:val="Body Text.cover-h"/>
    <w:basedOn w:val="BodyText"/>
    <w:qFormat/>
    <w:pPr>
      <w:spacing w:before="0" w:after="160"/>
    </w:pPr>
    <w:rPr>
      <w:rFonts w:ascii="Segoe UI" w:hAnsi="Segoe UI" w:eastAsia="Segoe UI" w:cs="Segoe UI"/>
      <w:color w:val="1C1C1E"/>
      <w:sz w:val="60"/>
      <w:szCs w:val="60"/>
    </w:rPr>
  </w:style>
  <w:style w:type="paragraph" w:styleId="BodyTextlede">
    <w:name w:val="Body Text.lede"/>
    <w:basedOn w:val="BodyText"/>
    <w:qFormat/>
    <w:pPr>
      <w:spacing w:before="0" w:after="280"/>
    </w:pPr>
    <w:rPr>
      <w:color w:val="3A3A3C"/>
      <w:sz w:val="24"/>
      <w:szCs w:val="24"/>
    </w:rPr>
  </w:style>
  <w:style w:type="paragraph" w:styleId="BodyTextmeta">
    <w:name w:val="Body Text.meta"/>
    <w:basedOn w:val="BodyText"/>
    <w:qFormat/>
    <w:pPr>
      <w:spacing w:before="0" w:after="60"/>
    </w:pPr>
    <w:rPr>
      <w:rFonts w:ascii="Segoe UI" w:hAnsi="Segoe UI" w:eastAsia="Segoe UI" w:cs="Segoe UI"/>
      <w:color w:val="6A6A72"/>
      <w:sz w:val="17"/>
      <w:szCs w:val="17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3A3A3C" w:val="clear"/>
      <w:jc w:val="start"/>
    </w:pPr>
    <w:rPr>
      <w:b/>
      <w:bCs/>
      <w:color w:val="F5F5F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Four Cycles, One Missing Piece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