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eyebrow"/>
        <w:bidi w:val="0"/>
        <w:jc w:val="start"/>
        <w:rPr/>
      </w:pPr>
      <w:r>
        <w:rPr/>
        <w:t>L2 CYCLES 1–4 · CAPACITY GAME THEORY</w:t>
      </w:r>
    </w:p>
    <w:p>
      <w:pPr>
        <w:pStyle w:val="BodyTextcover-h"/>
        <w:bidi w:val="0"/>
        <w:jc w:val="start"/>
        <w:rPr/>
      </w:pPr>
      <w:r>
        <w:rPr/>
        <w:t>What Could These</w:t>
        <w:br/>
        <w:t>Actually Hold?</w:t>
      </w:r>
    </w:p>
    <w:p>
      <w:pPr>
        <w:pStyle w:val="BodyTextlede"/>
        <w:bidi w:val="0"/>
        <w:jc w:val="start"/>
        <w:rPr/>
      </w:pPr>
      <w:r>
        <w:rPr/>
        <w:t>If each project got a foothold — who would the users be, how many, and what would the code do under them?</w:t>
      </w:r>
    </w:p>
    <w:p>
      <w:pPr>
        <w:pStyle w:val="BodyTextmeta"/>
        <w:bidi w:val="0"/>
        <w:jc w:val="start"/>
        <w:rPr/>
      </w:pPr>
      <w:r>
        <w:rPr/>
        <w:t>Aisling · 9 August 2026</w:t>
      </w:r>
    </w:p>
    <w:p>
      <w:pPr>
        <w:pStyle w:val="BlockQuotation"/>
        <w:bidi w:val="0"/>
        <w:jc w:val="start"/>
        <w:rPr>
          <w:b/>
        </w:rPr>
      </w:pPr>
      <w:r>
        <w:rPr>
          <w:b/>
        </w:rPr>
        <w:t>THE ONE-LINE FINDING</w:t>
      </w:r>
    </w:p>
    <w:p>
      <w:pPr>
        <w:pStyle w:val="BlockQuotation"/>
        <w:bidi w:val="0"/>
        <w:jc w:val="start"/>
        <w:rPr/>
      </w:pPr>
      <w:r>
        <w:rPr/>
        <w:t>In three of four projects there is no capacity ceiling because there is no server. In the fourth there is a server, and capacity is not its limit — coverage and cost are, by two orders of magnitude.</w:t>
      </w:r>
    </w:p>
    <w:p>
      <w:pPr>
        <w:pStyle w:val="HorizontalLine"/>
        <w:bidi w:val="0"/>
        <w:jc w:val="start"/>
        <w:rPr/>
      </w:pPr>
      <w:r>
        <w:rPr/>
      </w:r>
    </w:p>
    <w:p>
      <w:pPr>
        <w:pStyle w:val="Heading2"/>
        <w:bidi w:val="0"/>
        <w:jc w:val="start"/>
        <w:rPr/>
      </w:pPr>
      <w:r>
        <w:rPr/>
        <w:t>1. Resona — L2 Cycle 1</w:t>
      </w:r>
    </w:p>
    <w:p>
      <w:pPr>
        <w:pStyle w:val="BodyText"/>
        <w:bidi w:val="0"/>
        <w:jc w:val="start"/>
        <w:rPr/>
      </w:pPr>
      <w:r>
        <w:rPr>
          <w:b/>
        </w:rPr>
        <w:t>Shape:</w:t>
      </w:r>
      <w:r>
        <w:rPr/>
        <w:t xml:space="preserve"> Tauri desktop app. whisper.cpp locally. </w:t>
      </w:r>
      <w:r>
        <w:rPr>
          <w:b/>
        </w:rPr>
        <w:t>Zero network calls in the shipping app</w:t>
      </w:r>
      <w:r>
        <w:rPr/>
        <w:t xml:space="preserve"> — grep for </w:t>
      </w:r>
      <w:r>
        <w:rPr>
          <w:rStyle w:val="SourceText"/>
        </w:rPr>
        <w:t>fetch</w:t>
      </w:r>
      <w:r>
        <w:rPr/>
        <w:t>/</w:t>
      </w:r>
      <w:r>
        <w:rPr>
          <w:rStyle w:val="SourceText"/>
        </w:rPr>
        <w:t>http</w:t>
      </w:r>
      <w:r>
        <w:rPr/>
        <w:t>/</w:t>
      </w:r>
      <w:r>
        <w:rPr>
          <w:rStyle w:val="SourceText"/>
        </w:rPr>
        <w:t>reqwest</w:t>
      </w:r>
      <w:r>
        <w:rPr/>
        <w:t xml:space="preserve"> across the whole tree returns nothing, and no HTTP client is even in </w:t>
      </w:r>
      <w:r>
        <w:rPr>
          <w:rStyle w:val="SourceText"/>
        </w:rPr>
        <w:t>Cargo.toml</w:t>
      </w:r>
      <w:r>
        <w:rPr/>
        <w:t>.</w:t>
      </w:r>
    </w:p>
    <w:p>
      <w:pPr>
        <w:pStyle w:val="BodyText"/>
        <w:bidi w:val="0"/>
        <w:jc w:val="start"/>
        <w:rPr/>
      </w:pPr>
      <w:r>
        <w:rPr>
          <w:b/>
        </w:rPr>
        <w:t>Who it would serve:</w:t>
      </w:r>
      <w:r>
        <w:rPr/>
        <w:t xml:space="preserve"> the PRD names professionals, students, creators, non-native English speakers, with privacy-sensitive users as the wedge. That wedge is the honest one: this is the transcription tool for people who cannot send audio to a server — lawyers, clinicians, journalists with sources, anyone under NDA. Otter and Deepgram cannot serve them at all.</w:t>
      </w:r>
    </w:p>
    <w:p>
      <w:pPr>
        <w:pStyle w:val="BodyText"/>
        <w:bidi w:val="0"/>
        <w:jc w:val="start"/>
        <w:rPr/>
      </w:pPr>
      <w:r>
        <w:rPr>
          <w:b/>
        </w:rPr>
        <w:t>Capacity:</w:t>
      </w:r>
      <w:r>
        <w:rPr/>
        <w:t xml:space="preserve"> unbounded and meaningless. Every install is its own universe. A million users is a million laptops doing their own inference; my infrastructure cost is $0 at any scale.</w:t>
      </w:r>
    </w:p>
    <w:p>
      <w:pPr>
        <w:pStyle w:val="BodyText"/>
        <w:bidi w:val="0"/>
        <w:jc w:val="start"/>
        <w:rPr/>
      </w:pPr>
      <w:r>
        <w:rPr>
          <w:b/>
        </w:rPr>
        <w:t>The real ceiling is distribution, and it is at zero.</w:t>
      </w:r>
      <w:r>
        <w:rPr/>
        <w:t xml:space="preserve"> There is no CI, no LICENSE, no release tags, and </w:t>
      </w:r>
      <w:r>
        <w:rPr>
          <w:b/>
        </w:rPr>
        <w:t>no release build was ever produced</w:t>
      </w:r>
      <w:r>
        <w:rPr/>
        <w:t xml:space="preserve"> — the only binary on disk is a 14.2 MB debug executable, despite </w:t>
      </w:r>
      <w:r>
        <w:rPr>
          <w:rStyle w:val="SourceText"/>
        </w:rPr>
        <w:t>bundle.targets: "all"</w:t>
      </w:r>
      <w:r>
        <w:rPr/>
        <w:t xml:space="preserve"> being configured. The app cannot be installed by anyone who is not me.</w:t>
      </w:r>
    </w:p>
    <w:p>
      <w:pPr>
        <w:pStyle w:val="BodyText"/>
        <w:bidi w:val="0"/>
        <w:jc w:val="start"/>
        <w:rPr/>
      </w:pPr>
      <w:r>
        <w:rPr>
          <w:b/>
        </w:rPr>
        <w:t>Realistic user base if it shipped:</w:t>
      </w:r>
      <w:r>
        <w:rPr/>
        <w:t xml:space="preserve"> privacy-constrained professional transcription is a real niche. Comparable indie tools (MacWhisper, Superwhisper) sit in the low tens of thousands of paying users. </w:t>
      </w:r>
      <w:r>
        <w:rPr>
          <w:b/>
        </w:rPr>
        <w:t>1,000–20,000 installs</w:t>
      </w:r>
      <w:r>
        <w:rPr/>
        <w:t xml:space="preserve"> is the plausible band, and it would be revenue-viable at that size </w:t>
      </w:r>
      <w:r>
        <w:rPr>
          <w:i/>
        </w:rPr>
        <w:t>if</w:t>
      </w:r>
      <w:r>
        <w:rPr/>
        <w:t xml:space="preserve"> payment worked.</w:t>
      </w:r>
    </w:p>
    <w:p>
      <w:pPr>
        <w:pStyle w:val="BodyText"/>
        <w:bidi w:val="0"/>
        <w:jc w:val="start"/>
        <w:rPr/>
      </w:pPr>
      <w:r>
        <w:rPr>
          <w:b/>
        </w:rPr>
        <w:t>What actually blocks revenue, not scale:</w:t>
      </w:r>
      <w:r>
        <w:rPr/>
        <w:t xml:space="preserve"> </w:t>
      </w:r>
      <w:r>
        <w:rPr>
          <w:rStyle w:val="SourceText"/>
        </w:rPr>
        <w:t>validate_license</w:t>
      </w:r>
      <w:r>
        <w:rPr/>
        <w:t xml:space="preserve"> is </w:t>
      </w:r>
      <w:r>
        <w:rPr>
          <w:rStyle w:val="SourceText"/>
        </w:rPr>
        <w:t>key.starts_with("PRO-")</w:t>
      </w:r>
      <w:r>
        <w:rPr/>
        <w:t xml:space="preserve">. Anyone types </w:t>
      </w:r>
      <w:r>
        <w:rPr>
          <w:rStyle w:val="SourceText"/>
        </w:rPr>
        <w:t>PRO-anything</w:t>
      </w:r>
      <w:r>
        <w:rPr/>
        <w:t xml:space="preserve"> and has Pro forever. The file itself says DEMO ONLY, and ADR-005 correctly states that revenue needs a server-signed entitlement. The diagnosis was right and the work was deferred. </w:t>
      </w:r>
      <w:r>
        <w:rPr>
          <w:b/>
        </w:rPr>
        <w:t>This is the whole business, and it is seven lines of unwritten code.</w:t>
      </w:r>
    </w:p>
    <w:p>
      <w:pPr>
        <w:pStyle w:val="HorizontalLine"/>
        <w:bidi w:val="0"/>
        <w:jc w:val="start"/>
        <w:rPr/>
      </w:pPr>
      <w:r>
        <w:rPr/>
      </w:r>
    </w:p>
    <w:p>
      <w:pPr>
        <w:pStyle w:val="Heading2"/>
        <w:bidi w:val="0"/>
        <w:jc w:val="start"/>
        <w:rPr/>
      </w:pPr>
      <w:r>
        <w:rPr/>
        <w:t>2. SiteAssure — L2 Cycle 2</w:t>
      </w:r>
    </w:p>
    <w:p>
      <w:pPr>
        <w:pStyle w:val="BodyText"/>
        <w:bidi w:val="0"/>
        <w:jc w:val="start"/>
        <w:rPr/>
      </w:pPr>
      <w:r>
        <w:rPr>
          <w:b/>
        </w:rPr>
        <w:t>Shape:</w:t>
      </w:r>
      <w:r>
        <w:rPr/>
        <w:t xml:space="preserve"> same single-device offline posture, deliberately. Plus a SHA-256 append-only hash chain: </w:t>
      </w:r>
      <w:r>
        <w:rPr>
          <w:rStyle w:val="SourceText"/>
        </w:rPr>
        <w:t>entry_hash = sha256(prev_hash + payload_hash)</w:t>
      </w:r>
      <w:r>
        <w:rPr/>
        <w:t xml:space="preserve">, re-walked by </w:t>
      </w:r>
      <w:r>
        <w:rPr>
          <w:rStyle w:val="SourceText"/>
        </w:rPr>
        <w:t>verify()</w:t>
      </w:r>
      <w:r>
        <w:rPr/>
        <w:t>.</w:t>
      </w:r>
    </w:p>
    <w:p>
      <w:pPr>
        <w:pStyle w:val="BodyText"/>
        <w:bidi w:val="0"/>
        <w:jc w:val="start"/>
        <w:rPr/>
      </w:pPr>
      <w:r>
        <w:rPr>
          <w:b/>
        </w:rPr>
        <w:t>Who it would serve:</w:t>
      </w:r>
      <w:r>
        <w:rPr/>
        <w:t xml:space="preserve"> construction and industrial site supervisors doing OSHA-required documentation. But the hash chain reveals the </w:t>
      </w:r>
      <w:r>
        <w:rPr>
          <w:i/>
        </w:rPr>
        <w:t>real</w:t>
      </w:r>
      <w:r>
        <w:rPr/>
        <w:t xml:space="preserve"> customer, and it is not the supervisor — it is </w:t>
      </w:r>
      <w:r>
        <w:rPr>
          <w:b/>
        </w:rPr>
        <w:t>the person who has to believe the supervisor.</w:t>
      </w:r>
      <w:r>
        <w:rPr/>
        <w:t xml:space="preserve"> An OSHA inspector. An insurer pricing a policy. A lawyer in a dispute. </w:t>
      </w:r>
      <w:r>
        <w:rPr>
          <w:rStyle w:val="SourceText"/>
        </w:rPr>
        <w:t>DATA_POLICY.md</w:t>
      </w:r>
      <w:r>
        <w:rPr/>
        <w:t xml:space="preserve"> already designs a redacted export packet for exactly that reader.</w:t>
      </w:r>
    </w:p>
    <w:p>
      <w:pPr>
        <w:pStyle w:val="BodyText"/>
        <w:bidi w:val="0"/>
        <w:jc w:val="start"/>
        <w:rPr/>
      </w:pPr>
      <w:r>
        <w:rPr>
          <w:b/>
        </w:rPr>
        <w:t>Capacity:</w:t>
      </w:r>
      <w:r>
        <w:rPr/>
        <w:t xml:space="preserve"> per-device, so again unbounded. But this is the one project where single-user is not a limitation — </w:t>
      </w:r>
      <w:r>
        <w:rPr>
          <w:b/>
        </w:rPr>
        <w:t>it is the product.</w:t>
      </w:r>
      <w:r>
        <w:rPr/>
        <w:t xml:space="preserve"> A tamper-evident log is more credible precisely because it never left the device and no server could have rewritten it. Multi-tenancy would weaken the claim.</w:t>
      </w:r>
    </w:p>
    <w:p>
      <w:pPr>
        <w:pStyle w:val="BodyText"/>
        <w:bidi w:val="0"/>
        <w:jc w:val="start"/>
        <w:rPr/>
      </w:pPr>
      <w:r>
        <w:rPr>
          <w:b/>
        </w:rPr>
        <w:t>Market shape:</w:t>
      </w:r>
      <w:r>
        <w:rPr/>
        <w:t xml:space="preserve"> ~8 million US construction workers, but the buyer is the firm. Roughly 750,000 US construction establishments; the addressable slice is firms large enough to fear an OSHA citation and small enough to lack enterprise EHS software — call it </w:t>
      </w:r>
      <w:r>
        <w:rPr>
          <w:b/>
        </w:rPr>
        <w:t>50,000–150,000 firms</w:t>
      </w:r>
      <w:r>
        <w:rPr/>
        <w:t>, at 1–20 seats each.</w:t>
      </w:r>
    </w:p>
    <w:p>
      <w:pPr>
        <w:pStyle w:val="BodyText"/>
        <w:bidi w:val="0"/>
        <w:jc w:val="start"/>
        <w:rPr/>
      </w:pPr>
      <w:r>
        <w:rPr>
          <w:b/>
        </w:rPr>
        <w:t>Realistic if it got a foothold:</w:t>
      </w:r>
      <w:r>
        <w:rPr/>
        <w:t xml:space="preserve"> compliance software sells slowly and renews forever. </w:t>
      </w:r>
      <w:r>
        <w:rPr>
          <w:b/>
        </w:rPr>
        <w:t>500–5,000 firms</w:t>
      </w:r>
      <w:r>
        <w:rPr/>
        <w:t xml:space="preserve"> would be a genuine business at $30–100/seat/month.</w:t>
      </w:r>
    </w:p>
    <w:p>
      <w:pPr>
        <w:pStyle w:val="BodyText"/>
        <w:bidi w:val="0"/>
        <w:jc w:val="start"/>
        <w:rPr/>
      </w:pPr>
      <w:r>
        <w:rPr>
          <w:b/>
        </w:rPr>
        <w:t>What blocks it:</w:t>
      </w:r>
      <w:r>
        <w:rPr/>
        <w:t xml:space="preserve"> four of eight Tauri commands return </w:t>
      </w:r>
      <w:r>
        <w:rPr>
          <w:rStyle w:val="SourceText"/>
        </w:rPr>
        <w:t>Err("not implemented")</w:t>
      </w:r>
      <w:r>
        <w:rPr/>
        <w:t xml:space="preserve"> and all six React screens return </w:t>
      </w:r>
      <w:r>
        <w:rPr>
          <w:rStyle w:val="SourceText"/>
        </w:rPr>
        <w:t>null</w:t>
      </w:r>
      <w:r>
        <w:rPr/>
        <w:t xml:space="preserve">. 551 lines of first-party Rust against 5,184 vendored. This is a strong idea at prototype stage, and the vendored </w:t>
      </w:r>
      <w:r>
        <w:rPr>
          <w:rStyle w:val="SourceText"/>
        </w:rPr>
        <w:t>wisper-core</w:t>
      </w:r>
      <w:r>
        <w:rPr/>
        <w:t xml:space="preserve"> still exports </w:t>
      </w:r>
      <w:r>
        <w:rPr>
          <w:rStyle w:val="SourceText"/>
        </w:rPr>
        <w:t>download_url</w:t>
      </w:r>
      <w:r>
        <w:rPr/>
        <w:t xml:space="preserve"> and </w:t>
      </w:r>
      <w:r>
        <w:rPr>
          <w:rStyle w:val="SourceText"/>
        </w:rPr>
        <w:t>check_for_update</w:t>
      </w:r>
      <w:r>
        <w:rPr/>
        <w:t xml:space="preserve"> inside a project whose first non-negotiable is zero egress — that has to go before anyone regulated installs it.</w:t>
      </w:r>
    </w:p>
    <w:p>
      <w:pPr>
        <w:pStyle w:val="HorizontalLine"/>
        <w:bidi w:val="0"/>
        <w:jc w:val="start"/>
        <w:rPr/>
      </w:pPr>
      <w:r>
        <w:rPr/>
      </w:r>
    </w:p>
    <w:p>
      <w:pPr>
        <w:pStyle w:val="Heading2"/>
        <w:bidi w:val="0"/>
        <w:jc w:val="start"/>
        <w:rPr/>
      </w:pPr>
      <w:r>
        <w:rPr/>
        <w:t>3. Ziqpu — L2 Cycle 3</w:t>
      </w:r>
    </w:p>
    <w:p>
      <w:pPr>
        <w:pStyle w:val="BodyText"/>
        <w:bidi w:val="0"/>
        <w:jc w:val="start"/>
        <w:rPr/>
      </w:pPr>
      <w:r>
        <w:rPr>
          <w:b/>
        </w:rPr>
        <w:t>Shape:</w:t>
      </w:r>
      <w:r>
        <w:rPr/>
        <w:t xml:space="preserve"> the most </w:t>
      </w:r>
      <w:r>
        <w:rPr>
          <w:i/>
        </w:rPr>
        <w:t>infrastructurally</w:t>
      </w:r>
      <w:r>
        <w:rPr/>
        <w:t xml:space="preserve"> mature. Seven crates, Postgres 16, twelve release tags, 3-OS CI, CLA, DCO, an MCP server, a 69,458-city gazetteer, 5,271 tickers.</w:t>
      </w:r>
    </w:p>
    <w:p>
      <w:pPr>
        <w:pStyle w:val="BodyText"/>
        <w:bidi w:val="0"/>
        <w:jc w:val="start"/>
        <w:rPr/>
      </w:pPr>
      <w:r>
        <w:rPr>
          <w:b/>
        </w:rPr>
        <w:t>Who it would serve:</w:t>
      </w:r>
      <w:r>
        <w:rPr/>
        <w:t xml:space="preserve"> astrology is a large consumer market — Co-Star claims tens of millions of installs. The MCP server points somewhere more interesting though: Ziqpu is usable as a </w:t>
      </w:r>
      <w:r>
        <w:rPr>
          <w:i/>
        </w:rPr>
        <w:t>tool other agents call</w:t>
      </w:r>
      <w:r>
        <w:rPr/>
        <w:t>, which makes developers a second audience.</w:t>
      </w:r>
    </w:p>
    <w:p>
      <w:pPr>
        <w:pStyle w:val="BodyText"/>
        <w:bidi w:val="0"/>
        <w:jc w:val="start"/>
        <w:rPr>
          <w:b/>
        </w:rPr>
      </w:pPr>
      <w:r>
        <w:rPr>
          <w:b/>
        </w:rPr>
        <w:t>Capacity — and this one has a real, countable wall:</w:t>
      </w:r>
    </w:p>
    <w:tbl>
      <w:tblPr>
        <w:tblW w:w="5000" w:type="pct"/>
        <w:jc w:val="start"/>
        <w:tblInd w:w="0" w:type="dxa"/>
        <w:tblLayout w:type="fixed"/>
        <w:tblCellMar>
          <w:top w:w="90" w:type="dxa"/>
          <w:start w:w="90" w:type="dxa"/>
          <w:bottom w:w="90" w:type="dxa"/>
          <w:end w:w="90" w:type="dxa"/>
        </w:tblCellMar>
      </w:tblPr>
      <w:tblGrid>
        <w:gridCol w:w="1561"/>
        <w:gridCol w:w="3608"/>
        <w:gridCol w:w="4576"/>
      </w:tblGrid>
      <w:tr>
        <w:trPr/>
        <w:tc>
          <w:tcPr>
            <w:tcW w:w="1561" w:type="dxa"/>
            <w:tcBorders/>
            <w:vAlign w:val="center"/>
          </w:tcPr>
          <w:p>
            <w:pPr>
              <w:pStyle w:val="TableHeading"/>
              <w:suppressLineNumbers/>
              <w:shd w:fill="3A3A3C" w:val="clear"/>
              <w:bidi w:val="0"/>
              <w:jc w:val="start"/>
              <w:rPr/>
            </w:pPr>
            <w:r>
              <w:rPr/>
              <w:t>Constraint</w:t>
            </w:r>
          </w:p>
        </w:tc>
        <w:tc>
          <w:tcPr>
            <w:tcW w:w="3608" w:type="dxa"/>
            <w:tcBorders/>
            <w:vAlign w:val="center"/>
          </w:tcPr>
          <w:p>
            <w:pPr>
              <w:pStyle w:val="TableHeading"/>
              <w:suppressLineNumbers/>
              <w:shd w:fill="3A3A3C" w:val="clear"/>
              <w:bidi w:val="0"/>
              <w:jc w:val="start"/>
              <w:rPr/>
            </w:pPr>
            <w:r>
              <w:rPr/>
              <w:t>Value</w:t>
            </w:r>
          </w:p>
        </w:tc>
        <w:tc>
          <w:tcPr>
            <w:tcW w:w="4576" w:type="dxa"/>
            <w:tcBorders/>
            <w:vAlign w:val="center"/>
          </w:tcPr>
          <w:p>
            <w:pPr>
              <w:pStyle w:val="TableHeading"/>
              <w:suppressLineNumbers/>
              <w:shd w:fill="3A3A3C" w:val="clear"/>
              <w:bidi w:val="0"/>
              <w:jc w:val="start"/>
              <w:rPr/>
            </w:pPr>
            <w:r>
              <w:rPr/>
              <w:t>What it means</w:t>
            </w:r>
          </w:p>
        </w:tc>
      </w:tr>
      <w:tr>
        <w:trPr/>
        <w:tc>
          <w:tcPr>
            <w:tcW w:w="1561" w:type="dxa"/>
            <w:tcBorders/>
            <w:vAlign w:val="center"/>
          </w:tcPr>
          <w:p>
            <w:pPr>
              <w:pStyle w:val="TableContents"/>
              <w:widowControl w:val="false"/>
              <w:suppressLineNumbers/>
              <w:bidi w:val="0"/>
              <w:jc w:val="start"/>
              <w:rPr/>
            </w:pPr>
            <w:r>
              <w:rPr/>
              <w:t>Postgres pool</w:t>
            </w:r>
          </w:p>
        </w:tc>
        <w:tc>
          <w:tcPr>
            <w:tcW w:w="3608" w:type="dxa"/>
            <w:tcBorders/>
            <w:vAlign w:val="center"/>
          </w:tcPr>
          <w:p>
            <w:pPr>
              <w:pStyle w:val="TableContents"/>
              <w:widowControl w:val="false"/>
              <w:suppressLineNumbers/>
              <w:bidi w:val="0"/>
              <w:jc w:val="start"/>
              <w:rPr/>
            </w:pPr>
            <w:r>
              <w:rPr>
                <w:rStyle w:val="SourceText"/>
              </w:rPr>
              <w:t>max_connections(5)</w:t>
            </w:r>
          </w:p>
        </w:tc>
        <w:tc>
          <w:tcPr>
            <w:tcW w:w="4576" w:type="dxa"/>
            <w:tcBorders/>
            <w:vAlign w:val="center"/>
          </w:tcPr>
          <w:p>
            <w:pPr>
              <w:pStyle w:val="TableContents"/>
              <w:widowControl w:val="false"/>
              <w:suppressLineNumbers/>
              <w:bidi w:val="0"/>
              <w:jc w:val="start"/>
              <w:rPr/>
            </w:pPr>
            <w:r>
              <w:rPr/>
              <w:t>5 concurrent DB operations, total</w:t>
            </w:r>
          </w:p>
        </w:tc>
      </w:tr>
      <w:tr>
        <w:trPr/>
        <w:tc>
          <w:tcPr>
            <w:tcW w:w="1561" w:type="dxa"/>
            <w:tcBorders/>
            <w:vAlign w:val="center"/>
          </w:tcPr>
          <w:p>
            <w:pPr>
              <w:pStyle w:val="TableContents"/>
              <w:widowControl w:val="false"/>
              <w:suppressLineNumbers/>
              <w:bidi w:val="0"/>
              <w:jc w:val="start"/>
              <w:rPr/>
            </w:pPr>
            <w:r>
              <w:rPr/>
              <w:t>LLM key</w:t>
            </w:r>
          </w:p>
        </w:tc>
        <w:tc>
          <w:tcPr>
            <w:tcW w:w="3608" w:type="dxa"/>
            <w:tcBorders/>
            <w:vAlign w:val="center"/>
          </w:tcPr>
          <w:p>
            <w:pPr>
              <w:pStyle w:val="TableContents"/>
              <w:widowControl w:val="false"/>
              <w:suppressLineNumbers/>
              <w:bidi w:val="0"/>
              <w:jc w:val="start"/>
              <w:rPr/>
            </w:pPr>
            <w:r>
              <w:rPr/>
              <w:t xml:space="preserve">one </w:t>
            </w:r>
            <w:r>
              <w:rPr>
                <w:rStyle w:val="SourceText"/>
              </w:rPr>
              <w:t>ANTHROPIC_API_KEY</w:t>
            </w:r>
            <w:r>
              <w:rPr/>
              <w:t xml:space="preserve"> per process</w:t>
            </w:r>
          </w:p>
        </w:tc>
        <w:tc>
          <w:tcPr>
            <w:tcW w:w="4576" w:type="dxa"/>
            <w:tcBorders/>
            <w:vAlign w:val="center"/>
          </w:tcPr>
          <w:p>
            <w:pPr>
              <w:pStyle w:val="TableContents"/>
              <w:widowControl w:val="false"/>
              <w:suppressLineNumbers/>
              <w:bidi w:val="0"/>
              <w:jc w:val="start"/>
              <w:rPr/>
            </w:pPr>
            <w:r>
              <w:rPr/>
              <w:t>every user shares one rate limit and one bill</w:t>
            </w:r>
          </w:p>
        </w:tc>
      </w:tr>
      <w:tr>
        <w:trPr/>
        <w:tc>
          <w:tcPr>
            <w:tcW w:w="1561" w:type="dxa"/>
            <w:tcBorders/>
            <w:vAlign w:val="center"/>
          </w:tcPr>
          <w:p>
            <w:pPr>
              <w:pStyle w:val="TableContents"/>
              <w:widowControl w:val="false"/>
              <w:suppressLineNumbers/>
              <w:bidi w:val="0"/>
              <w:jc w:val="start"/>
              <w:rPr/>
            </w:pPr>
            <w:r>
              <w:rPr/>
              <w:t>Auth</w:t>
            </w:r>
          </w:p>
        </w:tc>
        <w:tc>
          <w:tcPr>
            <w:tcW w:w="3608" w:type="dxa"/>
            <w:tcBorders/>
            <w:vAlign w:val="center"/>
          </w:tcPr>
          <w:p>
            <w:pPr>
              <w:pStyle w:val="TableContents"/>
              <w:widowControl w:val="false"/>
              <w:suppressLineNumbers/>
              <w:bidi w:val="0"/>
              <w:jc w:val="start"/>
              <w:rPr/>
            </w:pPr>
            <w:r>
              <w:rPr/>
              <w:t>none</w:t>
            </w:r>
          </w:p>
        </w:tc>
        <w:tc>
          <w:tcPr>
            <w:tcW w:w="4576" w:type="dxa"/>
            <w:tcBorders/>
            <w:vAlign w:val="center"/>
          </w:tcPr>
          <w:p>
            <w:pPr>
              <w:pStyle w:val="TableContents"/>
              <w:widowControl w:val="false"/>
              <w:suppressLineNumbers/>
              <w:bidi w:val="0"/>
              <w:jc w:val="start"/>
              <w:rPr/>
            </w:pPr>
            <w:r>
              <w:rPr/>
              <w:t>no way to attribute usage to anyone</w:t>
            </w:r>
          </w:p>
        </w:tc>
      </w:tr>
      <w:tr>
        <w:trPr/>
        <w:tc>
          <w:tcPr>
            <w:tcW w:w="1561" w:type="dxa"/>
            <w:tcBorders/>
            <w:vAlign w:val="center"/>
          </w:tcPr>
          <w:p>
            <w:pPr>
              <w:pStyle w:val="TableContents"/>
              <w:widowControl w:val="false"/>
              <w:suppressLineNumbers/>
              <w:bidi w:val="0"/>
              <w:jc w:val="start"/>
              <w:rPr/>
            </w:pPr>
            <w:r>
              <w:rPr/>
              <w:t>Bind address</w:t>
            </w:r>
          </w:p>
        </w:tc>
        <w:tc>
          <w:tcPr>
            <w:tcW w:w="3608" w:type="dxa"/>
            <w:tcBorders/>
            <w:vAlign w:val="center"/>
          </w:tcPr>
          <w:p>
            <w:pPr>
              <w:pStyle w:val="TableContents"/>
              <w:widowControl w:val="false"/>
              <w:suppressLineNumbers/>
              <w:bidi w:val="0"/>
              <w:jc w:val="start"/>
              <w:rPr/>
            </w:pPr>
            <w:r>
              <w:rPr>
                <w:rStyle w:val="SourceText"/>
              </w:rPr>
              <w:t>0.0.0.0:8787</w:t>
            </w:r>
          </w:p>
        </w:tc>
        <w:tc>
          <w:tcPr>
            <w:tcW w:w="4576" w:type="dxa"/>
            <w:tcBorders/>
            <w:vAlign w:val="center"/>
          </w:tcPr>
          <w:p>
            <w:pPr>
              <w:pStyle w:val="TableContents"/>
              <w:widowControl w:val="false"/>
              <w:suppressLineNumbers/>
              <w:bidi w:val="0"/>
              <w:jc w:val="start"/>
              <w:rPr/>
            </w:pPr>
            <w:r>
              <w:rPr/>
              <w:t>reachable off-box, with nothing in front of it</w:t>
            </w:r>
          </w:p>
        </w:tc>
      </w:tr>
    </w:tbl>
    <w:p>
      <w:pPr>
        <w:pStyle w:val="BodyText"/>
        <w:bidi w:val="0"/>
        <w:jc w:val="start"/>
        <w:rPr/>
      </w:pPr>
      <w:r>
        <w:rPr>
          <w:b/>
        </w:rPr>
        <w:t>Concurrency ceiling: roughly 5 simultaneous readings</w:t>
      </w:r>
      <w:r>
        <w:rPr/>
        <w:t xml:space="preserve">, and the shared API key means user #500 is throttled by user #499. </w:t>
      </w:r>
      <w:r>
        <w:rPr>
          <w:b/>
        </w:rPr>
        <w:t>This is the only one of the four that would actually fall over</w:t>
      </w:r>
      <w:r>
        <w:rPr/>
        <w:t>, and it would do so at about a dozen concurrent users.</w:t>
      </w:r>
    </w:p>
    <w:p>
      <w:pPr>
        <w:pStyle w:val="BodyText"/>
        <w:bidi w:val="0"/>
        <w:jc w:val="start"/>
        <w:rPr/>
      </w:pPr>
      <w:r>
        <w:rPr>
          <w:b/>
        </w:rPr>
        <w:t>The tell I keep coming back to:</w:t>
      </w:r>
      <w:r>
        <w:rPr/>
        <w:t xml:space="preserve"> </w:t>
      </w:r>
      <w:r>
        <w:rPr>
          <w:rStyle w:val="SourceText"/>
        </w:rPr>
        <w:t>synastry_readings</w:t>
      </w:r>
      <w:r>
        <w:rPr/>
        <w:t xml:space="preserve"> is keyed </w:t>
      </w:r>
      <w:r>
        <w:rPr>
          <w:rStyle w:val="SourceText"/>
        </w:rPr>
        <w:t>PRIMARY KEY (user_chart_hash, choice_ticker)</w:t>
      </w:r>
      <w:r>
        <w:rPr/>
        <w:t xml:space="preserve"> — a genuine multi-user structure — and </w:t>
      </w:r>
      <w:r>
        <w:rPr>
          <w:b/>
        </w:rPr>
        <w:t>no code ever writes to it.</w:t>
      </w:r>
      <w:r>
        <w:rPr/>
        <w:t xml:space="preserve"> The multi-user design exists in the schema and nowhere else.</w:t>
      </w:r>
    </w:p>
    <w:p>
      <w:pPr>
        <w:pStyle w:val="BodyText"/>
        <w:bidi w:val="0"/>
        <w:jc w:val="start"/>
        <w:rPr/>
      </w:pPr>
      <w:r>
        <w:rPr>
          <w:b/>
        </w:rPr>
        <w:t>Realistic foothold:</w:t>
      </w:r>
      <w:r>
        <w:rPr/>
        <w:t xml:space="preserve"> consumer astrology is winner-take-most and Co-Star owns it. The defensible wedge is the </w:t>
      </w:r>
      <w:r>
        <w:rPr>
          <w:b/>
        </w:rPr>
        <w:t>finance-astrology crossover</w:t>
      </w:r>
      <w:r>
        <w:rPr/>
        <w:t xml:space="preserve"> — 5,271 tickers is unusual and nobody else has it — which is a niche of maybe </w:t>
      </w:r>
      <w:r>
        <w:rPr>
          <w:b/>
        </w:rPr>
        <w:t>5,000–50,000 curious users</w:t>
      </w:r>
      <w:r>
        <w:rPr/>
        <w:t>, or a developer-tool play through MCP with a few hundred integrators. Either needs auth and a per-user key first.</w:t>
      </w:r>
    </w:p>
    <w:p>
      <w:pPr>
        <w:pStyle w:val="HorizontalLine"/>
        <w:bidi w:val="0"/>
        <w:jc w:val="start"/>
        <w:rPr/>
      </w:pPr>
      <w:r>
        <w:rPr/>
      </w:r>
    </w:p>
    <w:p>
      <w:pPr>
        <w:pStyle w:val="Heading2"/>
        <w:bidi w:val="0"/>
        <w:jc w:val="start"/>
        <w:rPr/>
      </w:pPr>
      <w:r>
        <w:rPr/>
        <w:t>4. HouseCheck — L2 Cycle 4</w:t>
      </w:r>
    </w:p>
    <w:p>
      <w:pPr>
        <w:pStyle w:val="BodyText"/>
        <w:bidi w:val="0"/>
        <w:jc w:val="start"/>
        <w:rPr/>
      </w:pPr>
      <w:r>
        <w:rPr>
          <w:b/>
        </w:rPr>
        <w:t>Shape:</w:t>
      </w:r>
      <w:r>
        <w:rPr/>
        <w:t xml:space="preserve"> Rust/axum on Fly, 256 MB shared-cpu-1x, read-only SQLite baked into the image, React on Vercel. Rate limit 10 req/60s per client. </w:t>
      </w:r>
      <w:r>
        <w:rPr>
          <w:rStyle w:val="SourceText"/>
        </w:rPr>
        <w:t>ConcurrencyLimitLayer(64)</w:t>
      </w:r>
      <w:r>
        <w:rPr/>
        <w:t>.</w:t>
      </w:r>
    </w:p>
    <w:p>
      <w:pPr>
        <w:pStyle w:val="Heading3"/>
        <w:bidi w:val="0"/>
        <w:jc w:val="start"/>
        <w:rPr/>
      </w:pPr>
      <w:r>
        <w:rPr/>
        <w:t>Measured capacity — and this is the surprise</w:t>
      </w:r>
    </w:p>
    <w:p>
      <w:pPr>
        <w:pStyle w:val="BodyText"/>
        <w:bidi w:val="0"/>
        <w:jc w:val="start"/>
        <w:rPr/>
      </w:pPr>
      <w:r>
        <w:rPr/>
        <w:t xml:space="preserve">The read path was measured at </w:t>
      </w:r>
      <w:r>
        <w:rPr>
          <w:b/>
        </w:rPr>
        <w:t>2.2 ms per Health Card</w:t>
      </w:r>
      <w:r>
        <w:rPr/>
        <w:t xml:space="preserve"> and 21 ms to score all 250. At 50% headroom for a single shared vCPU that is ~227 cards/second.</w:t>
      </w:r>
    </w:p>
    <w:tbl>
      <w:tblPr>
        <w:tblW w:w="5000" w:type="pct"/>
        <w:jc w:val="start"/>
        <w:tblInd w:w="0" w:type="dxa"/>
        <w:tblLayout w:type="fixed"/>
        <w:tblCellMar>
          <w:top w:w="90" w:type="dxa"/>
          <w:start w:w="90" w:type="dxa"/>
          <w:bottom w:w="90" w:type="dxa"/>
          <w:end w:w="90" w:type="dxa"/>
        </w:tblCellMar>
      </w:tblPr>
      <w:tblGrid>
        <w:gridCol w:w="2607"/>
        <w:gridCol w:w="4139"/>
        <w:gridCol w:w="2999"/>
      </w:tblGrid>
      <w:tr>
        <w:trPr/>
        <w:tc>
          <w:tcPr>
            <w:tcW w:w="2607" w:type="dxa"/>
            <w:tcBorders/>
            <w:vAlign w:val="center"/>
          </w:tcPr>
          <w:p>
            <w:pPr>
              <w:pStyle w:val="TableHeading"/>
              <w:suppressLineNumbers/>
              <w:shd w:fill="3A3A3C" w:val="clear"/>
              <w:bidi w:val="0"/>
              <w:jc w:val="start"/>
              <w:rPr/>
            </w:pPr>
            <w:r>
              <w:rPr/>
              <w:t>Session length</w:t>
            </w:r>
          </w:p>
        </w:tc>
        <w:tc>
          <w:tcPr>
            <w:tcW w:w="4139" w:type="dxa"/>
            <w:tcBorders/>
            <w:vAlign w:val="center"/>
          </w:tcPr>
          <w:p>
            <w:pPr>
              <w:pStyle w:val="TableHeading"/>
              <w:suppressLineNumbers/>
              <w:shd w:fill="3A3A3C" w:val="clear"/>
              <w:bidi w:val="0"/>
              <w:jc w:val="start"/>
              <w:rPr/>
            </w:pPr>
            <w:r>
              <w:rPr/>
              <w:t>Peak-hour share of DAU</w:t>
            </w:r>
          </w:p>
        </w:tc>
        <w:tc>
          <w:tcPr>
            <w:tcW w:w="2999" w:type="dxa"/>
            <w:tcBorders/>
            <w:vAlign w:val="center"/>
          </w:tcPr>
          <w:p>
            <w:pPr>
              <w:pStyle w:val="TableHeading"/>
              <w:suppressLineNumbers/>
              <w:shd w:fill="3A3A3C" w:val="clear"/>
              <w:bidi w:val="0"/>
              <w:jc w:val="start"/>
              <w:rPr/>
            </w:pPr>
            <w:r>
              <w:rPr/>
              <w:t>Sustainable DAU</w:t>
            </w:r>
          </w:p>
        </w:tc>
      </w:tr>
      <w:tr>
        <w:trPr/>
        <w:tc>
          <w:tcPr>
            <w:tcW w:w="2607" w:type="dxa"/>
            <w:tcBorders/>
            <w:vAlign w:val="center"/>
          </w:tcPr>
          <w:p>
            <w:pPr>
              <w:pStyle w:val="TableContents"/>
              <w:widowControl w:val="false"/>
              <w:suppressLineNumbers/>
              <w:bidi w:val="0"/>
              <w:jc w:val="start"/>
              <w:rPr/>
            </w:pPr>
            <w:r>
              <w:rPr/>
              <w:t>6 card views</w:t>
            </w:r>
          </w:p>
        </w:tc>
        <w:tc>
          <w:tcPr>
            <w:tcW w:w="4139" w:type="dxa"/>
            <w:tcBorders/>
            <w:vAlign w:val="center"/>
          </w:tcPr>
          <w:p>
            <w:pPr>
              <w:pStyle w:val="TableContents"/>
              <w:widowControl w:val="false"/>
              <w:suppressLineNumbers/>
              <w:bidi w:val="0"/>
              <w:jc w:val="start"/>
              <w:rPr/>
            </w:pPr>
            <w:r>
              <w:rPr/>
              <w:t>10%</w:t>
            </w:r>
          </w:p>
        </w:tc>
        <w:tc>
          <w:tcPr>
            <w:tcW w:w="2999" w:type="dxa"/>
            <w:tcBorders/>
            <w:vAlign w:val="center"/>
          </w:tcPr>
          <w:p>
            <w:pPr>
              <w:pStyle w:val="TableContents"/>
              <w:widowControl w:val="false"/>
              <w:suppressLineNumbers/>
              <w:bidi w:val="0"/>
              <w:jc w:val="start"/>
              <w:rPr/>
            </w:pPr>
            <w:r>
              <w:rPr/>
              <w:t>~1,360,000</w:t>
            </w:r>
          </w:p>
        </w:tc>
      </w:tr>
      <w:tr>
        <w:trPr/>
        <w:tc>
          <w:tcPr>
            <w:tcW w:w="2607" w:type="dxa"/>
            <w:tcBorders/>
            <w:vAlign w:val="center"/>
          </w:tcPr>
          <w:p>
            <w:pPr>
              <w:pStyle w:val="TableContents"/>
              <w:widowControl w:val="false"/>
              <w:suppressLineNumbers/>
              <w:bidi w:val="0"/>
              <w:jc w:val="start"/>
              <w:rPr/>
            </w:pPr>
            <w:r>
              <w:rPr/>
              <w:t>6 card views</w:t>
            </w:r>
          </w:p>
        </w:tc>
        <w:tc>
          <w:tcPr>
            <w:tcW w:w="4139" w:type="dxa"/>
            <w:tcBorders/>
            <w:vAlign w:val="center"/>
          </w:tcPr>
          <w:p>
            <w:pPr>
              <w:pStyle w:val="TableContents"/>
              <w:widowControl w:val="false"/>
              <w:suppressLineNumbers/>
              <w:bidi w:val="0"/>
              <w:jc w:val="start"/>
              <w:rPr/>
            </w:pPr>
            <w:r>
              <w:rPr/>
              <w:t>20%</w:t>
            </w:r>
          </w:p>
        </w:tc>
        <w:tc>
          <w:tcPr>
            <w:tcW w:w="2999" w:type="dxa"/>
            <w:tcBorders/>
            <w:vAlign w:val="center"/>
          </w:tcPr>
          <w:p>
            <w:pPr>
              <w:pStyle w:val="TableContents"/>
              <w:widowControl w:val="false"/>
              <w:suppressLineNumbers/>
              <w:bidi w:val="0"/>
              <w:jc w:val="start"/>
              <w:rPr/>
            </w:pPr>
            <w:r>
              <w:rPr/>
              <w:t>~680,000</w:t>
            </w:r>
          </w:p>
        </w:tc>
      </w:tr>
      <w:tr>
        <w:trPr/>
        <w:tc>
          <w:tcPr>
            <w:tcW w:w="2607" w:type="dxa"/>
            <w:tcBorders/>
            <w:vAlign w:val="center"/>
          </w:tcPr>
          <w:p>
            <w:pPr>
              <w:pStyle w:val="TableContents"/>
              <w:widowControl w:val="false"/>
              <w:suppressLineNumbers/>
              <w:bidi w:val="0"/>
              <w:jc w:val="start"/>
              <w:rPr/>
            </w:pPr>
            <w:r>
              <w:rPr/>
              <w:t>10 card views</w:t>
            </w:r>
          </w:p>
        </w:tc>
        <w:tc>
          <w:tcPr>
            <w:tcW w:w="4139" w:type="dxa"/>
            <w:tcBorders/>
            <w:vAlign w:val="center"/>
          </w:tcPr>
          <w:p>
            <w:pPr>
              <w:pStyle w:val="TableContents"/>
              <w:widowControl w:val="false"/>
              <w:suppressLineNumbers/>
              <w:bidi w:val="0"/>
              <w:jc w:val="start"/>
              <w:rPr/>
            </w:pPr>
            <w:r>
              <w:rPr/>
              <w:t>10%</w:t>
            </w:r>
          </w:p>
        </w:tc>
        <w:tc>
          <w:tcPr>
            <w:tcW w:w="2999" w:type="dxa"/>
            <w:tcBorders/>
            <w:vAlign w:val="center"/>
          </w:tcPr>
          <w:p>
            <w:pPr>
              <w:pStyle w:val="TableContents"/>
              <w:widowControl w:val="false"/>
              <w:suppressLineNumbers/>
              <w:bidi w:val="0"/>
              <w:jc w:val="start"/>
              <w:rPr/>
            </w:pPr>
            <w:r>
              <w:rPr/>
              <w:t>~820,000</w:t>
            </w:r>
          </w:p>
        </w:tc>
      </w:tr>
      <w:tr>
        <w:trPr/>
        <w:tc>
          <w:tcPr>
            <w:tcW w:w="2607" w:type="dxa"/>
            <w:tcBorders/>
            <w:vAlign w:val="center"/>
          </w:tcPr>
          <w:p>
            <w:pPr>
              <w:pStyle w:val="TableContents"/>
              <w:widowControl w:val="false"/>
              <w:suppressLineNumbers/>
              <w:bidi w:val="0"/>
              <w:jc w:val="start"/>
              <w:rPr/>
            </w:pPr>
            <w:r>
              <w:rPr/>
              <w:t>10 card views</w:t>
            </w:r>
          </w:p>
        </w:tc>
        <w:tc>
          <w:tcPr>
            <w:tcW w:w="4139" w:type="dxa"/>
            <w:tcBorders/>
            <w:vAlign w:val="center"/>
          </w:tcPr>
          <w:p>
            <w:pPr>
              <w:pStyle w:val="TableContents"/>
              <w:widowControl w:val="false"/>
              <w:suppressLineNumbers/>
              <w:bidi w:val="0"/>
              <w:jc w:val="start"/>
              <w:rPr/>
            </w:pPr>
            <w:r>
              <w:rPr/>
              <w:t>20%</w:t>
            </w:r>
          </w:p>
        </w:tc>
        <w:tc>
          <w:tcPr>
            <w:tcW w:w="2999" w:type="dxa"/>
            <w:tcBorders/>
            <w:vAlign w:val="center"/>
          </w:tcPr>
          <w:p>
            <w:pPr>
              <w:pStyle w:val="TableContents"/>
              <w:widowControl w:val="false"/>
              <w:suppressLineNumbers/>
              <w:bidi w:val="0"/>
              <w:jc w:val="start"/>
              <w:rPr/>
            </w:pPr>
            <w:r>
              <w:rPr/>
              <w:t>~410,000</w:t>
            </w:r>
          </w:p>
        </w:tc>
      </w:tr>
    </w:tbl>
    <w:p>
      <w:pPr>
        <w:pStyle w:val="BodyText"/>
        <w:bidi w:val="0"/>
        <w:jc w:val="start"/>
        <w:rPr/>
      </w:pPr>
      <w:r>
        <w:rPr>
          <w:b/>
        </w:rPr>
        <w:t>Four hundred thousand to 1.3 million daily users on a $2/month virtual machine.</w:t>
      </w:r>
      <w:r>
        <w:rPr/>
        <w:t xml:space="preserve"> That is not a typo, and it is the direct consequence of Chapter 1's architecture: everything expensive happens once, at ingest, on a laptop. The serving path does four integer multiplications and a SQLite lookup against a database small enough to sit entirely in page cache.</w:t>
      </w:r>
    </w:p>
    <w:p>
      <w:pPr>
        <w:pStyle w:val="BodyText"/>
        <w:bidi w:val="0"/>
        <w:jc w:val="start"/>
        <w:rPr>
          <w:b/>
        </w:rPr>
      </w:pPr>
      <w:r>
        <w:rPr>
          <w:b/>
        </w:rPr>
        <w:t>So capacity is not the ceiling. It is not even close to being the ceiling.</w:t>
      </w:r>
    </w:p>
    <w:p>
      <w:pPr>
        <w:pStyle w:val="Heading3"/>
        <w:bidi w:val="0"/>
        <w:jc w:val="start"/>
        <w:rPr/>
      </w:pPr>
      <w:r>
        <w:rPr/>
        <w:t>Where the ceilings actually are</w:t>
      </w:r>
    </w:p>
    <w:p>
      <w:pPr>
        <w:pStyle w:val="BodyText"/>
        <w:bidi w:val="0"/>
        <w:jc w:val="start"/>
        <w:rPr>
          <w:b/>
        </w:rPr>
      </w:pPr>
      <w:r>
        <w:rPr>
          <w:b/>
        </w:rPr>
        <w:t>1. Coverage — the binding constraint.</w:t>
      </w:r>
    </w:p>
    <w:tbl>
      <w:tblPr>
        <w:tblW w:w="5000" w:type="pct"/>
        <w:jc w:val="start"/>
        <w:tblInd w:w="0" w:type="dxa"/>
        <w:tblLayout w:type="fixed"/>
        <w:tblCellMar>
          <w:top w:w="90" w:type="dxa"/>
          <w:start w:w="90" w:type="dxa"/>
          <w:bottom w:w="90" w:type="dxa"/>
          <w:end w:w="90" w:type="dxa"/>
        </w:tblCellMar>
      </w:tblPr>
      <w:tblGrid>
        <w:gridCol w:w="2887"/>
        <w:gridCol w:w="1684"/>
        <w:gridCol w:w="1413"/>
        <w:gridCol w:w="3761"/>
      </w:tblGrid>
      <w:tr>
        <w:trPr/>
        <w:tc>
          <w:tcPr>
            <w:tcW w:w="2887" w:type="dxa"/>
            <w:tcBorders/>
            <w:vAlign w:val="center"/>
          </w:tcPr>
          <w:p>
            <w:pPr>
              <w:pStyle w:val="TableHeading"/>
              <w:bidi w:val="0"/>
              <w:jc w:val="start"/>
              <w:rPr>
                <w:sz w:val="4"/>
                <w:szCs w:val="4"/>
              </w:rPr>
            </w:pPr>
            <w:r>
              <w:rPr>
                <w:sz w:val="4"/>
                <w:szCs w:val="4"/>
              </w:rPr>
            </w:r>
          </w:p>
        </w:tc>
        <w:tc>
          <w:tcPr>
            <w:tcW w:w="1684" w:type="dxa"/>
            <w:tcBorders/>
            <w:vAlign w:val="center"/>
          </w:tcPr>
          <w:p>
            <w:pPr>
              <w:pStyle w:val="TableHeading"/>
              <w:suppressLineNumbers/>
              <w:shd w:fill="3A3A3C" w:val="clear"/>
              <w:bidi w:val="0"/>
              <w:jc w:val="start"/>
              <w:rPr/>
            </w:pPr>
            <w:r>
              <w:rPr/>
              <w:t>Buildings</w:t>
            </w:r>
          </w:p>
        </w:tc>
        <w:tc>
          <w:tcPr>
            <w:tcW w:w="1413" w:type="dxa"/>
            <w:tcBorders/>
            <w:vAlign w:val="center"/>
          </w:tcPr>
          <w:p>
            <w:pPr>
              <w:pStyle w:val="TableHeading"/>
              <w:suppressLineNumbers/>
              <w:shd w:fill="3A3A3C" w:val="clear"/>
              <w:bidi w:val="0"/>
              <w:jc w:val="start"/>
              <w:rPr/>
            </w:pPr>
            <w:r>
              <w:rPr/>
              <w:t>Artifact</w:t>
            </w:r>
          </w:p>
        </w:tc>
        <w:tc>
          <w:tcPr>
            <w:tcW w:w="3761" w:type="dxa"/>
            <w:tcBorders/>
            <w:vAlign w:val="center"/>
          </w:tcPr>
          <w:p>
            <w:pPr>
              <w:pStyle w:val="TableHeading"/>
              <w:bidi w:val="0"/>
              <w:jc w:val="start"/>
              <w:rPr>
                <w:sz w:val="4"/>
                <w:szCs w:val="4"/>
              </w:rPr>
            </w:pPr>
            <w:r>
              <w:rPr>
                <w:sz w:val="4"/>
                <w:szCs w:val="4"/>
              </w:rPr>
            </w:r>
          </w:p>
        </w:tc>
      </w:tr>
      <w:tr>
        <w:trPr/>
        <w:tc>
          <w:tcPr>
            <w:tcW w:w="2887" w:type="dxa"/>
            <w:tcBorders/>
            <w:vAlign w:val="center"/>
          </w:tcPr>
          <w:p>
            <w:pPr>
              <w:pStyle w:val="TableContents"/>
              <w:widowControl w:val="false"/>
              <w:suppressLineNumbers/>
              <w:bidi w:val="0"/>
              <w:jc w:val="start"/>
              <w:rPr/>
            </w:pPr>
            <w:r>
              <w:rPr/>
              <w:t>Today</w:t>
            </w:r>
          </w:p>
        </w:tc>
        <w:tc>
          <w:tcPr>
            <w:tcW w:w="1684" w:type="dxa"/>
            <w:tcBorders/>
            <w:vAlign w:val="center"/>
          </w:tcPr>
          <w:p>
            <w:pPr>
              <w:pStyle w:val="TableContents"/>
              <w:widowControl w:val="false"/>
              <w:suppressLineNumbers/>
              <w:bidi w:val="0"/>
              <w:jc w:val="start"/>
              <w:rPr/>
            </w:pPr>
            <w:r>
              <w:rPr/>
              <w:t>250</w:t>
            </w:r>
          </w:p>
        </w:tc>
        <w:tc>
          <w:tcPr>
            <w:tcW w:w="1413" w:type="dxa"/>
            <w:tcBorders/>
            <w:vAlign w:val="center"/>
          </w:tcPr>
          <w:p>
            <w:pPr>
              <w:pStyle w:val="TableContents"/>
              <w:widowControl w:val="false"/>
              <w:suppressLineNumbers/>
              <w:bidi w:val="0"/>
              <w:jc w:val="start"/>
              <w:rPr/>
            </w:pPr>
            <w:r>
              <w:rPr/>
              <w:t>1.3 MB</w:t>
            </w:r>
          </w:p>
        </w:tc>
        <w:tc>
          <w:tcPr>
            <w:tcW w:w="3761" w:type="dxa"/>
            <w:tcBorders/>
            <w:vAlign w:val="center"/>
          </w:tcPr>
          <w:p>
            <w:pPr>
              <w:pStyle w:val="TableContents"/>
              <w:widowControl w:val="false"/>
              <w:suppressLineNumbers/>
              <w:bidi w:val="0"/>
              <w:jc w:val="start"/>
              <w:rPr/>
            </w:pPr>
            <w:r>
              <w:rPr/>
              <w:t>one community district</w:t>
            </w:r>
          </w:p>
        </w:tc>
      </w:tr>
      <w:tr>
        <w:trPr/>
        <w:tc>
          <w:tcPr>
            <w:tcW w:w="2887" w:type="dxa"/>
            <w:tcBorders/>
            <w:vAlign w:val="center"/>
          </w:tcPr>
          <w:p>
            <w:pPr>
              <w:pStyle w:val="TableContents"/>
              <w:widowControl w:val="false"/>
              <w:suppressLineNumbers/>
              <w:bidi w:val="0"/>
              <w:jc w:val="start"/>
              <w:rPr/>
            </w:pPr>
            <w:r>
              <w:rPr/>
              <w:t>One borough</w:t>
            </w:r>
          </w:p>
        </w:tc>
        <w:tc>
          <w:tcPr>
            <w:tcW w:w="1684" w:type="dxa"/>
            <w:tcBorders/>
            <w:vAlign w:val="center"/>
          </w:tcPr>
          <w:p>
            <w:pPr>
              <w:pStyle w:val="TableContents"/>
              <w:widowControl w:val="false"/>
              <w:suppressLineNumbers/>
              <w:bidi w:val="0"/>
              <w:jc w:val="start"/>
              <w:rPr/>
            </w:pPr>
            <w:r>
              <w:rPr/>
              <w:t>5,000</w:t>
            </w:r>
          </w:p>
        </w:tc>
        <w:tc>
          <w:tcPr>
            <w:tcW w:w="1413" w:type="dxa"/>
            <w:tcBorders/>
            <w:vAlign w:val="center"/>
          </w:tcPr>
          <w:p>
            <w:pPr>
              <w:pStyle w:val="TableContents"/>
              <w:widowControl w:val="false"/>
              <w:suppressLineNumbers/>
              <w:bidi w:val="0"/>
              <w:jc w:val="start"/>
              <w:rPr/>
            </w:pPr>
            <w:r>
              <w:rPr/>
              <w:t>25 MB</w:t>
            </w:r>
          </w:p>
        </w:tc>
        <w:tc>
          <w:tcPr>
            <w:tcW w:w="3761" w:type="dxa"/>
            <w:tcBorders/>
            <w:vAlign w:val="center"/>
          </w:tcPr>
          <w:p>
            <w:pPr>
              <w:pStyle w:val="TableContents"/>
              <w:widowControl w:val="false"/>
              <w:suppressLineNumbers/>
              <w:bidi w:val="0"/>
              <w:jc w:val="start"/>
              <w:rPr/>
            </w:pPr>
            <w:r>
              <w:rPr/>
              <w:t>still fits</w:t>
            </w:r>
          </w:p>
        </w:tc>
      </w:tr>
      <w:tr>
        <w:trPr/>
        <w:tc>
          <w:tcPr>
            <w:tcW w:w="2887" w:type="dxa"/>
            <w:tcBorders/>
            <w:vAlign w:val="center"/>
          </w:tcPr>
          <w:p>
            <w:pPr>
              <w:pStyle w:val="TableContents"/>
              <w:bidi w:val="0"/>
              <w:jc w:val="start"/>
              <w:rPr>
                <w:b/>
              </w:rPr>
            </w:pPr>
            <w:r>
              <w:rPr>
                <w:b/>
              </w:rPr>
              <w:t>The cliff</w:t>
            </w:r>
          </w:p>
        </w:tc>
        <w:tc>
          <w:tcPr>
            <w:tcW w:w="1684" w:type="dxa"/>
            <w:tcBorders/>
            <w:vAlign w:val="center"/>
          </w:tcPr>
          <w:p>
            <w:pPr>
              <w:pStyle w:val="TableContents"/>
              <w:bidi w:val="0"/>
              <w:jc w:val="start"/>
              <w:rPr>
                <w:b/>
              </w:rPr>
            </w:pPr>
            <w:r>
              <w:rPr>
                <w:b/>
              </w:rPr>
              <w:t>40,000</w:t>
            </w:r>
          </w:p>
        </w:tc>
        <w:tc>
          <w:tcPr>
            <w:tcW w:w="1413" w:type="dxa"/>
            <w:tcBorders/>
            <w:vAlign w:val="center"/>
          </w:tcPr>
          <w:p>
            <w:pPr>
              <w:pStyle w:val="TableContents"/>
              <w:bidi w:val="0"/>
              <w:jc w:val="start"/>
              <w:rPr>
                <w:b/>
              </w:rPr>
            </w:pPr>
            <w:r>
              <w:rPr>
                <w:b/>
              </w:rPr>
              <w:t>203 MB</w:t>
            </w:r>
          </w:p>
        </w:tc>
        <w:tc>
          <w:tcPr>
            <w:tcW w:w="3761" w:type="dxa"/>
            <w:tcBorders/>
            <w:vAlign w:val="center"/>
          </w:tcPr>
          <w:p>
            <w:pPr>
              <w:pStyle w:val="TableContents"/>
              <w:bidi w:val="0"/>
              <w:jc w:val="start"/>
              <w:rPr>
                <w:b/>
              </w:rPr>
            </w:pPr>
            <w:r>
              <w:rPr>
                <w:b/>
              </w:rPr>
              <w:t>exceeds the 256 MB VM</w:t>
            </w:r>
          </w:p>
        </w:tc>
      </w:tr>
      <w:tr>
        <w:trPr/>
        <w:tc>
          <w:tcPr>
            <w:tcW w:w="2887" w:type="dxa"/>
            <w:tcBorders/>
            <w:vAlign w:val="center"/>
          </w:tcPr>
          <w:p>
            <w:pPr>
              <w:pStyle w:val="TableContents"/>
              <w:widowControl w:val="false"/>
              <w:suppressLineNumbers/>
              <w:bidi w:val="0"/>
              <w:jc w:val="start"/>
              <w:rPr/>
            </w:pPr>
            <w:r>
              <w:rPr/>
              <w:t>All HPD multifamily</w:t>
            </w:r>
          </w:p>
        </w:tc>
        <w:tc>
          <w:tcPr>
            <w:tcW w:w="1684" w:type="dxa"/>
            <w:tcBorders/>
            <w:vAlign w:val="center"/>
          </w:tcPr>
          <w:p>
            <w:pPr>
              <w:pStyle w:val="TableContents"/>
              <w:widowControl w:val="false"/>
              <w:suppressLineNumbers/>
              <w:bidi w:val="0"/>
              <w:jc w:val="start"/>
              <w:rPr/>
            </w:pPr>
            <w:r>
              <w:rPr/>
              <w:t>180,000</w:t>
            </w:r>
          </w:p>
        </w:tc>
        <w:tc>
          <w:tcPr>
            <w:tcW w:w="1413" w:type="dxa"/>
            <w:tcBorders/>
            <w:vAlign w:val="center"/>
          </w:tcPr>
          <w:p>
            <w:pPr>
              <w:pStyle w:val="TableContents"/>
              <w:widowControl w:val="false"/>
              <w:suppressLineNumbers/>
              <w:bidi w:val="0"/>
              <w:jc w:val="start"/>
              <w:rPr/>
            </w:pPr>
            <w:r>
              <w:rPr/>
              <w:t>914 MB</w:t>
            </w:r>
          </w:p>
        </w:tc>
        <w:tc>
          <w:tcPr>
            <w:tcW w:w="3761" w:type="dxa"/>
            <w:tcBorders/>
            <w:vAlign w:val="center"/>
          </w:tcPr>
          <w:p>
            <w:pPr>
              <w:pStyle w:val="TableContents"/>
              <w:widowControl w:val="false"/>
              <w:suppressLineNumbers/>
              <w:bidi w:val="0"/>
              <w:jc w:val="start"/>
              <w:rPr/>
            </w:pPr>
            <w:r>
              <w:rPr/>
              <w:t>needs a different design</w:t>
            </w:r>
          </w:p>
        </w:tc>
      </w:tr>
    </w:tbl>
    <w:p>
      <w:pPr>
        <w:pStyle w:val="BodyText"/>
        <w:bidi w:val="0"/>
        <w:jc w:val="start"/>
        <w:rPr/>
      </w:pPr>
      <w:r>
        <w:rPr/>
        <w:t xml:space="preserve">You cannot serve 400,000 people a product covering one neighbourhood. </w:t>
      </w:r>
      <w:r>
        <w:rPr>
          <w:b/>
        </w:rPr>
        <w:t>The architecture that makes the capacity absurd is the same one that caps the coverage</w:t>
      </w:r>
      <w:r>
        <w:rPr/>
        <w:t xml:space="preserve"> — a database baked into the image is free to serve and impossible to grow past ~40,000 rows of this shape.</w:t>
      </w:r>
    </w:p>
    <w:p>
      <w:pPr>
        <w:pStyle w:val="BodyText"/>
        <w:bidi w:val="0"/>
        <w:jc w:val="start"/>
        <w:rPr/>
      </w:pPr>
      <w:r>
        <w:rPr>
          <w:b/>
        </w:rPr>
        <w:t>2. LLM cost — the economic ceiling.</w:t>
      </w:r>
      <w:r>
        <w:rPr/>
        <w:t xml:space="preserve"> The read path is free; </w:t>
      </w:r>
      <w:r>
        <w:rPr>
          <w:rStyle w:val="SourceText"/>
        </w:rPr>
        <w:t>/agent/chat</w:t>
      </w:r>
      <w:r>
        <w:rPr/>
        <w:t xml:space="preserve"> is not. Parametric, at a plausible $0.004–0.008 per turn:</w:t>
      </w:r>
    </w:p>
    <w:tbl>
      <w:tblPr>
        <w:tblW w:w="5000" w:type="pct"/>
        <w:jc w:val="start"/>
        <w:tblInd w:w="0" w:type="dxa"/>
        <w:tblLayout w:type="fixed"/>
        <w:tblCellMar>
          <w:top w:w="90" w:type="dxa"/>
          <w:start w:w="90" w:type="dxa"/>
          <w:bottom w:w="90" w:type="dxa"/>
          <w:end w:w="90" w:type="dxa"/>
        </w:tblCellMar>
      </w:tblPr>
      <w:tblGrid>
        <w:gridCol w:w="1929"/>
        <w:gridCol w:w="3657"/>
        <w:gridCol w:w="4159"/>
      </w:tblGrid>
      <w:tr>
        <w:trPr/>
        <w:tc>
          <w:tcPr>
            <w:tcW w:w="1929" w:type="dxa"/>
            <w:tcBorders/>
            <w:vAlign w:val="center"/>
          </w:tcPr>
          <w:p>
            <w:pPr>
              <w:pStyle w:val="TableHeading"/>
              <w:suppressLineNumbers/>
              <w:shd w:fill="3A3A3C" w:val="clear"/>
              <w:bidi w:val="0"/>
              <w:jc w:val="start"/>
              <w:rPr/>
            </w:pPr>
            <w:r>
              <w:rPr/>
              <w:t>DAU</w:t>
            </w:r>
          </w:p>
        </w:tc>
        <w:tc>
          <w:tcPr>
            <w:tcW w:w="3657" w:type="dxa"/>
            <w:tcBorders/>
            <w:vAlign w:val="center"/>
          </w:tcPr>
          <w:p>
            <w:pPr>
              <w:pStyle w:val="TableHeading"/>
              <w:suppressLineNumbers/>
              <w:shd w:fill="3A3A3C" w:val="clear"/>
              <w:bidi w:val="0"/>
              <w:jc w:val="start"/>
              <w:rPr/>
            </w:pPr>
            <w:r>
              <w:rPr/>
              <w:t>Turns/user/day</w:t>
            </w:r>
          </w:p>
        </w:tc>
        <w:tc>
          <w:tcPr>
            <w:tcW w:w="4159" w:type="dxa"/>
            <w:tcBorders/>
            <w:vAlign w:val="center"/>
          </w:tcPr>
          <w:p>
            <w:pPr>
              <w:pStyle w:val="TableHeading"/>
              <w:suppressLineNumbers/>
              <w:shd w:fill="3A3A3C" w:val="clear"/>
              <w:bidi w:val="0"/>
              <w:jc w:val="start"/>
              <w:rPr/>
            </w:pPr>
            <w:r>
              <w:rPr/>
              <w:t>Monthly LLM cost</w:t>
            </w:r>
          </w:p>
        </w:tc>
      </w:tr>
      <w:tr>
        <w:trPr/>
        <w:tc>
          <w:tcPr>
            <w:tcW w:w="1929" w:type="dxa"/>
            <w:tcBorders/>
            <w:vAlign w:val="center"/>
          </w:tcPr>
          <w:p>
            <w:pPr>
              <w:pStyle w:val="TableContents"/>
              <w:widowControl w:val="false"/>
              <w:suppressLineNumbers/>
              <w:bidi w:val="0"/>
              <w:jc w:val="start"/>
              <w:rPr/>
            </w:pPr>
            <w:r>
              <w:rPr/>
              <w:t>1,000</w:t>
            </w:r>
          </w:p>
        </w:tc>
        <w:tc>
          <w:tcPr>
            <w:tcW w:w="3657" w:type="dxa"/>
            <w:tcBorders/>
            <w:vAlign w:val="center"/>
          </w:tcPr>
          <w:p>
            <w:pPr>
              <w:pStyle w:val="TableContents"/>
              <w:widowControl w:val="false"/>
              <w:suppressLineNumbers/>
              <w:bidi w:val="0"/>
              <w:jc w:val="start"/>
              <w:rPr/>
            </w:pPr>
            <w:r>
              <w:rPr/>
              <w:t>0.3</w:t>
            </w:r>
          </w:p>
        </w:tc>
        <w:tc>
          <w:tcPr>
            <w:tcW w:w="4159" w:type="dxa"/>
            <w:tcBorders/>
            <w:vAlign w:val="center"/>
          </w:tcPr>
          <w:p>
            <w:pPr>
              <w:pStyle w:val="TableContents"/>
              <w:widowControl w:val="false"/>
              <w:suppressLineNumbers/>
              <w:bidi w:val="0"/>
              <w:jc w:val="start"/>
              <w:rPr/>
            </w:pPr>
            <w:r>
              <w:rPr/>
              <w:t>$36 – $72</w:t>
            </w:r>
          </w:p>
        </w:tc>
      </w:tr>
      <w:tr>
        <w:trPr/>
        <w:tc>
          <w:tcPr>
            <w:tcW w:w="1929" w:type="dxa"/>
            <w:tcBorders/>
            <w:vAlign w:val="center"/>
          </w:tcPr>
          <w:p>
            <w:pPr>
              <w:pStyle w:val="TableContents"/>
              <w:widowControl w:val="false"/>
              <w:suppressLineNumbers/>
              <w:bidi w:val="0"/>
              <w:jc w:val="start"/>
              <w:rPr/>
            </w:pPr>
            <w:r>
              <w:rPr/>
              <w:t>10,000</w:t>
            </w:r>
          </w:p>
        </w:tc>
        <w:tc>
          <w:tcPr>
            <w:tcW w:w="3657" w:type="dxa"/>
            <w:tcBorders/>
            <w:vAlign w:val="center"/>
          </w:tcPr>
          <w:p>
            <w:pPr>
              <w:pStyle w:val="TableContents"/>
              <w:widowControl w:val="false"/>
              <w:suppressLineNumbers/>
              <w:bidi w:val="0"/>
              <w:jc w:val="start"/>
              <w:rPr/>
            </w:pPr>
            <w:r>
              <w:rPr/>
              <w:t>0.3</w:t>
            </w:r>
          </w:p>
        </w:tc>
        <w:tc>
          <w:tcPr>
            <w:tcW w:w="4159" w:type="dxa"/>
            <w:tcBorders/>
            <w:vAlign w:val="center"/>
          </w:tcPr>
          <w:p>
            <w:pPr>
              <w:pStyle w:val="TableContents"/>
              <w:widowControl w:val="false"/>
              <w:suppressLineNumbers/>
              <w:bidi w:val="0"/>
              <w:jc w:val="start"/>
              <w:rPr/>
            </w:pPr>
            <w:r>
              <w:rPr/>
              <w:t>$360 – $720</w:t>
            </w:r>
          </w:p>
        </w:tc>
      </w:tr>
      <w:tr>
        <w:trPr/>
        <w:tc>
          <w:tcPr>
            <w:tcW w:w="1929" w:type="dxa"/>
            <w:tcBorders/>
            <w:vAlign w:val="center"/>
          </w:tcPr>
          <w:p>
            <w:pPr>
              <w:pStyle w:val="TableContents"/>
              <w:widowControl w:val="false"/>
              <w:suppressLineNumbers/>
              <w:bidi w:val="0"/>
              <w:jc w:val="start"/>
              <w:rPr/>
            </w:pPr>
            <w:r>
              <w:rPr/>
              <w:t>100,000</w:t>
            </w:r>
          </w:p>
        </w:tc>
        <w:tc>
          <w:tcPr>
            <w:tcW w:w="3657" w:type="dxa"/>
            <w:tcBorders/>
            <w:vAlign w:val="center"/>
          </w:tcPr>
          <w:p>
            <w:pPr>
              <w:pStyle w:val="TableContents"/>
              <w:widowControl w:val="false"/>
              <w:suppressLineNumbers/>
              <w:bidi w:val="0"/>
              <w:jc w:val="start"/>
              <w:rPr/>
            </w:pPr>
            <w:r>
              <w:rPr/>
              <w:t>0.2</w:t>
            </w:r>
          </w:p>
        </w:tc>
        <w:tc>
          <w:tcPr>
            <w:tcW w:w="4159" w:type="dxa"/>
            <w:tcBorders/>
            <w:vAlign w:val="center"/>
          </w:tcPr>
          <w:p>
            <w:pPr>
              <w:pStyle w:val="TableContents"/>
              <w:widowControl w:val="false"/>
              <w:suppressLineNumbers/>
              <w:bidi w:val="0"/>
              <w:jc w:val="start"/>
              <w:rPr/>
            </w:pPr>
            <w:r>
              <w:rPr/>
              <w:t>$2,400 – $4,800</w:t>
            </w:r>
          </w:p>
        </w:tc>
      </w:tr>
    </w:tbl>
    <w:p>
      <w:pPr>
        <w:pStyle w:val="BodyText"/>
        <w:bidi w:val="0"/>
        <w:jc w:val="start"/>
        <w:rPr>
          <w:i/>
        </w:rPr>
      </w:pPr>
      <w:r>
        <w:rPr>
          <w:i/>
        </w:rPr>
        <w:t>(Rates need verifying before anyone quotes these. The shape is the point: serving cards is free, and the agent is the entire cost structure.)</w:t>
      </w:r>
    </w:p>
    <w:p>
      <w:pPr>
        <w:pStyle w:val="BodyText"/>
        <w:bidi w:val="0"/>
        <w:jc w:val="start"/>
        <w:rPr/>
      </w:pPr>
      <w:r>
        <w:rPr>
          <w:b/>
        </w:rPr>
        <w:t>3. The rate limit is not a scaling ceiling.</w:t>
      </w:r>
      <w:r>
        <w:rPr/>
        <w:t xml:space="preserve"> 10 req/60s per client key caps one abuser. It does nothing to aggregate load, and </w:t>
      </w:r>
      <w:r>
        <w:rPr>
          <w:rStyle w:val="SourceText"/>
        </w:rPr>
        <w:t>client_key</w:t>
      </w:r>
      <w:r>
        <w:rPr/>
        <w:t xml:space="preserve"> says so itself: </w:t>
      </w:r>
      <w:r>
        <w:rPr>
          <w:i/>
        </w:rPr>
        <w:t>"a spend guard, not an authentication boundary."</w:t>
      </w:r>
    </w:p>
    <w:p>
      <w:pPr>
        <w:pStyle w:val="Heading3"/>
        <w:bidi w:val="0"/>
        <w:jc w:val="start"/>
        <w:rPr/>
      </w:pPr>
      <w:r>
        <w:rPr/>
        <w:t>Realistic user base if it got a foothold</w:t>
      </w:r>
    </w:p>
    <w:p>
      <w:pPr>
        <w:pStyle w:val="BodyText"/>
        <w:bidi w:val="0"/>
        <w:jc w:val="start"/>
        <w:rPr/>
      </w:pPr>
      <w:r>
        <w:rPr/>
        <w:t xml:space="preserve">Bounded by the market rather than the machine. From the Research Notes: </w:t>
      </w:r>
      <w:r>
        <w:rPr>
          <w:b/>
        </w:rPr>
        <w:t>33,210 units available at a point in time</w:t>
      </w:r>
      <w:r>
        <w:rPr/>
        <w:t xml:space="preserve">, 188,000–283,000 households entering the market annually. If HouseCheck reached 5% of NYC movers in a year that is </w:t>
      </w:r>
      <w:r>
        <w:rPr>
          <w:b/>
        </w:rPr>
        <w:t>~12,000 users/year</w:t>
      </w:r>
      <w:r>
        <w:rPr/>
        <w:t xml:space="preserve"> with sharp seasonal peaks, using it for a few weeks each. Openigloo claims 3M+ reached over five years, so </w:t>
      </w:r>
      <w:r>
        <w:rPr>
          <w:b/>
        </w:rPr>
        <w:t>50,000–200,000 registered over several years</w:t>
      </w:r>
      <w:r>
        <w:rPr/>
        <w:t xml:space="preserve"> is the optimistic ceiling for NYC alone.</w:t>
      </w:r>
    </w:p>
    <w:p>
      <w:pPr>
        <w:pStyle w:val="BodyText"/>
        <w:bidi w:val="0"/>
        <w:jc w:val="start"/>
        <w:rPr>
          <w:b/>
        </w:rPr>
      </w:pPr>
      <w:r>
        <w:rPr>
          <w:b/>
        </w:rPr>
        <w:t>The box could serve twenty times that on current hardware.</w:t>
      </w:r>
    </w:p>
    <w:p>
      <w:pPr>
        <w:pStyle w:val="HorizontalLine"/>
        <w:bidi w:val="0"/>
        <w:jc w:val="start"/>
        <w:rPr/>
      </w:pPr>
      <w:r>
        <w:rPr/>
      </w:r>
    </w:p>
    <w:p>
      <w:pPr>
        <w:pStyle w:val="Heading2"/>
        <w:bidi w:val="0"/>
        <w:jc w:val="start"/>
        <w:rPr/>
      </w:pPr>
      <w:r>
        <w:rPr/>
        <w:t>What the four have in common</w:t>
      </w:r>
    </w:p>
    <w:p>
      <w:pPr>
        <w:pStyle w:val="BodyText"/>
        <w:bidi w:val="0"/>
        <w:jc w:val="start"/>
        <w:rPr/>
      </w:pPr>
      <w:r>
        <w:rPr/>
        <w:t>Three of them cannot fall over because nothing is shared. The fourth can serve a city and is limited by how much of the city it has data for.</w:t>
      </w:r>
    </w:p>
    <w:p>
      <w:pPr>
        <w:pStyle w:val="BodyText"/>
        <w:bidi w:val="0"/>
        <w:jc w:val="start"/>
        <w:rPr/>
      </w:pPr>
      <w:r>
        <w:rPr>
          <w:b/>
        </w:rPr>
        <w:t>The pattern across all four is the same one from the arc reflection</w:t>
      </w:r>
      <w:r>
        <w:rPr/>
        <w:t xml:space="preserve">: I build systems whose </w:t>
      </w:r>
      <w:r>
        <w:rPr>
          <w:i/>
        </w:rPr>
        <w:t>compute</w:t>
      </w:r>
      <w:r>
        <w:rPr/>
        <w:t xml:space="preserve"> scales effortlessly and whose </w:t>
      </w:r>
      <w:r>
        <w:rPr>
          <w:i/>
        </w:rPr>
        <w:t>user model</w:t>
      </w:r>
      <w:r>
        <w:rPr/>
        <w:t xml:space="preserve"> does not exist. Resona and SiteAssure push all cost to the client. Ziqpu shares one key and one 5-connection pool among everybody, which is the one genuinely fragile design. HouseCheck precomputes everything so the request path is nearly free.</w:t>
      </w:r>
    </w:p>
    <w:p>
      <w:pPr>
        <w:pStyle w:val="BodyText"/>
        <w:bidi w:val="0"/>
        <w:jc w:val="start"/>
        <w:rPr/>
      </w:pPr>
      <w:r>
        <w:rPr/>
        <w:t xml:space="preserve">That instinct is good engineering and it is why the capacity numbers are absurd in my favour. It is also exactly why none of them can tell one user from another — </w:t>
      </w:r>
      <w:r>
        <w:rPr>
          <w:b/>
        </w:rPr>
        <w:t>there is no per-user state because I never built anything per-user.</w:t>
      </w:r>
    </w:p>
    <w:p>
      <w:pPr>
        <w:pStyle w:val="Heading3"/>
        <w:bidi w:val="0"/>
        <w:jc w:val="start"/>
        <w:rPr/>
      </w:pPr>
      <w:r>
        <w:rPr/>
        <w:t>If I only fixed one thing per project</w:t>
      </w:r>
    </w:p>
    <w:tbl>
      <w:tblPr>
        <w:tblW w:w="5000" w:type="pct"/>
        <w:jc w:val="start"/>
        <w:tblInd w:w="0" w:type="dxa"/>
        <w:tblLayout w:type="fixed"/>
        <w:tblCellMar>
          <w:top w:w="90" w:type="dxa"/>
          <w:start w:w="90" w:type="dxa"/>
          <w:bottom w:w="90" w:type="dxa"/>
          <w:end w:w="90" w:type="dxa"/>
        </w:tblCellMar>
      </w:tblPr>
      <w:tblGrid>
        <w:gridCol w:w="1566"/>
        <w:gridCol w:w="4585"/>
        <w:gridCol w:w="3595"/>
      </w:tblGrid>
      <w:tr>
        <w:trPr/>
        <w:tc>
          <w:tcPr>
            <w:tcW w:w="1566" w:type="dxa"/>
            <w:tcBorders/>
            <w:vAlign w:val="center"/>
          </w:tcPr>
          <w:p>
            <w:pPr>
              <w:pStyle w:val="TableHeading"/>
              <w:suppressLineNumbers/>
              <w:shd w:fill="3A3A3C" w:val="clear"/>
              <w:bidi w:val="0"/>
              <w:jc w:val="start"/>
              <w:rPr/>
            </w:pPr>
            <w:r>
              <w:rPr/>
              <w:t>Project</w:t>
            </w:r>
          </w:p>
        </w:tc>
        <w:tc>
          <w:tcPr>
            <w:tcW w:w="4585" w:type="dxa"/>
            <w:tcBorders/>
            <w:vAlign w:val="center"/>
          </w:tcPr>
          <w:p>
            <w:pPr>
              <w:pStyle w:val="TableHeading"/>
              <w:suppressLineNumbers/>
              <w:shd w:fill="3A3A3C" w:val="clear"/>
              <w:bidi w:val="0"/>
              <w:jc w:val="start"/>
              <w:rPr/>
            </w:pPr>
            <w:r>
              <w:rPr/>
              <w:t>The single unlock</w:t>
            </w:r>
          </w:p>
        </w:tc>
        <w:tc>
          <w:tcPr>
            <w:tcW w:w="3595" w:type="dxa"/>
            <w:tcBorders/>
            <w:vAlign w:val="center"/>
          </w:tcPr>
          <w:p>
            <w:pPr>
              <w:pStyle w:val="TableHeading"/>
              <w:suppressLineNumbers/>
              <w:shd w:fill="3A3A3C" w:val="clear"/>
              <w:bidi w:val="0"/>
              <w:jc w:val="start"/>
              <w:rPr/>
            </w:pPr>
            <w:r>
              <w:rPr/>
              <w:t>Cost</w:t>
            </w:r>
          </w:p>
        </w:tc>
      </w:tr>
      <w:tr>
        <w:trPr/>
        <w:tc>
          <w:tcPr>
            <w:tcW w:w="1566" w:type="dxa"/>
            <w:tcBorders/>
            <w:vAlign w:val="center"/>
          </w:tcPr>
          <w:p>
            <w:pPr>
              <w:pStyle w:val="TableContents"/>
              <w:bidi w:val="0"/>
              <w:jc w:val="start"/>
              <w:rPr>
                <w:b/>
              </w:rPr>
            </w:pPr>
            <w:r>
              <w:rPr>
                <w:b/>
              </w:rPr>
              <w:t>Resona</w:t>
            </w:r>
          </w:p>
        </w:tc>
        <w:tc>
          <w:tcPr>
            <w:tcW w:w="4585" w:type="dxa"/>
            <w:tcBorders/>
            <w:vAlign w:val="center"/>
          </w:tcPr>
          <w:p>
            <w:pPr>
              <w:pStyle w:val="TableContents"/>
              <w:widowControl w:val="false"/>
              <w:suppressLineNumbers/>
              <w:bidi w:val="0"/>
              <w:jc w:val="start"/>
              <w:rPr/>
            </w:pPr>
            <w:r>
              <w:rPr/>
              <w:t>A signed server entitlement, and actually cut a release build</w:t>
            </w:r>
          </w:p>
        </w:tc>
        <w:tc>
          <w:tcPr>
            <w:tcW w:w="3595" w:type="dxa"/>
            <w:tcBorders/>
            <w:vAlign w:val="center"/>
          </w:tcPr>
          <w:p>
            <w:pPr>
              <w:pStyle w:val="TableContents"/>
              <w:widowControl w:val="false"/>
              <w:suppressLineNumbers/>
              <w:bidi w:val="0"/>
              <w:jc w:val="start"/>
              <w:rPr/>
            </w:pPr>
            <w:r>
              <w:rPr/>
              <w:t>days</w:t>
            </w:r>
          </w:p>
        </w:tc>
      </w:tr>
      <w:tr>
        <w:trPr/>
        <w:tc>
          <w:tcPr>
            <w:tcW w:w="1566" w:type="dxa"/>
            <w:tcBorders/>
            <w:vAlign w:val="center"/>
          </w:tcPr>
          <w:p>
            <w:pPr>
              <w:pStyle w:val="TableContents"/>
              <w:bidi w:val="0"/>
              <w:jc w:val="start"/>
              <w:rPr>
                <w:b/>
              </w:rPr>
            </w:pPr>
            <w:r>
              <w:rPr>
                <w:b/>
              </w:rPr>
              <w:t>SiteAssure</w:t>
            </w:r>
          </w:p>
        </w:tc>
        <w:tc>
          <w:tcPr>
            <w:tcW w:w="4585" w:type="dxa"/>
            <w:tcBorders/>
            <w:vAlign w:val="center"/>
          </w:tcPr>
          <w:p>
            <w:pPr>
              <w:pStyle w:val="TableContents"/>
              <w:widowControl w:val="false"/>
              <w:suppressLineNumbers/>
              <w:bidi w:val="0"/>
              <w:jc w:val="start"/>
              <w:rPr/>
            </w:pPr>
            <w:r>
              <w:rPr/>
              <w:t>Finish the four unimplemented commands and the six null screens</w:t>
            </w:r>
          </w:p>
        </w:tc>
        <w:tc>
          <w:tcPr>
            <w:tcW w:w="3595" w:type="dxa"/>
            <w:tcBorders/>
            <w:vAlign w:val="center"/>
          </w:tcPr>
          <w:p>
            <w:pPr>
              <w:pStyle w:val="TableContents"/>
              <w:widowControl w:val="false"/>
              <w:suppressLineNumbers/>
              <w:bidi w:val="0"/>
              <w:jc w:val="start"/>
              <w:rPr/>
            </w:pPr>
            <w:r>
              <w:rPr/>
              <w:t>weeks</w:t>
            </w:r>
          </w:p>
        </w:tc>
      </w:tr>
      <w:tr>
        <w:trPr/>
        <w:tc>
          <w:tcPr>
            <w:tcW w:w="1566" w:type="dxa"/>
            <w:tcBorders/>
            <w:vAlign w:val="center"/>
          </w:tcPr>
          <w:p>
            <w:pPr>
              <w:pStyle w:val="TableContents"/>
              <w:bidi w:val="0"/>
              <w:jc w:val="start"/>
              <w:rPr>
                <w:b/>
              </w:rPr>
            </w:pPr>
            <w:r>
              <w:rPr>
                <w:b/>
              </w:rPr>
              <w:t>Ziqpu</w:t>
            </w:r>
          </w:p>
        </w:tc>
        <w:tc>
          <w:tcPr>
            <w:tcW w:w="4585" w:type="dxa"/>
            <w:tcBorders/>
            <w:vAlign w:val="center"/>
          </w:tcPr>
          <w:p>
            <w:pPr>
              <w:pStyle w:val="TableContents"/>
              <w:widowControl w:val="false"/>
              <w:suppressLineNumbers/>
              <w:bidi w:val="0"/>
              <w:jc w:val="start"/>
              <w:rPr/>
            </w:pPr>
            <w:r>
              <w:rPr/>
              <w:t xml:space="preserve">Per-user API keys and auth in front of </w:t>
            </w:r>
            <w:r>
              <w:rPr>
                <w:rStyle w:val="SourceText"/>
              </w:rPr>
              <w:t>0.0.0.0:8787</w:t>
            </w:r>
          </w:p>
        </w:tc>
        <w:tc>
          <w:tcPr>
            <w:tcW w:w="3595" w:type="dxa"/>
            <w:tcBorders/>
            <w:vAlign w:val="center"/>
          </w:tcPr>
          <w:p>
            <w:pPr>
              <w:pStyle w:val="TableContents"/>
              <w:widowControl w:val="false"/>
              <w:suppressLineNumbers/>
              <w:bidi w:val="0"/>
              <w:jc w:val="start"/>
              <w:rPr/>
            </w:pPr>
            <w:r>
              <w:rPr/>
              <w:t>days</w:t>
            </w:r>
          </w:p>
        </w:tc>
      </w:tr>
      <w:tr>
        <w:trPr/>
        <w:tc>
          <w:tcPr>
            <w:tcW w:w="1566" w:type="dxa"/>
            <w:tcBorders/>
            <w:vAlign w:val="center"/>
          </w:tcPr>
          <w:p>
            <w:pPr>
              <w:pStyle w:val="TableContents"/>
              <w:bidi w:val="0"/>
              <w:jc w:val="start"/>
              <w:rPr>
                <w:b/>
              </w:rPr>
            </w:pPr>
            <w:r>
              <w:rPr>
                <w:b/>
              </w:rPr>
              <w:t>HouseCheck</w:t>
            </w:r>
          </w:p>
        </w:tc>
        <w:tc>
          <w:tcPr>
            <w:tcW w:w="4585" w:type="dxa"/>
            <w:tcBorders/>
            <w:vAlign w:val="center"/>
          </w:tcPr>
          <w:p>
            <w:pPr>
              <w:pStyle w:val="TableContents"/>
              <w:widowControl w:val="false"/>
              <w:suppressLineNumbers/>
              <w:bidi w:val="0"/>
              <w:jc w:val="start"/>
              <w:rPr/>
            </w:pPr>
            <w:r>
              <w:rPr/>
              <w:t>Coverage past one district — the only thing between it and a real audience</w:t>
            </w:r>
          </w:p>
        </w:tc>
        <w:tc>
          <w:tcPr>
            <w:tcW w:w="3595" w:type="dxa"/>
            <w:tcBorders/>
            <w:vAlign w:val="center"/>
          </w:tcPr>
          <w:p>
            <w:pPr>
              <w:pStyle w:val="TableContents"/>
              <w:widowControl w:val="false"/>
              <w:suppressLineNumbers/>
              <w:bidi w:val="0"/>
              <w:jc w:val="start"/>
              <w:rPr/>
            </w:pPr>
            <w:r>
              <w:rPr/>
              <w:t>one ingest run for a borough; a storage rethink past 40,000</w:t>
            </w:r>
          </w:p>
        </w:tc>
      </w:tr>
    </w:tbl>
    <w:p>
      <w:pPr>
        <w:pStyle w:val="BodyText"/>
        <w:bidi w:val="0"/>
        <w:spacing w:before="0" w:after="140"/>
        <w:jc w:val="start"/>
        <w:rPr/>
      </w:pPr>
      <w:r>
        <w:rPr/>
        <w:t xml:space="preserve">None of those is a capacity problem. Every one is the same missing piece the arc reflection found: </w:t>
      </w:r>
      <w:r>
        <w:rPr>
          <w:b/>
        </w:rPr>
        <w:t>the user as a first-class thing the code knows about.</w:t>
      </w:r>
    </w:p>
    <w:sectPr>
      <w:type w:val="nextPage"/>
      <w:pgSz w:w="12240" w:h="15840"/>
      <w:pgMar w:left="1247" w:right="1247" w:gutter="0" w:header="0" w:top="1134" w:footer="0" w:bottom="124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auto"/>
    <w:pitch w:val="default"/>
  </w:font>
  <w:font w:name="Segoe UI">
    <w:charset w:val="01" w:characterSet="utf-8"/>
    <w:family w:val="auto"/>
    <w:pitch w:val="default"/>
  </w:font>
  <w:font w:name="Consolas">
    <w:charset w:val="01" w:characterSet="utf-8"/>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6"/>
    </w:pPr>
    <w:rPr>
      <w:rFonts w:ascii="Georgia" w:hAnsi="Georgia" w:eastAsia="Georgia" w:cs="Georgia"/>
      <w:color w:val="1C1C1E"/>
      <w:sz w:val="21"/>
      <w:szCs w:val="21"/>
      <w:lang w:val="en-US" w:eastAsia="zh-CN" w:bidi="hi-IN"/>
    </w:rPr>
  </w:style>
  <w:style w:type="paragraph" w:styleId="Heading1">
    <w:name w:val="heading 1"/>
    <w:basedOn w:val="Heading"/>
    <w:next w:val="BodyText"/>
    <w:qFormat/>
    <w:pPr>
      <w:keepNext w:val="true"/>
      <w:pageBreakBefore/>
      <w:spacing w:before="240" w:after="80"/>
      <w:outlineLvl w:val="0"/>
    </w:pPr>
    <w:rPr>
      <w:rFonts w:ascii="Segoe UI" w:hAnsi="Segoe UI" w:eastAsia="Segoe UI" w:cs="Segoe UI"/>
      <w:b/>
      <w:bCs/>
      <w:color w:val="1C1C1E"/>
      <w:sz w:val="40"/>
      <w:szCs w:val="40"/>
    </w:rPr>
  </w:style>
  <w:style w:type="paragraph" w:styleId="Heading2">
    <w:name w:val="heading 2"/>
    <w:basedOn w:val="Heading"/>
    <w:next w:val="BodyText"/>
    <w:qFormat/>
    <w:pPr>
      <w:keepNext w:val="true"/>
      <w:spacing w:before="320" w:after="80"/>
      <w:ind w:start="320" w:end="320"/>
      <w:outlineLvl w:val="1"/>
    </w:pPr>
    <w:rPr>
      <w:rFonts w:ascii="Segoe UI" w:hAnsi="Segoe UI" w:eastAsia="Segoe UI" w:cs="Segoe UI"/>
      <w:b/>
      <w:bCs/>
      <w:color w:val="3A3A3C"/>
      <w:sz w:val="27"/>
      <w:szCs w:val="27"/>
    </w:rPr>
  </w:style>
  <w:style w:type="paragraph" w:styleId="Heading3">
    <w:name w:val="heading 3"/>
    <w:basedOn w:val="Heading"/>
    <w:next w:val="BodyText"/>
    <w:qFormat/>
    <w:pPr>
      <w:keepNext w:val="true"/>
      <w:spacing w:before="240" w:after="60"/>
      <w:ind w:start="240" w:end="240"/>
      <w:outlineLvl w:val="2"/>
    </w:pPr>
    <w:rPr>
      <w:rFonts w:ascii="Segoe UI" w:hAnsi="Segoe UI" w:eastAsia="Segoe UI" w:cs="Segoe UI"/>
      <w:b/>
      <w:bCs/>
      <w:color w:val="3A3A3C"/>
      <w:sz w:val="23"/>
      <w:szCs w:val="23"/>
    </w:rPr>
  </w:style>
  <w:style w:type="character" w:styleId="SourceText">
    <w:name w:val="Source Text"/>
    <w:qFormat/>
    <w:rPr>
      <w:rFonts w:ascii="Consolas" w:hAnsi="Consolas" w:eastAsia="Consolas" w:cs="Consolas"/>
      <w:sz w:val="18"/>
      <w:szCs w:val="18"/>
    </w:rPr>
  </w:style>
  <w:style w:type="character" w:styleId="Hyperlink">
    <w:name w:val="Hyperlink"/>
    <w:rPr>
      <w:color w:val="2A8440"/>
      <w:u w:val="single"/>
    </w:rPr>
  </w:style>
  <w:style w:type="character" w:styleId="FollowedHyperlink">
    <w:name w:val="FollowedHyperlink"/>
    <w:rPr>
      <w:color w:val="2A844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ing1first">
    <w:name w:val="Heading 1.first"/>
    <w:basedOn w:val="Heading1"/>
    <w:qFormat/>
    <w:pPr>
      <w:ind w:hanging="0" w:start="0"/>
      <w:outlineLvl w:val="9"/>
    </w:pPr>
    <w:rPr/>
  </w:style>
  <w:style w:type="paragraph" w:styleId="PreformattedText">
    <w:name w:val="Preformatted Text"/>
    <w:basedOn w:val="Normal"/>
    <w:qFormat/>
    <w:pPr>
      <w:pBdr>
        <w:left w:val="single" w:sz="24" w:space="9" w:color="2A8440"/>
      </w:pBdr>
      <w:shd w:fill="F0F0F2" w:val="clear"/>
      <w:spacing w:lineRule="auto" w:line="324" w:before="160" w:after="160"/>
      <w:ind w:start="160" w:end="160"/>
    </w:pPr>
    <w:rPr>
      <w:rFonts w:ascii="Consolas" w:hAnsi="Consolas" w:eastAsia="Consolas" w:cs="Consolas"/>
      <w:color w:val="1C1C1E"/>
      <w:sz w:val="17"/>
      <w:szCs w:val="17"/>
    </w:rPr>
  </w:style>
  <w:style w:type="paragraph" w:styleId="BlockQuotation">
    <w:name w:val="Block Quotation"/>
    <w:basedOn w:val="Normal"/>
    <w:qFormat/>
    <w:pPr>
      <w:pBdr>
        <w:left w:val="single" w:sz="24" w:space="12" w:color="2A8440"/>
      </w:pBdr>
      <w:shd w:fill="D7D7D9" w:val="clear"/>
      <w:spacing w:before="160" w:after="160"/>
      <w:ind w:hanging="0" w:start="160" w:end="160"/>
    </w:pPr>
    <w:rPr>
      <w:i w:val="false"/>
      <w:iCs w:val="false"/>
      <w:caps w:val="false"/>
      <w:smallCaps w:val="false"/>
    </w:rPr>
  </w:style>
  <w:style w:type="paragraph" w:styleId="BodyTexteyebrow">
    <w:name w:val="Body Text.eyebrow"/>
    <w:basedOn w:val="BodyText"/>
    <w:qFormat/>
    <w:pPr>
      <w:spacing w:before="0" w:after="120"/>
    </w:pPr>
    <w:rPr>
      <w:rFonts w:ascii="Segoe UI" w:hAnsi="Segoe UI" w:eastAsia="Segoe UI" w:cs="Segoe UI"/>
      <w:color w:val="6A6A72"/>
      <w:spacing w:val="28"/>
      <w:sz w:val="16"/>
      <w:szCs w:val="16"/>
    </w:rPr>
  </w:style>
  <w:style w:type="paragraph" w:styleId="BodyTextcover-h">
    <w:name w:val="Body Text.cover-h"/>
    <w:basedOn w:val="BodyText"/>
    <w:qFormat/>
    <w:pPr>
      <w:spacing w:before="0" w:after="160"/>
    </w:pPr>
    <w:rPr>
      <w:rFonts w:ascii="Segoe UI" w:hAnsi="Segoe UI" w:eastAsia="Segoe UI" w:cs="Segoe UI"/>
      <w:color w:val="1C1C1E"/>
      <w:sz w:val="60"/>
      <w:szCs w:val="60"/>
    </w:rPr>
  </w:style>
  <w:style w:type="paragraph" w:styleId="BodyTextlede">
    <w:name w:val="Body Text.lede"/>
    <w:basedOn w:val="BodyText"/>
    <w:qFormat/>
    <w:pPr>
      <w:spacing w:before="0" w:after="280"/>
    </w:pPr>
    <w:rPr>
      <w:color w:val="3A3A3C"/>
      <w:sz w:val="24"/>
      <w:szCs w:val="24"/>
    </w:rPr>
  </w:style>
  <w:style w:type="paragraph" w:styleId="BodyTextmeta">
    <w:name w:val="Body Text.meta"/>
    <w:basedOn w:val="BodyText"/>
    <w:qFormat/>
    <w:pPr>
      <w:spacing w:before="0" w:after="60"/>
    </w:pPr>
    <w:rPr>
      <w:rFonts w:ascii="Segoe UI" w:hAnsi="Segoe UI" w:eastAsia="Segoe UI" w:cs="Segoe UI"/>
      <w:color w:val="6A6A72"/>
      <w:sz w:val="17"/>
      <w:szCs w:val="17"/>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3A3A3C" w:val="clear"/>
      <w:jc w:val="start"/>
    </w:pPr>
    <w:rPr>
      <w:b/>
      <w:bCs/>
      <w:color w:val="F5F5F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What Could These Actually Hold?</dc:title>
</cp:coreProperties>
</file>

<file path=docProps/custom.xml><?xml version="1.0" encoding="utf-8"?>
<Properties xmlns="http://schemas.openxmlformats.org/officeDocument/2006/custom-properties" xmlns:vt="http://schemas.openxmlformats.org/officeDocument/2006/docPropsVTypes"/>
</file>