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eyebrow"/>
        <w:bidi w:val="0"/>
        <w:jc w:val="start"/>
        <w:rPr/>
      </w:pPr>
      <w:r>
        <w:rPr/>
        <w:t>HOUSECHECK · PROBLEM DEFINITION NOTES</w:t>
      </w:r>
    </w:p>
    <w:p>
      <w:pPr>
        <w:pStyle w:val="BodyTextcover-h"/>
        <w:bidi w:val="0"/>
        <w:jc w:val="start"/>
        <w:rPr/>
      </w:pPr>
      <w:r>
        <w:rPr/>
        <w:t>The Count Is Not the Argument</w:t>
      </w:r>
    </w:p>
    <w:p>
      <w:pPr>
        <w:pStyle w:val="BodyTextlede"/>
        <w:bidi w:val="0"/>
        <w:jc w:val="start"/>
        <w:rPr/>
      </w:pPr>
      <w:r>
        <w:rPr/>
        <w:t>Three concrete problems, the one worth committing to, and a problem statement specific enough to build from.</w:t>
      </w:r>
    </w:p>
    <w:p>
      <w:pPr>
        <w:pStyle w:val="BodyTextmeta"/>
        <w:bidi w:val="0"/>
        <w:jc w:val="start"/>
        <w:rPr/>
      </w:pPr>
      <w:r>
        <w:rPr/>
        <w:t>Aisling · Pursuit L2 Cycle 4 · 9 August 2026</w:t>
      </w:r>
    </w:p>
    <w:p>
      <w:pPr>
        <w:pStyle w:val="BlockQuotation"/>
        <w:bidi w:val="0"/>
        <w:jc w:val="start"/>
        <w:rPr>
          <w:b/>
        </w:rPr>
      </w:pPr>
      <w:r>
        <w:rPr>
          <w:b/>
        </w:rPr>
        <w:t>STANDARD USED THROUGHOUT</w:t>
      </w:r>
    </w:p>
    <w:p>
      <w:pPr>
        <w:pStyle w:val="BlockQuotation"/>
        <w:bidi w:val="0"/>
        <w:jc w:val="start"/>
        <w:rPr/>
      </w:pPr>
      <w:r>
        <w:rPr/>
        <w:t>Each problem separates what can be evidenced — a published dataset, a field the ingest does or does not fetch, a sourced figure — from what would require primary contact to assert. No time-cost figures appear anywhere in this document, because none have been measured, and inventing a plausible one to match the shape of the question is the exact failure this project exists to argue against.</w:t>
      </w:r>
    </w:p>
    <w:p>
      <w:pPr>
        <w:pStyle w:val="HorizontalLine"/>
        <w:bidi w:val="0"/>
        <w:jc w:val="start"/>
        <w:rPr/>
      </w:pPr>
      <w:r>
        <w:rPr/>
      </w:r>
    </w:p>
    <w:p>
      <w:pPr>
        <w:pStyle w:val="Heading2"/>
        <w:bidi w:val="0"/>
        <w:jc w:val="start"/>
        <w:rPr/>
      </w:pPr>
      <w:r>
        <w:rPr/>
        <w:t>The standard this block has to meet, and where it currently falls short</w:t>
      </w:r>
    </w:p>
    <w:p>
      <w:pPr>
        <w:pStyle w:val="BodyText"/>
        <w:bidi w:val="0"/>
        <w:jc w:val="start"/>
        <w:rPr/>
      </w:pPr>
      <w:r>
        <w:rPr/>
        <w:t xml:space="preserve">The brief asks for </w:t>
      </w:r>
      <w:r>
        <w:rPr>
          <w:b/>
        </w:rPr>
        <w:t>primary framing</w:t>
      </w:r>
      <w:r>
        <w:rPr/>
        <w:t>: who specifically, in what situation, and why it matters to them. Secondary research tells you what exists; primary framing tells you what is missing.</w:t>
      </w:r>
    </w:p>
    <w:p>
      <w:pPr>
        <w:pStyle w:val="BodyText"/>
        <w:bidi w:val="0"/>
        <w:jc w:val="start"/>
        <w:rPr/>
      </w:pPr>
      <w:r>
        <w:rPr/>
        <w:t xml:space="preserve">What I have is the public record, the competitive landscape, and first-hand knowledge of my own build — which is secondary research plus engineering evidence. </w:t>
      </w:r>
      <w:r>
        <w:rPr>
          <w:b/>
        </w:rPr>
        <w:t>I have not interviewed a tenant lawyer, sat with an organiser, or watched a renter at a viewing.</w:t>
      </w:r>
    </w:p>
    <w:p>
      <w:pPr>
        <w:pStyle w:val="BodyText"/>
        <w:bidi w:val="0"/>
        <w:jc w:val="start"/>
        <w:rPr/>
      </w:pPr>
      <w:r>
        <w:rPr/>
        <w:t>So each problem below separates two things:</w:t>
      </w:r>
    </w:p>
    <w:p>
      <w:pPr>
        <w:pStyle w:val="BodyText"/>
        <w:numPr>
          <w:ilvl w:val="0"/>
          <w:numId w:val="1"/>
        </w:numPr>
        <w:tabs>
          <w:tab w:val="clear" w:pos="709"/>
          <w:tab w:val="left" w:pos="709" w:leader="none"/>
        </w:tabs>
        <w:bidi w:val="0"/>
        <w:spacing w:before="0" w:after="0"/>
        <w:ind w:hanging="283" w:start="709"/>
        <w:jc w:val="start"/>
        <w:rPr/>
      </w:pPr>
      <w:r>
        <w:rPr>
          <w:b/>
        </w:rPr>
        <w:t>Evidenced</w:t>
      </w:r>
      <w:r>
        <w:rPr/>
        <w:t xml:space="preserve"> — what I can point at: a published dataset, a field my ingest does or does not fetch, a sourced figure.</w:t>
      </w:r>
    </w:p>
    <w:p>
      <w:pPr>
        <w:pStyle w:val="BodyText"/>
        <w:numPr>
          <w:ilvl w:val="0"/>
          <w:numId w:val="1"/>
        </w:numPr>
        <w:tabs>
          <w:tab w:val="clear" w:pos="709"/>
          <w:tab w:val="left" w:pos="709" w:leader="none"/>
        </w:tabs>
        <w:bidi w:val="0"/>
        <w:ind w:hanging="283" w:start="709"/>
        <w:jc w:val="start"/>
        <w:rPr/>
      </w:pPr>
      <w:r>
        <w:rPr>
          <w:b/>
        </w:rPr>
        <w:t>Needs primary contact</w:t>
      </w:r>
      <w:r>
        <w:rPr/>
        <w:t xml:space="preserve"> — what I would be inventing if I asserted it.</w:t>
      </w:r>
    </w:p>
    <w:p>
      <w:pPr>
        <w:pStyle w:val="BodyText"/>
        <w:bidi w:val="0"/>
        <w:jc w:val="start"/>
        <w:rPr/>
      </w:pPr>
      <w:r>
        <w:rPr/>
        <w:t xml:space="preserve">In particular I have not put a time figure on any of these. "Twenty minutes per patient shift" is the right </w:t>
      </w:r>
      <w:r>
        <w:rPr>
          <w:i/>
        </w:rPr>
        <w:t>shape</w:t>
      </w:r>
      <w:r>
        <w:rPr/>
        <w:t xml:space="preserve"> of claim, and I do not have the measurement that would earn it. Producing a plausible number to match the shape is the exact failure this project exists to argue against.</w:t>
      </w:r>
    </w:p>
    <w:p>
      <w:pPr>
        <w:pStyle w:val="HorizontalLine"/>
        <w:bidi w:val="0"/>
        <w:jc w:val="start"/>
        <w:rPr/>
      </w:pPr>
      <w:r>
        <w:rPr/>
      </w:r>
    </w:p>
    <w:p>
      <w:pPr>
        <w:pStyle w:val="Heading2"/>
        <w:bidi w:val="0"/>
        <w:jc w:val="start"/>
        <w:rPr/>
      </w:pPr>
      <w:r>
        <w:rPr/>
        <w:t>Problem 1 — The count is not the argument</w:t>
      </w:r>
    </w:p>
    <w:p>
      <w:pPr>
        <w:pStyle w:val="BodyText"/>
        <w:bidi w:val="0"/>
        <w:jc w:val="start"/>
        <w:rPr/>
      </w:pPr>
      <w:r>
        <w:rPr>
          <w:b/>
        </w:rPr>
        <w:t>Who:</w:t>
      </w:r>
      <w:r>
        <w:rPr/>
        <w:t xml:space="preserve"> a housing attorney at Legal Aid, or a paralegal at Housing Court Answers, building an HP action to force a landlord to make repairs.</w:t>
      </w:r>
    </w:p>
    <w:p>
      <w:pPr>
        <w:pStyle w:val="BodyText"/>
        <w:bidi w:val="0"/>
        <w:jc w:val="start"/>
        <w:rPr/>
      </w:pPr>
      <w:r>
        <w:rPr>
          <w:b/>
        </w:rPr>
        <w:t>When:</w:t>
      </w:r>
      <w:r>
        <w:rPr/>
        <w:t xml:space="preserve"> at client intake, and again when drafting the petition. Several times a day, every working day.</w:t>
      </w:r>
    </w:p>
    <w:p>
      <w:pPr>
        <w:pStyle w:val="BodyText"/>
        <w:bidi w:val="0"/>
        <w:jc w:val="start"/>
        <w:rPr/>
      </w:pPr>
      <w:r>
        <w:rPr>
          <w:b/>
        </w:rPr>
        <w:t>The situation, concretely.</w:t>
      </w:r>
      <w:r>
        <w:rPr/>
        <w:t xml:space="preserve"> Every tool in this landscape — Rentlogic, Openigloo, and mine — reports that a building has </w:t>
      </w:r>
      <w:r>
        <w:rPr>
          <w:i/>
        </w:rPr>
        <w:t>seven open Class C violations</w:t>
      </w:r>
      <w:r>
        <w:rPr/>
        <w:t>. That number cannot go in a filing. A petition has to name conditions: no heat, no hot water, a rodent infestation, a specific defect at a specific unit, unresolved since a specific date.</w:t>
      </w:r>
    </w:p>
    <w:p>
      <w:pPr>
        <w:pStyle w:val="BodyText"/>
        <w:bidi w:val="0"/>
        <w:jc w:val="start"/>
        <w:rPr/>
      </w:pPr>
      <w:r>
        <w:rPr/>
        <w:t xml:space="preserve">HPD </w:t>
      </w:r>
      <w:r>
        <w:rPr>
          <w:b/>
        </w:rPr>
        <w:t>already publishes exactly that.</w:t>
      </w:r>
      <w:r>
        <w:rPr/>
        <w:t xml:space="preserve"> Every Notice of Violation carries description text. So the attorney takes the count, opens HPD Online, keys in the borough-block-lot, pages through the violation records one at a time, and hand-copies the descriptions into the case file. The aggregate tool handed them a number and then sent them to fetch the meaning by hand.</w:t>
      </w:r>
    </w:p>
    <w:p>
      <w:pPr>
        <w:pStyle w:val="BodyText"/>
        <w:bidi w:val="0"/>
        <w:jc w:val="start"/>
        <w:rPr/>
      </w:pPr>
      <w:r>
        <w:rPr>
          <w:b/>
        </w:rPr>
        <w:t>Cost of not solving it.</w:t>
      </w:r>
      <w:r>
        <w:rPr/>
        <w:t xml:space="preserve"> The labour is per-client and never compounds. Nothing the attorney assembles for 689 Myrtle Avenue on Tuesday is available to the organiser working the same building on Thursday. Multiply by hundreds of practitioners citywide, daily, against a corpus of </w:t>
      </w:r>
      <w:r>
        <w:rPr>
          <w:b/>
        </w:rPr>
        <w:t>11.1M published records</w:t>
      </w:r>
      <w:r>
        <w:rPr/>
        <w:t xml:space="preserve"> that already contains the answer.</w:t>
      </w:r>
    </w:p>
    <w:p>
      <w:pPr>
        <w:pStyle w:val="BodyText"/>
        <w:bidi w:val="0"/>
        <w:jc w:val="start"/>
        <w:rPr/>
      </w:pPr>
      <w:r>
        <w:rPr>
          <w:b/>
        </w:rPr>
        <w:t>Evidenced.</w:t>
      </w:r>
      <w:r>
        <w:rPr/>
        <w:t xml:space="preserve"> HPD publishes the NOV description field. My own ingest pulls 26,306 violations across 250 buildings and does not fetch it — </w:t>
      </w:r>
      <w:r>
        <w:rPr>
          <w:rStyle w:val="SourceText"/>
        </w:rPr>
        <w:t>crates/model/src/lib.rs</w:t>
      </w:r>
      <w:r>
        <w:rPr/>
        <w:t xml:space="preserve"> defines </w:t>
      </w:r>
      <w:r>
        <w:rPr>
          <w:rStyle w:val="SourceText"/>
        </w:rPr>
        <w:t>Violation { class, open, year }</w:t>
      </w:r>
      <w:r>
        <w:rPr/>
        <w:t xml:space="preserve"> and nothing more, so the agent can say how many violations exist but not what they are. No product found in the landscape closes this.</w:t>
      </w:r>
    </w:p>
    <w:p>
      <w:pPr>
        <w:pStyle w:val="BodyText"/>
        <w:bidi w:val="0"/>
        <w:jc w:val="start"/>
        <w:rPr/>
      </w:pPr>
      <w:r>
        <w:rPr>
          <w:b/>
        </w:rPr>
        <w:t>Needs primary contact.</w:t>
      </w:r>
      <w:r>
        <w:rPr/>
        <w:t xml:space="preserve"> How long the manual pass actually takes; whether firms have already built private workarounds that are invisible from outside.</w:t>
      </w:r>
    </w:p>
    <w:p>
      <w:pPr>
        <w:pStyle w:val="HorizontalLine"/>
        <w:bidi w:val="0"/>
        <w:jc w:val="start"/>
        <w:rPr/>
      </w:pPr>
      <w:r>
        <w:rPr/>
      </w:r>
    </w:p>
    <w:p>
      <w:pPr>
        <w:pStyle w:val="Heading2"/>
        <w:bidi w:val="0"/>
        <w:jc w:val="start"/>
        <w:rPr/>
      </w:pPr>
      <w:r>
        <w:rPr/>
        <w:t>Problem 2 — Fifteen minutes against a forty-year record</w:t>
      </w:r>
    </w:p>
    <w:p>
      <w:pPr>
        <w:pStyle w:val="BodyText"/>
        <w:bidi w:val="0"/>
        <w:jc w:val="start"/>
        <w:rPr/>
      </w:pPr>
      <w:r>
        <w:rPr>
          <w:b/>
        </w:rPr>
        <w:t>Who:</w:t>
      </w:r>
      <w:r>
        <w:rPr/>
        <w:t xml:space="preserve"> a household viewing an apartment, standing in a hallway with a broker and — at 1.41% vacancy — other applicants in the room.</w:t>
      </w:r>
    </w:p>
    <w:p>
      <w:pPr>
        <w:pStyle w:val="BodyText"/>
        <w:bidi w:val="0"/>
        <w:jc w:val="start"/>
        <w:rPr/>
      </w:pPr>
      <w:r>
        <w:rPr>
          <w:b/>
        </w:rPr>
        <w:t>When:</w:t>
      </w:r>
      <w:r>
        <w:rPr/>
        <w:t xml:space="preserve"> at the viewing. The search runs four to eight weeks; the decision itself takes minutes, and hesitating loses the unit.</w:t>
      </w:r>
    </w:p>
    <w:p>
      <w:pPr>
        <w:pStyle w:val="BodyText"/>
        <w:bidi w:val="0"/>
        <w:jc w:val="start"/>
        <w:rPr/>
      </w:pPr>
      <w:r>
        <w:rPr>
          <w:b/>
        </w:rPr>
        <w:t>The situation, concretely.</w:t>
      </w:r>
      <w:r>
        <w:rPr/>
        <w:t xml:space="preserve"> They are about to commit roughly </w:t>
      </w:r>
      <w:r>
        <w:rPr>
          <w:b/>
        </w:rPr>
        <w:t>$40,000 over the next year</w:t>
      </w:r>
      <w:r>
        <w:rPr/>
        <w:t xml:space="preserve"> (derived: median asking rent × 12) to a building whose condition is a matter of decades of public record across five agencies — HPD, DOB, DOF, DOHMH and 311. To check it in that hallway they would need to know that a Class C violation means "immediately hazardous," know the building's BBL, and know which of three portals holds which fact. None of that is available to a layperson under time pressure, so the common behaviour is </w:t>
      </w:r>
      <w:r>
        <w:rPr>
          <w:b/>
        </w:rPr>
        <w:t>sign without checking</w:t>
      </w:r>
      <w:r>
        <w:rPr/>
        <w:t xml:space="preserve"> — not from carelessness, but because checking is not possible at the only moment it would matter.</w:t>
      </w:r>
    </w:p>
    <w:p>
      <w:pPr>
        <w:pStyle w:val="BodyText"/>
        <w:bidi w:val="0"/>
        <w:jc w:val="start"/>
        <w:rPr/>
      </w:pPr>
      <w:r>
        <w:rPr>
          <w:b/>
        </w:rPr>
        <w:t>Cost of not solving it.</w:t>
      </w:r>
      <w:r>
        <w:rPr/>
        <w:t xml:space="preserve"> They move into unresolved hazardous conditions they had a legal right to know about. Separately, roughly </w:t>
      </w:r>
      <w:r>
        <w:rPr>
          <w:b/>
        </w:rPr>
        <w:t>1M rent-stabilised or rent-controlled units housing ~2.5M people</w:t>
      </w:r>
      <w:r>
        <w:rPr/>
        <w:t xml:space="preserve"> carry rights that can only be exercised by a tenant who knows the unit's status, and stabilisation status is not something a broker volunteers.</w:t>
      </w:r>
    </w:p>
    <w:p>
      <w:pPr>
        <w:pStyle w:val="BodyText"/>
        <w:bidi w:val="0"/>
        <w:jc w:val="start"/>
        <w:rPr/>
      </w:pPr>
      <w:r>
        <w:rPr>
          <w:b/>
        </w:rPr>
        <w:t>Evidenced.</w:t>
      </w:r>
      <w:r>
        <w:rPr/>
        <w:t xml:space="preserve"> 1.41% vacancy, 33,210 units available at a point in time (NYC HPD, 2023); 11.1M violation records (NYC Open Data); the three-portal structure, which I hit personally while building the ingest.</w:t>
      </w:r>
    </w:p>
    <w:p>
      <w:pPr>
        <w:pStyle w:val="BodyText"/>
        <w:bidi w:val="0"/>
        <w:jc w:val="start"/>
        <w:rPr/>
      </w:pPr>
      <w:r>
        <w:rPr>
          <w:b/>
        </w:rPr>
        <w:t>Needs primary contact — and this is the load-bearing unknown of the whole project.</w:t>
      </w:r>
      <w:r>
        <w:rPr/>
        <w:t xml:space="preserve"> Whether a renter would </w:t>
      </w:r>
      <w:r>
        <w:rPr>
          <w:i/>
        </w:rPr>
        <w:t>act</w:t>
      </w:r>
      <w:r>
        <w:rPr/>
        <w:t xml:space="preserve"> on a bad score at that moment, or sign anyway because there is no alternative unit. Openigloo reached 3M+ renters and still pivoted to brokerage, which is at least consistent with the answer being "they sign anyway."</w:t>
      </w:r>
    </w:p>
    <w:p>
      <w:pPr>
        <w:pStyle w:val="HorizontalLine"/>
        <w:bidi w:val="0"/>
        <w:jc w:val="start"/>
        <w:rPr/>
      </w:pPr>
      <w:r>
        <w:rPr/>
      </w:r>
    </w:p>
    <w:p>
      <w:pPr>
        <w:pStyle w:val="Heading2"/>
        <w:bidi w:val="0"/>
        <w:jc w:val="start"/>
        <w:rPr/>
      </w:pPr>
      <w:r>
        <w:rPr/>
        <w:t>Problem 3 — A landlord is invisible; only buildings are visible</w:t>
      </w:r>
    </w:p>
    <w:p>
      <w:pPr>
        <w:pStyle w:val="BodyText"/>
        <w:bidi w:val="0"/>
        <w:jc w:val="start"/>
        <w:rPr/>
      </w:pPr>
      <w:r>
        <w:rPr>
          <w:b/>
        </w:rPr>
        <w:t>Who:</w:t>
      </w:r>
      <w:r>
        <w:rPr/>
        <w:t xml:space="preserve"> a tenant organiser at Met Council or a tenant union choosing where to run a campaign; and an investigative housing reporter.</w:t>
      </w:r>
    </w:p>
    <w:p>
      <w:pPr>
        <w:pStyle w:val="BodyText"/>
        <w:bidi w:val="0"/>
        <w:jc w:val="start"/>
        <w:rPr/>
      </w:pPr>
      <w:r>
        <w:rPr>
          <w:b/>
        </w:rPr>
        <w:t>When:</w:t>
      </w:r>
      <w:r>
        <w:rPr/>
        <w:t xml:space="preserve"> at the start of a campaign or a story, then continuously as the picture goes stale.</w:t>
      </w:r>
    </w:p>
    <w:p>
      <w:pPr>
        <w:pStyle w:val="BodyText"/>
        <w:bidi w:val="0"/>
        <w:jc w:val="start"/>
        <w:rPr/>
      </w:pPr>
      <w:r>
        <w:rPr>
          <w:b/>
        </w:rPr>
        <w:t>The situation, concretely.</w:t>
      </w:r>
      <w:r>
        <w:rPr/>
        <w:t xml:space="preserve"> The record is published </w:t>
      </w:r>
      <w:r>
        <w:rPr>
          <w:b/>
        </w:rPr>
        <w:t>per building</w:t>
      </w:r>
      <w:r>
        <w:rPr/>
        <w:t xml:space="preserve">. A landlord operating twelve buildings appears as twelve unrelated records, because the linking information — registered owner and officer names — lives in a different HPD dataset than the violations. So the organiser reconstructs the portfolio by hand in a spreadsheet, and it is stale the week after they build it. The pattern that would justify a campaign or carry a story — </w:t>
      </w:r>
      <w:r>
        <w:rPr>
          <w:i/>
        </w:rPr>
        <w:t>this operator's entire portfolio degrades the same way</w:t>
      </w:r>
      <w:r>
        <w:rPr/>
        <w:t xml:space="preserve"> — has to be rebuilt from scratch by every person who wants it.</w:t>
      </w:r>
    </w:p>
    <w:p>
      <w:pPr>
        <w:pStyle w:val="BodyText"/>
        <w:bidi w:val="0"/>
        <w:jc w:val="start"/>
        <w:rPr/>
      </w:pPr>
      <w:r>
        <w:rPr>
          <w:b/>
        </w:rPr>
        <w:t>Cost of not solving it.</w:t>
      </w:r>
      <w:r>
        <w:rPr/>
        <w:t xml:space="preserve"> Organising effort gets aimed at buildings rather than at the operator making the decisions, and the systemic pattern stays invisible.</w:t>
      </w:r>
    </w:p>
    <w:p>
      <w:pPr>
        <w:pStyle w:val="BodyText"/>
        <w:bidi w:val="0"/>
        <w:jc w:val="start"/>
        <w:rPr/>
      </w:pPr>
      <w:r>
        <w:rPr>
          <w:b/>
        </w:rPr>
        <w:t>Evidenced.</w:t>
      </w:r>
      <w:r>
        <w:rPr/>
        <w:t xml:space="preserve"> HPD registration data carries owner and officer contacts as a separate dataset. My own build keys on BBL and has no owner dimension at all.</w:t>
      </w:r>
    </w:p>
    <w:p>
      <w:pPr>
        <w:pStyle w:val="BodyText"/>
        <w:bidi w:val="0"/>
        <w:jc w:val="start"/>
        <w:rPr/>
      </w:pPr>
      <w:r>
        <w:rPr>
          <w:b/>
        </w:rPr>
        <w:t>Confidence: lower than the other two.</w:t>
      </w:r>
      <w:r>
        <w:rPr/>
        <w:t xml:space="preserve"> The organiser's workflow here is inferred from the landscape rather than observed. Flagged rather than dressed up.</w:t>
      </w:r>
    </w:p>
    <w:p>
      <w:pPr>
        <w:pStyle w:val="HorizontalLine"/>
        <w:bidi w:val="0"/>
        <w:jc w:val="start"/>
        <w:rPr/>
      </w:pPr>
      <w:r>
        <w:rPr/>
      </w:r>
    </w:p>
    <w:p>
      <w:pPr>
        <w:pStyle w:val="Heading2"/>
        <w:bidi w:val="0"/>
        <w:jc w:val="start"/>
        <w:rPr/>
      </w:pPr>
      <w:r>
        <w:rPr/>
        <w:t>Which one to commit to</w:t>
      </w:r>
    </w:p>
    <w:p>
      <w:pPr>
        <w:pStyle w:val="BodyText"/>
        <w:bidi w:val="0"/>
        <w:jc w:val="start"/>
        <w:rPr/>
      </w:pPr>
      <w:r>
        <w:rPr/>
        <w:t>Not the biggest — Problem 2 affects far more people. The one where every precondition is already satisfied:</w:t>
      </w:r>
    </w:p>
    <w:tbl>
      <w:tblPr>
        <w:tblW w:w="5000" w:type="pct"/>
        <w:jc w:val="start"/>
        <w:tblInd w:w="0" w:type="dxa"/>
        <w:tblLayout w:type="fixed"/>
        <w:tblCellMar>
          <w:top w:w="90" w:type="dxa"/>
          <w:start w:w="90" w:type="dxa"/>
          <w:bottom w:w="90" w:type="dxa"/>
          <w:end w:w="90" w:type="dxa"/>
        </w:tblCellMar>
      </w:tblPr>
      <w:tblGrid>
        <w:gridCol w:w="2424"/>
        <w:gridCol w:w="2702"/>
        <w:gridCol w:w="2473"/>
        <w:gridCol w:w="2147"/>
      </w:tblGrid>
      <w:tr>
        <w:trPr/>
        <w:tc>
          <w:tcPr>
            <w:tcW w:w="2424" w:type="dxa"/>
            <w:tcBorders/>
            <w:vAlign w:val="center"/>
          </w:tcPr>
          <w:p>
            <w:pPr>
              <w:pStyle w:val="TableHeading"/>
              <w:bidi w:val="0"/>
              <w:jc w:val="start"/>
              <w:rPr>
                <w:sz w:val="4"/>
                <w:szCs w:val="4"/>
              </w:rPr>
            </w:pPr>
            <w:r>
              <w:rPr>
                <w:sz w:val="4"/>
                <w:szCs w:val="4"/>
              </w:rPr>
            </w:r>
          </w:p>
        </w:tc>
        <w:tc>
          <w:tcPr>
            <w:tcW w:w="2702" w:type="dxa"/>
            <w:tcBorders/>
            <w:vAlign w:val="center"/>
          </w:tcPr>
          <w:p>
            <w:pPr>
              <w:pStyle w:val="TableHeading"/>
              <w:suppressLineNumbers/>
              <w:shd w:fill="3A3A3C" w:val="clear"/>
              <w:bidi w:val="0"/>
              <w:jc w:val="start"/>
              <w:rPr/>
            </w:pPr>
            <w:r>
              <w:rPr/>
              <w:t>P1 — meaning</w:t>
            </w:r>
          </w:p>
        </w:tc>
        <w:tc>
          <w:tcPr>
            <w:tcW w:w="2473" w:type="dxa"/>
            <w:tcBorders/>
            <w:vAlign w:val="center"/>
          </w:tcPr>
          <w:p>
            <w:pPr>
              <w:pStyle w:val="TableHeading"/>
              <w:suppressLineNumbers/>
              <w:shd w:fill="3A3A3C" w:val="clear"/>
              <w:bidi w:val="0"/>
              <w:jc w:val="start"/>
              <w:rPr/>
            </w:pPr>
            <w:r>
              <w:rPr/>
              <w:t>P2 — the moment</w:t>
            </w:r>
          </w:p>
        </w:tc>
        <w:tc>
          <w:tcPr>
            <w:tcW w:w="2147" w:type="dxa"/>
            <w:tcBorders/>
            <w:vAlign w:val="center"/>
          </w:tcPr>
          <w:p>
            <w:pPr>
              <w:pStyle w:val="TableHeading"/>
              <w:suppressLineNumbers/>
              <w:shd w:fill="3A3A3C" w:val="clear"/>
              <w:bidi w:val="0"/>
              <w:jc w:val="start"/>
              <w:rPr/>
            </w:pPr>
            <w:r>
              <w:rPr/>
              <w:t>P3 — portfolios</w:t>
            </w:r>
          </w:p>
        </w:tc>
      </w:tr>
      <w:tr>
        <w:trPr/>
        <w:tc>
          <w:tcPr>
            <w:tcW w:w="2424" w:type="dxa"/>
            <w:tcBorders/>
            <w:vAlign w:val="center"/>
          </w:tcPr>
          <w:p>
            <w:pPr>
              <w:pStyle w:val="TableContents"/>
              <w:widowControl w:val="false"/>
              <w:suppressLineNumbers/>
              <w:bidi w:val="0"/>
              <w:jc w:val="start"/>
              <w:rPr/>
            </w:pPr>
            <w:r>
              <w:rPr/>
              <w:t>Data exists and is published</w:t>
            </w:r>
          </w:p>
        </w:tc>
        <w:tc>
          <w:tcPr>
            <w:tcW w:w="2702" w:type="dxa"/>
            <w:tcBorders/>
            <w:vAlign w:val="center"/>
          </w:tcPr>
          <w:p>
            <w:pPr>
              <w:pStyle w:val="TableContents"/>
              <w:widowControl w:val="false"/>
              <w:suppressLineNumbers/>
              <w:bidi w:val="0"/>
              <w:jc w:val="start"/>
              <w:rPr/>
            </w:pPr>
            <w:r>
              <w:rPr/>
              <w:t>yes</w:t>
            </w:r>
          </w:p>
        </w:tc>
        <w:tc>
          <w:tcPr>
            <w:tcW w:w="2473" w:type="dxa"/>
            <w:tcBorders/>
            <w:vAlign w:val="center"/>
          </w:tcPr>
          <w:p>
            <w:pPr>
              <w:pStyle w:val="TableContents"/>
              <w:widowControl w:val="false"/>
              <w:suppressLineNumbers/>
              <w:bidi w:val="0"/>
              <w:jc w:val="start"/>
              <w:rPr/>
            </w:pPr>
            <w:r>
              <w:rPr/>
              <w:t>yes</w:t>
            </w:r>
          </w:p>
        </w:tc>
        <w:tc>
          <w:tcPr>
            <w:tcW w:w="2147" w:type="dxa"/>
            <w:tcBorders/>
            <w:vAlign w:val="center"/>
          </w:tcPr>
          <w:p>
            <w:pPr>
              <w:pStyle w:val="TableContents"/>
              <w:widowControl w:val="false"/>
              <w:suppressLineNumbers/>
              <w:bidi w:val="0"/>
              <w:jc w:val="start"/>
              <w:rPr/>
            </w:pPr>
            <w:r>
              <w:rPr/>
              <w:t>yes, separate dataset</w:t>
            </w:r>
          </w:p>
        </w:tc>
      </w:tr>
      <w:tr>
        <w:trPr/>
        <w:tc>
          <w:tcPr>
            <w:tcW w:w="2424" w:type="dxa"/>
            <w:tcBorders/>
            <w:vAlign w:val="center"/>
          </w:tcPr>
          <w:p>
            <w:pPr>
              <w:pStyle w:val="TableContents"/>
              <w:widowControl w:val="false"/>
              <w:suppressLineNumbers/>
              <w:bidi w:val="0"/>
              <w:jc w:val="start"/>
              <w:rPr/>
            </w:pPr>
            <w:r>
              <w:rPr/>
              <w:t>Users are reachable</w:t>
            </w:r>
          </w:p>
        </w:tc>
        <w:tc>
          <w:tcPr>
            <w:tcW w:w="2702" w:type="dxa"/>
            <w:tcBorders/>
            <w:vAlign w:val="center"/>
          </w:tcPr>
          <w:p>
            <w:pPr>
              <w:pStyle w:val="TableContents"/>
              <w:widowControl w:val="false"/>
              <w:suppressLineNumbers/>
              <w:bidi w:val="0"/>
              <w:jc w:val="start"/>
              <w:rPr/>
            </w:pPr>
            <w:r>
              <w:rPr/>
              <w:t>yes — hundreds, at named orgs</w:t>
            </w:r>
          </w:p>
        </w:tc>
        <w:tc>
          <w:tcPr>
            <w:tcW w:w="2473" w:type="dxa"/>
            <w:tcBorders/>
            <w:vAlign w:val="center"/>
          </w:tcPr>
          <w:p>
            <w:pPr>
              <w:pStyle w:val="TableContents"/>
              <w:widowControl w:val="false"/>
              <w:suppressLineNumbers/>
              <w:bidi w:val="0"/>
              <w:jc w:val="start"/>
              <w:rPr/>
            </w:pPr>
            <w:r>
              <w:rPr>
                <w:b/>
              </w:rPr>
              <w:t>no</w:t>
            </w:r>
            <w:r>
              <w:rPr/>
              <w:t xml:space="preserve"> — 1 in 75, unaddressable</w:t>
            </w:r>
          </w:p>
        </w:tc>
        <w:tc>
          <w:tcPr>
            <w:tcW w:w="2147" w:type="dxa"/>
            <w:tcBorders/>
            <w:vAlign w:val="center"/>
          </w:tcPr>
          <w:p>
            <w:pPr>
              <w:pStyle w:val="TableContents"/>
              <w:widowControl w:val="false"/>
              <w:suppressLineNumbers/>
              <w:bidi w:val="0"/>
              <w:jc w:val="start"/>
              <w:rPr/>
            </w:pPr>
            <w:r>
              <w:rPr/>
              <w:t>few, but reachable</w:t>
            </w:r>
          </w:p>
        </w:tc>
      </w:tr>
      <w:tr>
        <w:trPr/>
        <w:tc>
          <w:tcPr>
            <w:tcW w:w="2424" w:type="dxa"/>
            <w:tcBorders/>
            <w:vAlign w:val="center"/>
          </w:tcPr>
          <w:p>
            <w:pPr>
              <w:pStyle w:val="TableContents"/>
              <w:widowControl w:val="false"/>
              <w:suppressLineNumbers/>
              <w:bidi w:val="0"/>
              <w:jc w:val="start"/>
              <w:rPr/>
            </w:pPr>
            <w:r>
              <w:rPr/>
              <w:t>Known they would use it</w:t>
            </w:r>
          </w:p>
        </w:tc>
        <w:tc>
          <w:tcPr>
            <w:tcW w:w="2702" w:type="dxa"/>
            <w:tcBorders/>
            <w:vAlign w:val="center"/>
          </w:tcPr>
          <w:p>
            <w:pPr>
              <w:pStyle w:val="TableContents"/>
              <w:widowControl w:val="false"/>
              <w:suppressLineNumbers/>
              <w:bidi w:val="0"/>
              <w:jc w:val="start"/>
              <w:rPr/>
            </w:pPr>
            <w:r>
              <w:rPr/>
              <w:t>needs confirming</w:t>
            </w:r>
          </w:p>
        </w:tc>
        <w:tc>
          <w:tcPr>
            <w:tcW w:w="2473" w:type="dxa"/>
            <w:tcBorders/>
            <w:vAlign w:val="center"/>
          </w:tcPr>
          <w:p>
            <w:pPr>
              <w:pStyle w:val="TableContents"/>
              <w:bidi w:val="0"/>
              <w:jc w:val="start"/>
              <w:rPr>
                <w:b/>
              </w:rPr>
            </w:pPr>
            <w:r>
              <w:rPr>
                <w:b/>
              </w:rPr>
              <w:t>the open question</w:t>
            </w:r>
          </w:p>
        </w:tc>
        <w:tc>
          <w:tcPr>
            <w:tcW w:w="2147" w:type="dxa"/>
            <w:tcBorders/>
            <w:vAlign w:val="center"/>
          </w:tcPr>
          <w:p>
            <w:pPr>
              <w:pStyle w:val="TableContents"/>
              <w:widowControl w:val="false"/>
              <w:suppressLineNumbers/>
              <w:bidi w:val="0"/>
              <w:jc w:val="start"/>
              <w:rPr/>
            </w:pPr>
            <w:r>
              <w:rPr/>
              <w:t>inferred</w:t>
            </w:r>
          </w:p>
        </w:tc>
      </w:tr>
      <w:tr>
        <w:trPr/>
        <w:tc>
          <w:tcPr>
            <w:tcW w:w="2424" w:type="dxa"/>
            <w:tcBorders/>
            <w:vAlign w:val="center"/>
          </w:tcPr>
          <w:p>
            <w:pPr>
              <w:pStyle w:val="TableContents"/>
              <w:widowControl w:val="false"/>
              <w:suppressLineNumbers/>
              <w:bidi w:val="0"/>
              <w:jc w:val="start"/>
              <w:rPr/>
            </w:pPr>
            <w:r>
              <w:rPr/>
              <w:t>Closable this cycle</w:t>
            </w:r>
          </w:p>
        </w:tc>
        <w:tc>
          <w:tcPr>
            <w:tcW w:w="2702" w:type="dxa"/>
            <w:tcBorders/>
            <w:vAlign w:val="center"/>
          </w:tcPr>
          <w:p>
            <w:pPr>
              <w:pStyle w:val="TableContents"/>
              <w:widowControl w:val="false"/>
              <w:suppressLineNumbers/>
              <w:bidi w:val="0"/>
              <w:jc w:val="start"/>
              <w:rPr/>
            </w:pPr>
            <w:r>
              <w:rPr/>
              <w:t>yes — one ingest field</w:t>
            </w:r>
          </w:p>
        </w:tc>
        <w:tc>
          <w:tcPr>
            <w:tcW w:w="2473" w:type="dxa"/>
            <w:tcBorders/>
            <w:vAlign w:val="center"/>
          </w:tcPr>
          <w:p>
            <w:pPr>
              <w:pStyle w:val="TableContents"/>
              <w:widowControl w:val="false"/>
              <w:suppressLineNumbers/>
              <w:bidi w:val="0"/>
              <w:jc w:val="start"/>
              <w:rPr/>
            </w:pPr>
            <w:r>
              <w:rPr/>
              <w:t>no — a distribution problem</w:t>
            </w:r>
          </w:p>
        </w:tc>
        <w:tc>
          <w:tcPr>
            <w:tcW w:w="2147" w:type="dxa"/>
            <w:tcBorders/>
            <w:vAlign w:val="center"/>
          </w:tcPr>
          <w:p>
            <w:pPr>
              <w:pStyle w:val="TableContents"/>
              <w:widowControl w:val="false"/>
              <w:suppressLineNumbers/>
              <w:bidi w:val="0"/>
              <w:jc w:val="start"/>
              <w:rPr/>
            </w:pPr>
            <w:r>
              <w:rPr/>
              <w:t>new dataset plus a join</w:t>
            </w:r>
          </w:p>
        </w:tc>
      </w:tr>
    </w:tbl>
    <w:p>
      <w:pPr>
        <w:pStyle w:val="BodyText"/>
        <w:bidi w:val="0"/>
        <w:jc w:val="start"/>
        <w:rPr/>
      </w:pPr>
      <w:r>
        <w:rPr/>
        <w:t xml:space="preserve">Problem 2 is the mission, and it is a </w:t>
      </w:r>
      <w:r>
        <w:rPr>
          <w:b/>
        </w:rPr>
        <w:t>distribution</w:t>
      </w:r>
      <w:r>
        <w:rPr/>
        <w:t xml:space="preserve"> problem rather than a data one: the information is already legible on the card. Nothing in the ingest fixes it.</w:t>
      </w:r>
    </w:p>
    <w:p>
      <w:pPr>
        <w:pStyle w:val="BodyText"/>
        <w:bidi w:val="0"/>
        <w:jc w:val="start"/>
        <w:rPr/>
      </w:pPr>
      <w:r>
        <w:rPr/>
        <w:t xml:space="preserve">Problem 1 is a </w:t>
      </w:r>
      <w:r>
        <w:rPr>
          <w:b/>
        </w:rPr>
        <w:t>data</w:t>
      </w:r>
      <w:r>
        <w:rPr/>
        <w:t xml:space="preserve"> problem, closable by fetching a field the ingest currently skips, for users reachable with a phone list. It is also the problem the daily user has and the occasional user cannot articulate — a renter does not know to ask for violation descriptions, because they do not know the field exists.</w:t>
      </w:r>
    </w:p>
    <w:p>
      <w:pPr>
        <w:pStyle w:val="Heading3"/>
        <w:bidi w:val="0"/>
        <w:jc w:val="start"/>
        <w:rPr/>
      </w:pPr>
      <w:r>
        <w:rPr/>
        <w:t>The problem statement</w:t>
      </w:r>
    </w:p>
    <w:p>
      <w:pPr>
        <w:pStyle w:val="BlockQuotation"/>
        <w:bidi w:val="0"/>
        <w:jc w:val="start"/>
        <w:rPr/>
      </w:pPr>
      <w:r>
        <w:rPr/>
        <w:t>A tenant lawyer preparing a case can find out that a building has seven open hazardous violations, but not what they are, so they hand-copy conditions out of HPD Online for every client — even though the city already publishes the text.</w:t>
      </w:r>
    </w:p>
    <w:p>
      <w:pPr>
        <w:pStyle w:val="BodyText"/>
        <w:bidi w:val="0"/>
        <w:jc w:val="start"/>
        <w:rPr/>
      </w:pPr>
      <w:r>
        <w:rPr>
          <w:b/>
        </w:rPr>
        <w:t>What makes this buildable:</w:t>
      </w:r>
      <w:r>
        <w:rPr/>
        <w:t xml:space="preserve"> it names one person, one moment, one artefact that exists, and one specific missing step. It is falsifiable — if attorneys say the count is enough, the statement is wrong and I will have learned that cheaply.</w:t>
      </w:r>
    </w:p>
    <w:p>
      <w:pPr>
        <w:pStyle w:val="BodyText"/>
        <w:bidi w:val="0"/>
        <w:jc w:val="start"/>
        <w:rPr/>
      </w:pPr>
      <w:r>
        <w:rPr>
          <w:b/>
        </w:rPr>
        <w:t>What is still unresolved:</w:t>
      </w:r>
      <w:r>
        <w:rPr/>
        <w:t xml:space="preserve"> it sits at the very top of the alignment gradient from the Research Notes §6 — the group with the highest need and the least ability to pay. Choosing it improves the product without clarifying the business, which is a deliberate trade and not an oversight.</w:t>
      </w:r>
    </w:p>
    <w:p>
      <w:pPr>
        <w:pStyle w:val="HorizontalLine"/>
        <w:bidi w:val="0"/>
        <w:jc w:val="start"/>
        <w:rPr/>
      </w:pPr>
      <w:r>
        <w:rPr/>
      </w:r>
    </w:p>
    <w:p>
      <w:pPr>
        <w:pStyle w:val="Heading2"/>
        <w:bidi w:val="0"/>
        <w:jc w:val="start"/>
        <w:rPr/>
      </w:pPr>
      <w:r>
        <w:rPr/>
        <w:t>What this changes in the build</w:t>
      </w:r>
    </w:p>
    <w:tbl>
      <w:tblPr>
        <w:tblW w:w="5000" w:type="pct"/>
        <w:jc w:val="start"/>
        <w:tblInd w:w="0" w:type="dxa"/>
        <w:tblLayout w:type="fixed"/>
        <w:tblCellMar>
          <w:top w:w="90" w:type="dxa"/>
          <w:start w:w="90" w:type="dxa"/>
          <w:bottom w:w="90" w:type="dxa"/>
          <w:end w:w="90" w:type="dxa"/>
        </w:tblCellMar>
      </w:tblPr>
      <w:tblGrid>
        <w:gridCol w:w="2595"/>
        <w:gridCol w:w="2490"/>
        <w:gridCol w:w="4661"/>
      </w:tblGrid>
      <w:tr>
        <w:trPr/>
        <w:tc>
          <w:tcPr>
            <w:tcW w:w="2595" w:type="dxa"/>
            <w:tcBorders/>
            <w:vAlign w:val="center"/>
          </w:tcPr>
          <w:p>
            <w:pPr>
              <w:pStyle w:val="TableHeading"/>
              <w:bidi w:val="0"/>
              <w:jc w:val="start"/>
              <w:rPr>
                <w:sz w:val="4"/>
                <w:szCs w:val="4"/>
              </w:rPr>
            </w:pPr>
            <w:r>
              <w:rPr>
                <w:sz w:val="4"/>
                <w:szCs w:val="4"/>
              </w:rPr>
            </w:r>
          </w:p>
        </w:tc>
        <w:tc>
          <w:tcPr>
            <w:tcW w:w="2490" w:type="dxa"/>
            <w:tcBorders/>
            <w:vAlign w:val="center"/>
          </w:tcPr>
          <w:p>
            <w:pPr>
              <w:pStyle w:val="TableHeading"/>
              <w:suppressLineNumbers/>
              <w:shd w:fill="3A3A3C" w:val="clear"/>
              <w:bidi w:val="0"/>
              <w:jc w:val="start"/>
              <w:rPr/>
            </w:pPr>
            <w:r>
              <w:rPr/>
              <w:t>Status before this block</w:t>
            </w:r>
          </w:p>
        </w:tc>
        <w:tc>
          <w:tcPr>
            <w:tcW w:w="4661" w:type="dxa"/>
            <w:tcBorders/>
            <w:vAlign w:val="center"/>
          </w:tcPr>
          <w:p>
            <w:pPr>
              <w:pStyle w:val="TableHeading"/>
              <w:suppressLineNumbers/>
              <w:shd w:fill="3A3A3C" w:val="clear"/>
              <w:bidi w:val="0"/>
              <w:jc w:val="start"/>
              <w:rPr/>
            </w:pPr>
            <w:r>
              <w:rPr/>
              <w:t>After</w:t>
            </w:r>
          </w:p>
        </w:tc>
      </w:tr>
      <w:tr>
        <w:trPr/>
        <w:tc>
          <w:tcPr>
            <w:tcW w:w="2595" w:type="dxa"/>
            <w:tcBorders/>
            <w:vAlign w:val="center"/>
          </w:tcPr>
          <w:p>
            <w:pPr>
              <w:pStyle w:val="TableContents"/>
              <w:widowControl w:val="false"/>
              <w:suppressLineNumbers/>
              <w:bidi w:val="0"/>
              <w:jc w:val="start"/>
              <w:rPr/>
            </w:pPr>
            <w:r>
              <w:rPr/>
              <w:t>HPD violation descriptions</w:t>
            </w:r>
          </w:p>
        </w:tc>
        <w:tc>
          <w:tcPr>
            <w:tcW w:w="2490" w:type="dxa"/>
            <w:tcBorders/>
            <w:vAlign w:val="center"/>
          </w:tcPr>
          <w:p>
            <w:pPr>
              <w:pStyle w:val="TableContents"/>
              <w:widowControl w:val="false"/>
              <w:suppressLineNumbers/>
              <w:bidi w:val="0"/>
              <w:jc w:val="start"/>
              <w:rPr/>
            </w:pPr>
            <w:r>
              <w:rPr/>
              <w:t>listed as gap §4.5</w:t>
            </w:r>
          </w:p>
        </w:tc>
        <w:tc>
          <w:tcPr>
            <w:tcW w:w="4661" w:type="dxa"/>
            <w:tcBorders/>
            <w:vAlign w:val="center"/>
          </w:tcPr>
          <w:p>
            <w:pPr>
              <w:pStyle w:val="TableContents"/>
              <w:bidi w:val="0"/>
              <w:jc w:val="start"/>
              <w:rPr>
                <w:b/>
              </w:rPr>
            </w:pPr>
            <w:r>
              <w:rPr>
                <w:b/>
              </w:rPr>
              <w:t>committed — the problem statement rests on it</w:t>
            </w:r>
          </w:p>
        </w:tc>
      </w:tr>
      <w:tr>
        <w:trPr/>
        <w:tc>
          <w:tcPr>
            <w:tcW w:w="2595" w:type="dxa"/>
            <w:tcBorders/>
            <w:vAlign w:val="center"/>
          </w:tcPr>
          <w:p>
            <w:pPr>
              <w:pStyle w:val="TableContents"/>
              <w:widowControl w:val="false"/>
              <w:suppressLineNumbers/>
              <w:bidi w:val="0"/>
              <w:jc w:val="start"/>
              <w:rPr/>
            </w:pPr>
            <w:r>
              <w:rPr>
                <w:rStyle w:val="SourceText"/>
              </w:rPr>
              <w:t>Violation</w:t>
            </w:r>
            <w:r>
              <w:rPr/>
              <w:t xml:space="preserve"> struct</w:t>
            </w:r>
          </w:p>
        </w:tc>
        <w:tc>
          <w:tcPr>
            <w:tcW w:w="2490" w:type="dxa"/>
            <w:tcBorders/>
            <w:vAlign w:val="center"/>
          </w:tcPr>
          <w:p>
            <w:pPr>
              <w:pStyle w:val="TableContents"/>
              <w:widowControl w:val="false"/>
              <w:suppressLineNumbers/>
              <w:bidi w:val="0"/>
              <w:jc w:val="start"/>
              <w:rPr/>
            </w:pPr>
            <w:r>
              <w:rPr>
                <w:rStyle w:val="SourceText"/>
              </w:rPr>
              <w:t>{ class, open, year }</w:t>
            </w:r>
          </w:p>
        </w:tc>
        <w:tc>
          <w:tcPr>
            <w:tcW w:w="4661" w:type="dxa"/>
            <w:tcBorders/>
            <w:vAlign w:val="center"/>
          </w:tcPr>
          <w:p>
            <w:pPr>
              <w:pStyle w:val="TableContents"/>
              <w:widowControl w:val="false"/>
              <w:suppressLineNumbers/>
              <w:bidi w:val="0"/>
              <w:jc w:val="start"/>
              <w:rPr/>
            </w:pPr>
            <w:r>
              <w:rPr/>
              <w:t>needs a description field, and the ingest needs to fetch it</w:t>
            </w:r>
          </w:p>
        </w:tc>
      </w:tr>
      <w:tr>
        <w:trPr/>
        <w:tc>
          <w:tcPr>
            <w:tcW w:w="2595" w:type="dxa"/>
            <w:tcBorders/>
            <w:vAlign w:val="center"/>
          </w:tcPr>
          <w:p>
            <w:pPr>
              <w:pStyle w:val="TableContents"/>
              <w:widowControl w:val="false"/>
              <w:suppressLineNumbers/>
              <w:bidi w:val="0"/>
              <w:jc w:val="start"/>
              <w:rPr/>
            </w:pPr>
            <w:r>
              <w:rPr/>
              <w:t>Owner / portfolio dimension</w:t>
            </w:r>
          </w:p>
        </w:tc>
        <w:tc>
          <w:tcPr>
            <w:tcW w:w="2490" w:type="dxa"/>
            <w:tcBorders/>
            <w:vAlign w:val="center"/>
          </w:tcPr>
          <w:p>
            <w:pPr>
              <w:pStyle w:val="TableContents"/>
              <w:widowControl w:val="false"/>
              <w:suppressLineNumbers/>
              <w:bidi w:val="0"/>
              <w:jc w:val="start"/>
              <w:rPr/>
            </w:pPr>
            <w:r>
              <w:rPr/>
              <w:t>not identified as a gap</w:t>
            </w:r>
          </w:p>
        </w:tc>
        <w:tc>
          <w:tcPr>
            <w:tcW w:w="4661" w:type="dxa"/>
            <w:tcBorders/>
            <w:vAlign w:val="center"/>
          </w:tcPr>
          <w:p>
            <w:pPr>
              <w:pStyle w:val="TableContents"/>
              <w:widowControl w:val="false"/>
              <w:suppressLineNumbers/>
              <w:bidi w:val="0"/>
              <w:jc w:val="start"/>
              <w:rPr/>
            </w:pPr>
            <w:r>
              <w:rPr>
                <w:b/>
              </w:rPr>
              <w:t>new gap</w:t>
            </w:r>
            <w:r>
              <w:rPr/>
              <w:t xml:space="preserve"> — recorded, not committed</w:t>
            </w:r>
          </w:p>
        </w:tc>
      </w:tr>
      <w:tr>
        <w:trPr/>
        <w:tc>
          <w:tcPr>
            <w:tcW w:w="2595" w:type="dxa"/>
            <w:tcBorders/>
            <w:vAlign w:val="center"/>
          </w:tcPr>
          <w:p>
            <w:pPr>
              <w:pStyle w:val="TableContents"/>
              <w:widowControl w:val="false"/>
              <w:suppressLineNumbers/>
              <w:bidi w:val="0"/>
              <w:jc w:val="start"/>
              <w:rPr/>
            </w:pPr>
            <w:r>
              <w:rPr/>
              <w:t>Coverage past one district</w:t>
            </w:r>
          </w:p>
        </w:tc>
        <w:tc>
          <w:tcPr>
            <w:tcW w:w="2490" w:type="dxa"/>
            <w:tcBorders/>
            <w:vAlign w:val="center"/>
          </w:tcPr>
          <w:p>
            <w:pPr>
              <w:pStyle w:val="TableContents"/>
              <w:widowControl w:val="false"/>
              <w:suppressLineNumbers/>
              <w:bidi w:val="0"/>
              <w:jc w:val="start"/>
              <w:rPr/>
            </w:pPr>
            <w:r>
              <w:rPr/>
              <w:t>blocking for professionals</w:t>
            </w:r>
          </w:p>
        </w:tc>
        <w:tc>
          <w:tcPr>
            <w:tcW w:w="4661" w:type="dxa"/>
            <w:tcBorders/>
            <w:vAlign w:val="center"/>
          </w:tcPr>
          <w:p>
            <w:pPr>
              <w:pStyle w:val="TableContents"/>
              <w:widowControl w:val="false"/>
              <w:suppressLineNumbers/>
              <w:bidi w:val="0"/>
              <w:jc w:val="start"/>
              <w:rPr/>
            </w:pPr>
            <w:r>
              <w:rPr/>
              <w:t>unchanged, still blocking</w:t>
            </w:r>
          </w:p>
        </w:tc>
      </w:tr>
    </w:tbl>
    <w:p>
      <w:pPr>
        <w:pStyle w:val="HorizontalLine"/>
        <w:bidi w:val="0"/>
        <w:jc w:val="start"/>
        <w:rPr/>
      </w:pPr>
      <w:r>
        <w:rPr/>
      </w:r>
    </w:p>
    <w:p>
      <w:pPr>
        <w:pStyle w:val="Heading2"/>
        <w:bidi w:val="0"/>
        <w:jc w:val="start"/>
        <w:rPr/>
      </w:pPr>
      <w:r>
        <w:rPr/>
        <w:t>Open questions this block leaves</w:t>
      </w:r>
    </w:p>
    <w:p>
      <w:pPr>
        <w:pStyle w:val="BodyText"/>
        <w:numPr>
          <w:ilvl w:val="0"/>
          <w:numId w:val="2"/>
        </w:numPr>
        <w:tabs>
          <w:tab w:val="clear" w:pos="709"/>
          <w:tab w:val="left" w:pos="709" w:leader="none"/>
        </w:tabs>
        <w:bidi w:val="0"/>
        <w:spacing w:before="0" w:after="0"/>
        <w:ind w:hanging="283" w:start="709"/>
        <w:jc w:val="start"/>
        <w:rPr/>
      </w:pPr>
      <w:r>
        <w:rPr>
          <w:b/>
        </w:rPr>
        <w:t>The time cost of the manual pass.</w:t>
      </w:r>
      <w:r>
        <w:rPr/>
        <w:t xml:space="preserve"> The single most useful number I do not have. One conversation with a Legal Aid paralegal would produce it.</w:t>
      </w:r>
    </w:p>
    <w:p>
      <w:pPr>
        <w:pStyle w:val="BodyText"/>
        <w:numPr>
          <w:ilvl w:val="0"/>
          <w:numId w:val="2"/>
        </w:numPr>
        <w:tabs>
          <w:tab w:val="clear" w:pos="709"/>
          <w:tab w:val="left" w:pos="709" w:leader="none"/>
        </w:tabs>
        <w:bidi w:val="0"/>
        <w:spacing w:before="0" w:after="0"/>
        <w:ind w:hanging="283" w:start="709"/>
        <w:jc w:val="start"/>
        <w:rPr/>
      </w:pPr>
      <w:r>
        <w:rPr>
          <w:b/>
        </w:rPr>
        <w:t>Whether attorneys already have a workaround.</w:t>
      </w:r>
      <w:r>
        <w:rPr/>
        <w:t xml:space="preserve"> If a private tool exists, Problem 1 is much weaker than it looks from outside.</w:t>
      </w:r>
    </w:p>
    <w:p>
      <w:pPr>
        <w:pStyle w:val="BodyText"/>
        <w:numPr>
          <w:ilvl w:val="0"/>
          <w:numId w:val="2"/>
        </w:numPr>
        <w:tabs>
          <w:tab w:val="clear" w:pos="709"/>
          <w:tab w:val="left" w:pos="709" w:leader="none"/>
        </w:tabs>
        <w:bidi w:val="0"/>
        <w:spacing w:before="0" w:after="0"/>
        <w:ind w:hanging="283" w:start="709"/>
        <w:jc w:val="start"/>
        <w:rPr/>
      </w:pPr>
      <w:r>
        <w:rPr>
          <w:b/>
        </w:rPr>
        <w:t>Whether a renter acts on a bad score.</w:t>
      </w:r>
      <w:r>
        <w:rPr/>
        <w:t xml:space="preserve"> Carried forward unresolved from the Framing Notes; it governs whether Problem 2 is ever worth building for directly.</w:t>
      </w:r>
    </w:p>
    <w:p>
      <w:pPr>
        <w:pStyle w:val="BodyText"/>
        <w:numPr>
          <w:ilvl w:val="0"/>
          <w:numId w:val="2"/>
        </w:numPr>
        <w:tabs>
          <w:tab w:val="clear" w:pos="709"/>
          <w:tab w:val="left" w:pos="709" w:leader="none"/>
        </w:tabs>
        <w:bidi w:val="0"/>
        <w:ind w:hanging="283" w:start="709"/>
        <w:jc w:val="start"/>
        <w:rPr/>
      </w:pPr>
      <w:r>
        <w:rPr>
          <w:b/>
        </w:rPr>
        <w:t>Whether HPD's description text is usable as published</w:t>
      </w:r>
      <w:r>
        <w:rPr/>
        <w:t>, or needs normalising before it can be shown. Unknown until the field is actually fetched.</w:t>
      </w:r>
    </w:p>
    <w:p>
      <w:pPr>
        <w:pStyle w:val="HorizontalLine"/>
        <w:bidi w:val="0"/>
        <w:jc w:val="start"/>
        <w:rPr/>
      </w:pPr>
      <w:r>
        <w:rPr/>
      </w:r>
    </w:p>
    <w:p>
      <w:pPr>
        <w:pStyle w:val="Heading2"/>
        <w:bidi w:val="0"/>
        <w:jc w:val="start"/>
        <w:rPr/>
      </w:pPr>
      <w:r>
        <w:rPr/>
        <w:t>Sources</w:t>
      </w:r>
    </w:p>
    <w:p>
      <w:pPr>
        <w:pStyle w:val="BodyText"/>
        <w:bidi w:val="0"/>
        <w:jc w:val="start"/>
        <w:rPr/>
      </w:pPr>
      <w:r>
        <w:rPr/>
        <w:t>Figures reused from the Research Notes and Market Framing Notes in this folder; see those documents for full citation.</w:t>
      </w:r>
    </w:p>
    <w:p>
      <w:pPr>
        <w:pStyle w:val="BodyText"/>
        <w:numPr>
          <w:ilvl w:val="0"/>
          <w:numId w:val="3"/>
        </w:numPr>
        <w:tabs>
          <w:tab w:val="clear" w:pos="709"/>
          <w:tab w:val="left" w:pos="709" w:leader="none"/>
        </w:tabs>
        <w:bidi w:val="0"/>
        <w:spacing w:before="0" w:after="0"/>
        <w:ind w:hanging="283" w:start="709"/>
        <w:jc w:val="start"/>
        <w:rPr/>
      </w:pPr>
      <w:r>
        <w:rPr/>
        <w:t>1.41% rental vacancy, 33,210 units available — NYC HPD, 2023</w:t>
      </w:r>
    </w:p>
    <w:p>
      <w:pPr>
        <w:pStyle w:val="BodyText"/>
        <w:numPr>
          <w:ilvl w:val="0"/>
          <w:numId w:val="3"/>
        </w:numPr>
        <w:tabs>
          <w:tab w:val="clear" w:pos="709"/>
          <w:tab w:val="left" w:pos="709" w:leader="none"/>
        </w:tabs>
        <w:bidi w:val="0"/>
        <w:spacing w:before="0" w:after="0"/>
        <w:ind w:hanging="283" w:start="709"/>
        <w:jc w:val="start"/>
        <w:rPr/>
      </w:pPr>
      <w:r>
        <w:rPr/>
        <w:t>11.1M HPD violation records — NYC Open Data</w:t>
      </w:r>
    </w:p>
    <w:p>
      <w:pPr>
        <w:pStyle w:val="BodyText"/>
        <w:numPr>
          <w:ilvl w:val="0"/>
          <w:numId w:val="3"/>
        </w:numPr>
        <w:tabs>
          <w:tab w:val="clear" w:pos="709"/>
          <w:tab w:val="left" w:pos="709" w:leader="none"/>
        </w:tabs>
        <w:bidi w:val="0"/>
        <w:spacing w:before="0" w:after="0"/>
        <w:ind w:hanging="283" w:start="709"/>
        <w:jc w:val="start"/>
        <w:rPr/>
      </w:pPr>
      <w:r>
        <w:rPr/>
        <w:t>~1M rent-stabilised/controlled units, ~2.5M tenants — NYCHVS-derived</w:t>
      </w:r>
    </w:p>
    <w:p>
      <w:pPr>
        <w:pStyle w:val="BodyText"/>
        <w:numPr>
          <w:ilvl w:val="0"/>
          <w:numId w:val="3"/>
        </w:numPr>
        <w:tabs>
          <w:tab w:val="clear" w:pos="709"/>
          <w:tab w:val="left" w:pos="709" w:leader="none"/>
        </w:tabs>
        <w:bidi w:val="0"/>
        <w:spacing w:before="0" w:after="0"/>
        <w:ind w:hanging="283" w:start="709"/>
        <w:jc w:val="start"/>
        <w:rPr/>
      </w:pPr>
      <w:r>
        <w:rPr/>
        <w:t xml:space="preserve">Openigloo pivot to brokerage — </w:t>
      </w:r>
      <w:r>
        <w:rPr>
          <w:i/>
        </w:rPr>
        <w:t>The Real Deal</w:t>
      </w:r>
      <w:r>
        <w:rPr/>
        <w:t>, 28 Aug 2025</w:t>
      </w:r>
    </w:p>
    <w:p>
      <w:pPr>
        <w:pStyle w:val="BodyText"/>
        <w:numPr>
          <w:ilvl w:val="0"/>
          <w:numId w:val="3"/>
        </w:numPr>
        <w:tabs>
          <w:tab w:val="clear" w:pos="709"/>
          <w:tab w:val="left" w:pos="709" w:leader="none"/>
        </w:tabs>
        <w:bidi w:val="0"/>
        <w:spacing w:before="0" w:after="140"/>
        <w:ind w:hanging="283" w:start="709"/>
        <w:jc w:val="start"/>
        <w:rPr/>
      </w:pPr>
      <w:r>
        <w:rPr/>
        <w:t>Our own build: 250 buildings, 26,306 violations, one community district</w:t>
      </w:r>
    </w:p>
    <w:sectPr>
      <w:type w:val="nextPage"/>
      <w:pgSz w:w="12240" w:h="15840"/>
      <w:pgMar w:left="1247" w:right="1247" w:gutter="0" w:header="0" w:top="1134" w:footer="0" w:bottom="124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auto"/>
    <w:pitch w:val="default"/>
  </w:font>
  <w:font w:name="Segoe UI">
    <w:charset w:val="01" w:characterSet="utf-8"/>
    <w:family w:val="auto"/>
    <w:pitch w:val="default"/>
  </w:font>
  <w:font w:name="Consolas">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6"/>
    </w:pPr>
    <w:rPr>
      <w:rFonts w:ascii="Georgia" w:hAnsi="Georgia" w:eastAsia="Georgia" w:cs="Georgia"/>
      <w:color w:val="1C1C1E"/>
      <w:sz w:val="21"/>
      <w:szCs w:val="21"/>
      <w:lang w:val="en-US" w:eastAsia="zh-CN" w:bidi="hi-IN"/>
    </w:rPr>
  </w:style>
  <w:style w:type="paragraph" w:styleId="Heading1">
    <w:name w:val="heading 1"/>
    <w:basedOn w:val="Heading"/>
    <w:next w:val="BodyText"/>
    <w:qFormat/>
    <w:pPr>
      <w:keepNext w:val="true"/>
      <w:pageBreakBefore/>
      <w:spacing w:before="240" w:after="80"/>
      <w:outlineLvl w:val="0"/>
    </w:pPr>
    <w:rPr>
      <w:rFonts w:ascii="Segoe UI" w:hAnsi="Segoe UI" w:eastAsia="Segoe UI" w:cs="Segoe UI"/>
      <w:b/>
      <w:bCs/>
      <w:color w:val="1C1C1E"/>
      <w:sz w:val="40"/>
      <w:szCs w:val="40"/>
    </w:rPr>
  </w:style>
  <w:style w:type="paragraph" w:styleId="Heading2">
    <w:name w:val="heading 2"/>
    <w:basedOn w:val="Heading"/>
    <w:next w:val="BodyText"/>
    <w:qFormat/>
    <w:pPr>
      <w:keepNext w:val="true"/>
      <w:spacing w:before="320" w:after="80"/>
      <w:ind w:start="320" w:end="320"/>
      <w:outlineLvl w:val="1"/>
    </w:pPr>
    <w:rPr>
      <w:rFonts w:ascii="Segoe UI" w:hAnsi="Segoe UI" w:eastAsia="Segoe UI" w:cs="Segoe UI"/>
      <w:b/>
      <w:bCs/>
      <w:color w:val="3A3A3C"/>
      <w:sz w:val="27"/>
      <w:szCs w:val="27"/>
    </w:rPr>
  </w:style>
  <w:style w:type="paragraph" w:styleId="Heading3">
    <w:name w:val="heading 3"/>
    <w:basedOn w:val="Heading"/>
    <w:next w:val="BodyText"/>
    <w:qFormat/>
    <w:pPr>
      <w:keepNext w:val="true"/>
      <w:spacing w:before="240" w:after="60"/>
      <w:ind w:start="240" w:end="240"/>
      <w:outlineLvl w:val="2"/>
    </w:pPr>
    <w:rPr>
      <w:rFonts w:ascii="Segoe UI" w:hAnsi="Segoe UI" w:eastAsia="Segoe UI" w:cs="Segoe UI"/>
      <w:b/>
      <w:bCs/>
      <w:color w:val="3A3A3C"/>
      <w:sz w:val="23"/>
      <w:szCs w:val="23"/>
    </w:rPr>
  </w:style>
  <w:style w:type="character" w:styleId="SourceText">
    <w:name w:val="Source Text"/>
    <w:qFormat/>
    <w:rPr>
      <w:rFonts w:ascii="Consolas" w:hAnsi="Consolas" w:eastAsia="Consolas" w:cs="Consolas"/>
      <w:sz w:val="18"/>
      <w:szCs w:val="1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2A8440"/>
      <w:u w:val="single"/>
    </w:rPr>
  </w:style>
  <w:style w:type="character" w:styleId="FollowedHyperlink">
    <w:name w:val="FollowedHyperlink"/>
    <w:rPr>
      <w:color w:val="2A844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ing1first">
    <w:name w:val="Heading 1.first"/>
    <w:basedOn w:val="Heading1"/>
    <w:qFormat/>
    <w:pPr>
      <w:ind w:hanging="0" w:start="0"/>
      <w:outlineLvl w:val="9"/>
    </w:pPr>
    <w:rPr/>
  </w:style>
  <w:style w:type="paragraph" w:styleId="PreformattedText">
    <w:name w:val="Preformatted Text"/>
    <w:basedOn w:val="Normal"/>
    <w:qFormat/>
    <w:pPr>
      <w:pBdr>
        <w:left w:val="single" w:sz="24" w:space="9" w:color="2A8440"/>
      </w:pBdr>
      <w:shd w:fill="F0F0F2" w:val="clear"/>
      <w:spacing w:lineRule="auto" w:line="324" w:before="160" w:after="160"/>
      <w:ind w:start="160" w:end="160"/>
    </w:pPr>
    <w:rPr>
      <w:rFonts w:ascii="Consolas" w:hAnsi="Consolas" w:eastAsia="Consolas" w:cs="Consolas"/>
      <w:color w:val="1C1C1E"/>
      <w:sz w:val="17"/>
      <w:szCs w:val="17"/>
    </w:rPr>
  </w:style>
  <w:style w:type="paragraph" w:styleId="BlockQuotation">
    <w:name w:val="Block Quotation"/>
    <w:basedOn w:val="Normal"/>
    <w:qFormat/>
    <w:pPr>
      <w:pBdr>
        <w:left w:val="single" w:sz="24" w:space="12" w:color="2A8440"/>
      </w:pBdr>
      <w:shd w:fill="D7D7D9" w:val="clear"/>
      <w:spacing w:before="160" w:after="160"/>
      <w:ind w:hanging="0" w:start="160" w:end="160"/>
    </w:pPr>
    <w:rPr>
      <w:i w:val="false"/>
      <w:iCs w:val="false"/>
      <w:caps w:val="false"/>
      <w:smallCaps w:val="false"/>
    </w:rPr>
  </w:style>
  <w:style w:type="paragraph" w:styleId="BodyTexteyebrow">
    <w:name w:val="Body Text.eyebrow"/>
    <w:basedOn w:val="BodyText"/>
    <w:qFormat/>
    <w:pPr>
      <w:spacing w:before="0" w:after="120"/>
    </w:pPr>
    <w:rPr>
      <w:rFonts w:ascii="Segoe UI" w:hAnsi="Segoe UI" w:eastAsia="Segoe UI" w:cs="Segoe UI"/>
      <w:color w:val="6A6A72"/>
      <w:spacing w:val="28"/>
      <w:sz w:val="16"/>
      <w:szCs w:val="16"/>
    </w:rPr>
  </w:style>
  <w:style w:type="paragraph" w:styleId="BodyTextcover-h">
    <w:name w:val="Body Text.cover-h"/>
    <w:basedOn w:val="BodyText"/>
    <w:qFormat/>
    <w:pPr>
      <w:spacing w:before="0" w:after="160"/>
    </w:pPr>
    <w:rPr>
      <w:rFonts w:ascii="Segoe UI" w:hAnsi="Segoe UI" w:eastAsia="Segoe UI" w:cs="Segoe UI"/>
      <w:color w:val="1C1C1E"/>
      <w:sz w:val="60"/>
      <w:szCs w:val="60"/>
    </w:rPr>
  </w:style>
  <w:style w:type="paragraph" w:styleId="BodyTextlede">
    <w:name w:val="Body Text.lede"/>
    <w:basedOn w:val="BodyText"/>
    <w:qFormat/>
    <w:pPr>
      <w:spacing w:before="0" w:after="280"/>
    </w:pPr>
    <w:rPr>
      <w:color w:val="3A3A3C"/>
      <w:sz w:val="24"/>
      <w:szCs w:val="24"/>
    </w:rPr>
  </w:style>
  <w:style w:type="paragraph" w:styleId="BodyTextmeta">
    <w:name w:val="Body Text.meta"/>
    <w:basedOn w:val="BodyText"/>
    <w:qFormat/>
    <w:pPr>
      <w:spacing w:before="0" w:after="60"/>
    </w:pPr>
    <w:rPr>
      <w:rFonts w:ascii="Segoe UI" w:hAnsi="Segoe UI" w:eastAsia="Segoe UI" w:cs="Segoe UI"/>
      <w:color w:val="6A6A72"/>
      <w:sz w:val="17"/>
      <w:szCs w:val="17"/>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3A3A3C" w:val="clear"/>
      <w:jc w:val="start"/>
    </w:pPr>
    <w:rPr>
      <w:b/>
      <w:bCs/>
      <w:color w:val="F5F5F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 Count Is Not the Argument — HouseCheck problem definition notes</dc:title>
</cp:coreProperties>
</file>

<file path=docProps/custom.xml><?xml version="1.0" encoding="utf-8"?>
<Properties xmlns="http://schemas.openxmlformats.org/officeDocument/2006/custom-properties" xmlns:vt="http://schemas.openxmlformats.org/officeDocument/2006/docPropsVTypes"/>
</file>