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B5" w:rsidRPr="00A868E5" w:rsidRDefault="004625B5" w:rsidP="004625B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4625B5" w:rsidRPr="00A868E5" w:rsidRDefault="004625B5" w:rsidP="004625B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4625B5" w:rsidRPr="00A868E5" w:rsidRDefault="004625B5" w:rsidP="004625B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4625B5" w:rsidRPr="00092AD6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 xml:space="preserve">з </w:t>
      </w:r>
      <w:r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лабораторної роботи №1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4625B5" w:rsidRPr="00A868E5" w:rsidRDefault="00F04304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Тема: «</w:t>
      </w:r>
      <w:r w:rsidRPr="00AD5D6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Методи прогнозування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</w:t>
      </w: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4625B5" w:rsidRPr="00A868E5" w:rsidRDefault="004625B5" w:rsidP="004625B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>Здобуття практичних навичок з побудо</w:t>
      </w:r>
      <w:r>
        <w:rPr>
          <w:rFonts w:ascii="Times New Roman" w:hAnsi="Times New Roman"/>
          <w:szCs w:val="24"/>
          <w:lang w:val="uk-UA"/>
        </w:rPr>
        <w:t xml:space="preserve">ви прогнозів </w:t>
      </w:r>
      <w:r w:rsidRPr="004625B5">
        <w:rPr>
          <w:rFonts w:ascii="Times New Roman" w:hAnsi="Times New Roman"/>
          <w:szCs w:val="24"/>
          <w:lang w:val="uk-UA"/>
        </w:rPr>
        <w:t>на основі наївної моделі (НМ) з модифікаціями (НММ1 та НММ2</w:t>
      </w:r>
      <w:r w:rsidR="003055A1">
        <w:rPr>
          <w:rFonts w:ascii="Times New Roman" w:hAnsi="Times New Roman"/>
          <w:szCs w:val="24"/>
          <w:lang w:val="uk-UA"/>
        </w:rPr>
        <w:t>).</w:t>
      </w:r>
      <w:r w:rsidRPr="00A868E5">
        <w:rPr>
          <w:rFonts w:ascii="Times New Roman" w:hAnsi="Times New Roman"/>
          <w:szCs w:val="24"/>
          <w:lang w:val="uk-UA"/>
        </w:rPr>
        <w:t xml:space="preserve"> Оцінка точності побудови прогнозів за множиною показників. Проведення порівняльного аналізу ефективності досліджуваних методів </w:t>
      </w:r>
      <w:r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Індивідуальні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4625B5" w:rsidRPr="00A76DEB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Опис моделей</w:t>
      </w: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Опис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наївної</w:t>
      </w: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моделі</w:t>
      </w: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625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При створенні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«</w:t>
      </w:r>
      <w:r w:rsidRPr="004625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наївних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»</w:t>
      </w:r>
      <w:r w:rsidRPr="004625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моделей передбачається, що деякий основний період прогнозованого тимчасового ряду краще всього описує майбутнє цього прогнозованого ряду, тому в цих моделях прогноз, як правило, є дуже простою функцією від значень прогнозованої змінної в недалекому минулому.</w:t>
      </w:r>
    </w:p>
    <w:p w:rsidR="004625B5" w:rsidRP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625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Цей метод має такий вигляд:</w:t>
      </w:r>
    </w:p>
    <w:p w:rsidR="004625B5" w:rsidRPr="004625B5" w:rsidRDefault="00374E91" w:rsidP="004625B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</m:sSub>
      </m:oMath>
      <w:r w:rsidR="004625B5" w:rsidRPr="004625B5">
        <w:rPr>
          <w:rFonts w:ascii="Times New Roman" w:hAnsi="Times New Roman" w:cs="Times New Roman"/>
          <w:sz w:val="24"/>
          <w:szCs w:val="28"/>
        </w:rPr>
        <w:t xml:space="preserve">.                                                </w:t>
      </w:r>
      <w:r w:rsidR="004625B5">
        <w:rPr>
          <w:rFonts w:ascii="Times New Roman" w:hAnsi="Times New Roman" w:cs="Times New Roman"/>
          <w:sz w:val="24"/>
          <w:szCs w:val="28"/>
        </w:rPr>
        <w:tab/>
      </w:r>
      <w:r w:rsidR="004625B5">
        <w:rPr>
          <w:rFonts w:ascii="Times New Roman" w:hAnsi="Times New Roman" w:cs="Times New Roman"/>
          <w:sz w:val="24"/>
          <w:szCs w:val="28"/>
        </w:rPr>
        <w:tab/>
      </w:r>
      <w:r w:rsidR="004625B5" w:rsidRPr="004625B5">
        <w:rPr>
          <w:rFonts w:ascii="Times New Roman" w:hAnsi="Times New Roman" w:cs="Times New Roman"/>
          <w:sz w:val="24"/>
          <w:szCs w:val="28"/>
        </w:rPr>
        <w:t>(2.1)</w:t>
      </w: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Опис </w:t>
      </w:r>
      <w:r w:rsidRPr="004625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наївної моделі (модифікація 1) та наївної моделі (модифікація 2)</w:t>
      </w:r>
    </w:p>
    <w:p w:rsidR="004625B5" w:rsidRP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625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Якщо значення величини змінюється з часом, то її називають нестаціонарною, або має тренд. Рівняння наївною моделі дає дуже низьку ступінь передбачення. </w:t>
      </w:r>
    </w:p>
    <w:p w:rsidR="004625B5" w:rsidRP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625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Дану методику можна пристосувати до обліку можливого </w:t>
      </w:r>
      <w:proofErr w:type="spellStart"/>
      <w:r w:rsidRPr="004625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тренда</w:t>
      </w:r>
      <w:proofErr w:type="spellEnd"/>
      <w:r w:rsidRPr="004625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приплюсувавши різницю між поточним і попереднім періодами. Метод наївної моделі (модифікація 1) (НММ1) має такий вигляд:</w:t>
      </w:r>
    </w:p>
    <w:p w:rsidR="004625B5" w:rsidRPr="004625B5" w:rsidRDefault="00374E91" w:rsidP="004625B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t-1</m:t>
                </m:r>
              </m:sub>
            </m:sSub>
          </m:e>
        </m:d>
      </m:oMath>
      <w:r w:rsidR="004625B5" w:rsidRPr="004625B5">
        <w:rPr>
          <w:rFonts w:ascii="Times New Roman" w:hAnsi="Times New Roman" w:cs="Times New Roman"/>
          <w:sz w:val="24"/>
          <w:szCs w:val="28"/>
        </w:rPr>
        <w:t xml:space="preserve">.                                      </w:t>
      </w:r>
      <w:r w:rsidR="004625B5">
        <w:rPr>
          <w:rFonts w:ascii="Times New Roman" w:hAnsi="Times New Roman" w:cs="Times New Roman"/>
          <w:sz w:val="24"/>
          <w:szCs w:val="28"/>
        </w:rPr>
        <w:tab/>
      </w:r>
      <w:r w:rsidR="004625B5" w:rsidRPr="004625B5">
        <w:rPr>
          <w:rFonts w:ascii="Times New Roman" w:hAnsi="Times New Roman" w:cs="Times New Roman"/>
          <w:sz w:val="24"/>
          <w:szCs w:val="28"/>
        </w:rPr>
        <w:t xml:space="preserve"> (</w:t>
      </w:r>
      <w:r w:rsidR="004625B5">
        <w:rPr>
          <w:rFonts w:ascii="Times New Roman" w:hAnsi="Times New Roman" w:cs="Times New Roman"/>
          <w:sz w:val="24"/>
          <w:szCs w:val="28"/>
        </w:rPr>
        <w:t>2</w:t>
      </w:r>
      <w:r w:rsidR="004625B5" w:rsidRPr="004625B5">
        <w:rPr>
          <w:rFonts w:ascii="Times New Roman" w:hAnsi="Times New Roman" w:cs="Times New Roman"/>
          <w:sz w:val="24"/>
          <w:szCs w:val="28"/>
        </w:rPr>
        <w:t>.1)</w:t>
      </w:r>
    </w:p>
    <w:p w:rsidR="004625B5" w:rsidRDefault="004625B5" w:rsidP="004625B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25B5" w:rsidRP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625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Іноді знання швидкості зміни може виявитися кращим, ніж знання абсолютної величини зміни. У цьому випадку метод наївної моделі (модифікація 2) (НММ2) має наступний вигляд:</w:t>
      </w:r>
    </w:p>
    <w:p w:rsidR="004625B5" w:rsidRPr="004625B5" w:rsidRDefault="00374E91" w:rsidP="004625B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t-1</m:t>
                </m:r>
              </m:sub>
            </m:sSub>
          </m:den>
        </m:f>
      </m:oMath>
      <w:r w:rsidR="004625B5" w:rsidRPr="004625B5">
        <w:rPr>
          <w:rFonts w:ascii="Times New Roman" w:hAnsi="Times New Roman" w:cs="Times New Roman"/>
          <w:sz w:val="24"/>
          <w:szCs w:val="28"/>
        </w:rPr>
        <w:t xml:space="preserve">.                     </w:t>
      </w:r>
      <w:r w:rsidR="004625B5">
        <w:rPr>
          <w:rFonts w:ascii="Times New Roman" w:hAnsi="Times New Roman" w:cs="Times New Roman"/>
          <w:sz w:val="24"/>
          <w:szCs w:val="28"/>
        </w:rPr>
        <w:tab/>
      </w:r>
      <w:r w:rsidR="004625B5">
        <w:rPr>
          <w:rFonts w:ascii="Times New Roman" w:hAnsi="Times New Roman" w:cs="Times New Roman"/>
          <w:sz w:val="24"/>
          <w:szCs w:val="28"/>
        </w:rPr>
        <w:tab/>
      </w:r>
      <w:r w:rsidR="004625B5" w:rsidRPr="004625B5">
        <w:rPr>
          <w:rFonts w:ascii="Times New Roman" w:hAnsi="Times New Roman" w:cs="Times New Roman"/>
          <w:sz w:val="24"/>
          <w:szCs w:val="28"/>
        </w:rPr>
        <w:t xml:space="preserve">                         (</w:t>
      </w:r>
      <w:r w:rsidR="004625B5">
        <w:rPr>
          <w:rFonts w:ascii="Times New Roman" w:hAnsi="Times New Roman" w:cs="Times New Roman"/>
          <w:sz w:val="24"/>
          <w:szCs w:val="28"/>
        </w:rPr>
        <w:t>2</w:t>
      </w:r>
      <w:r w:rsidR="004625B5" w:rsidRPr="004625B5">
        <w:rPr>
          <w:rFonts w:ascii="Times New Roman" w:hAnsi="Times New Roman" w:cs="Times New Roman"/>
          <w:sz w:val="24"/>
          <w:szCs w:val="28"/>
        </w:rPr>
        <w:t>.2)</w:t>
      </w:r>
    </w:p>
    <w:p w:rsidR="004625B5" w:rsidRPr="001860AB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Завдання 3. Програмна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реалізація моделей. </w:t>
      </w:r>
    </w:p>
    <w:p w:rsidR="004625B5" w:rsidRPr="005A29F6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еалізація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наївної</w:t>
      </w: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моделі</w:t>
      </w:r>
    </w:p>
    <w:p w:rsidR="004625B5" w:rsidRPr="005A29F6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A29F6">
        <w:rPr>
          <w:rFonts w:ascii="Times New Roman" w:hAnsi="Times New Roman" w:cs="Times New Roman"/>
          <w:sz w:val="24"/>
          <w:szCs w:val="28"/>
        </w:rPr>
        <w:t xml:space="preserve">На 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5A29F6">
        <w:rPr>
          <w:rFonts w:ascii="Times New Roman" w:hAnsi="Times New Roman" w:cs="Times New Roman"/>
          <w:sz w:val="24"/>
          <w:szCs w:val="28"/>
        </w:rPr>
        <w:t xml:space="preserve">.1, наведена ілюстрація програмної реалізації </w:t>
      </w:r>
      <w:r w:rsidR="00BA001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наївної</w:t>
      </w:r>
      <w:r w:rsidR="00BA0012"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моделі</w:t>
      </w:r>
      <w:r>
        <w:rPr>
          <w:rFonts w:ascii="Times New Roman" w:hAnsi="Times New Roman" w:cs="Times New Roman"/>
          <w:sz w:val="24"/>
          <w:szCs w:val="28"/>
        </w:rPr>
        <w:t xml:space="preserve">, де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5A29F6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вхідні дані</w:t>
      </w:r>
      <w:r w:rsidRPr="005A29F6">
        <w:rPr>
          <w:rFonts w:ascii="Times New Roman" w:hAnsi="Times New Roman" w:cs="Times New Roman"/>
          <w:sz w:val="24"/>
          <w:szCs w:val="28"/>
        </w:rPr>
        <w:t>.</w:t>
      </w:r>
    </w:p>
    <w:p w:rsidR="004625B5" w:rsidRPr="00F73EAF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429027" wp14:editId="2BA0DFEB">
            <wp:extent cx="5940425" cy="1254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B5" w:rsidRPr="00F14EB5" w:rsidRDefault="004625B5" w:rsidP="004625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>Рисунок 3.1 —</w:t>
      </w:r>
      <w:r w:rsidRPr="00F14EB5">
        <w:rPr>
          <w:rFonts w:ascii="Arial" w:hAnsi="Arial" w:cs="Arial"/>
          <w:color w:val="545454"/>
          <w:sz w:val="20"/>
          <w:szCs w:val="21"/>
          <w:shd w:val="clear" w:color="auto" w:fill="FFFFFF"/>
        </w:rPr>
        <w:t xml:space="preserve"> </w:t>
      </w:r>
      <w:r w:rsidRPr="00F14EB5">
        <w:rPr>
          <w:rFonts w:ascii="Times New Roman" w:hAnsi="Times New Roman" w:cs="Times New Roman"/>
          <w:sz w:val="24"/>
          <w:szCs w:val="28"/>
        </w:rPr>
        <w:t xml:space="preserve">Графічна ілюстрація програмної реалізації </w:t>
      </w:r>
      <w:r w:rsidR="00BA001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наївної</w:t>
      </w:r>
      <w:r w:rsidR="00BA0012"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моделі</w:t>
      </w:r>
      <w:r w:rsidRPr="00F14EB5">
        <w:rPr>
          <w:rFonts w:ascii="Times New Roman" w:hAnsi="Times New Roman" w:cs="Times New Roman"/>
          <w:sz w:val="24"/>
          <w:szCs w:val="28"/>
        </w:rPr>
        <w:t>.</w:t>
      </w:r>
    </w:p>
    <w:p w:rsidR="004625B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4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Отримання результатів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досліджень</w:t>
      </w:r>
    </w:p>
    <w:p w:rsidR="004625B5" w:rsidRPr="00F14EB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 досліджень наведені на рис. 4.1.</w:t>
      </w:r>
    </w:p>
    <w:p w:rsidR="004625B5" w:rsidRPr="00312CDC" w:rsidRDefault="00484A3F" w:rsidP="004625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A3F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69BACCD" wp14:editId="58EACA0A">
            <wp:extent cx="5353797" cy="4820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B5" w:rsidRPr="00F14EB5" w:rsidRDefault="004625B5" w:rsidP="004625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F14EB5">
        <w:rPr>
          <w:rFonts w:ascii="Times New Roman" w:hAnsi="Times New Roman" w:cs="Times New Roman"/>
          <w:sz w:val="24"/>
          <w:szCs w:val="28"/>
          <w:lang w:val="ru-RU"/>
        </w:rPr>
        <w:t>4</w:t>
      </w:r>
      <w:r w:rsidRPr="00F14EB5">
        <w:rPr>
          <w:rFonts w:ascii="Times New Roman" w:hAnsi="Times New Roman" w:cs="Times New Roman"/>
          <w:sz w:val="24"/>
          <w:szCs w:val="28"/>
        </w:rPr>
        <w:t>.1 – Графічна ілюстрація заданого часового ряду та прогн</w:t>
      </w:r>
      <w:r w:rsidR="00312CDC">
        <w:rPr>
          <w:rFonts w:ascii="Times New Roman" w:hAnsi="Times New Roman" w:cs="Times New Roman"/>
          <w:sz w:val="24"/>
          <w:szCs w:val="28"/>
        </w:rPr>
        <w:t>озування, створеного на основі НМ, Н</w:t>
      </w:r>
      <w:r w:rsidRPr="00F14EB5">
        <w:rPr>
          <w:rFonts w:ascii="Times New Roman" w:hAnsi="Times New Roman" w:cs="Times New Roman"/>
          <w:sz w:val="24"/>
          <w:szCs w:val="28"/>
        </w:rPr>
        <w:t>М</w:t>
      </w:r>
      <w:r w:rsidR="00312CDC">
        <w:rPr>
          <w:rFonts w:ascii="Times New Roman" w:hAnsi="Times New Roman" w:cs="Times New Roman"/>
          <w:sz w:val="24"/>
          <w:szCs w:val="28"/>
        </w:rPr>
        <w:t>М1</w:t>
      </w:r>
      <w:r w:rsidRPr="00F14EB5">
        <w:rPr>
          <w:rFonts w:ascii="Times New Roman" w:hAnsi="Times New Roman" w:cs="Times New Roman"/>
          <w:sz w:val="24"/>
          <w:szCs w:val="28"/>
        </w:rPr>
        <w:t xml:space="preserve"> та </w:t>
      </w:r>
      <w:r w:rsidR="00312CDC">
        <w:rPr>
          <w:rFonts w:ascii="Times New Roman" w:hAnsi="Times New Roman" w:cs="Times New Roman"/>
          <w:sz w:val="24"/>
          <w:szCs w:val="28"/>
        </w:rPr>
        <w:t>Н</w:t>
      </w:r>
      <w:r w:rsidRPr="00F14EB5">
        <w:rPr>
          <w:rFonts w:ascii="Times New Roman" w:hAnsi="Times New Roman" w:cs="Times New Roman"/>
          <w:sz w:val="24"/>
          <w:szCs w:val="28"/>
        </w:rPr>
        <w:t>М</w:t>
      </w:r>
      <w:r w:rsidR="00312CDC">
        <w:rPr>
          <w:rFonts w:ascii="Times New Roman" w:hAnsi="Times New Roman" w:cs="Times New Roman"/>
          <w:sz w:val="24"/>
          <w:szCs w:val="28"/>
        </w:rPr>
        <w:t>М2</w:t>
      </w:r>
    </w:p>
    <w:p w:rsidR="004625B5" w:rsidRPr="00F14EB5" w:rsidRDefault="004625B5" w:rsidP="004625B5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4625B5" w:rsidRPr="008E0DFC" w:rsidRDefault="004625B5" w:rsidP="00462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25B5" w:rsidRPr="001860AB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>Оцінка точності прогнозів проводиться за такими ознаками: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Помилка прогнозу:</w:t>
      </w:r>
    </w:p>
    <w:p w:rsidR="004625B5" w:rsidRPr="001860AB" w:rsidRDefault="00374E91" w:rsidP="004625B5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.</m:t>
        </m:r>
      </m:oMath>
      <w:r w:rsidR="004625B5"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>
        <w:rPr>
          <w:rFonts w:ascii="Times New Roman" w:hAnsi="Times New Roman" w:cs="Times New Roman"/>
          <w:sz w:val="20"/>
          <w:lang w:val="uk-UA"/>
        </w:rPr>
        <w:tab/>
        <w:t xml:space="preserve">    </w:t>
      </w:r>
      <w:r w:rsidR="004625B5" w:rsidRPr="001860AB">
        <w:rPr>
          <w:rFonts w:ascii="Times New Roman" w:hAnsi="Times New Roman" w:cs="Times New Roman"/>
          <w:sz w:val="24"/>
          <w:szCs w:val="28"/>
          <w:lang w:val="uk-UA"/>
        </w:rPr>
        <w:t>(5.1)</w:t>
      </w:r>
    </w:p>
    <w:p w:rsidR="004625B5" w:rsidRPr="001860AB" w:rsidRDefault="004625B5" w:rsidP="004625B5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Абсолютна помилка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–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.</m:t>
        </m:r>
      </m:oMath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(5.2) 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абсолютна помилка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lastRenderedPageBreak/>
        <w:t xml:space="preserve">     MAE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∣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∣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N</m:t>
                </m:r>
              </m:den>
            </m:f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</m:oMath>
      <w:r w:rsidR="00374E91">
        <w:rPr>
          <w:rFonts w:ascii="Times New Roman" w:hAnsi="Times New Roman" w:cs="Times New Roman"/>
          <w:sz w:val="28"/>
          <w:szCs w:val="32"/>
        </w:rPr>
        <w:t xml:space="preserve"> </w:t>
      </w:r>
      <w:r w:rsidR="00374E91">
        <w:rPr>
          <w:rFonts w:ascii="Times New Roman" w:hAnsi="Times New Roman" w:cs="Times New Roman"/>
          <w:sz w:val="28"/>
          <w:szCs w:val="32"/>
          <w:lang w:val="en-US"/>
        </w:rPr>
        <w:t>.</w:t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1860AB">
        <w:rPr>
          <w:rFonts w:ascii="Times New Roman" w:hAnsi="Times New Roman" w:cs="Times New Roman"/>
          <w:sz w:val="24"/>
          <w:szCs w:val="28"/>
        </w:rPr>
        <w:t>(5.3)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Відносна похибка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8"/>
          </w:rPr>
          <m:t>ε</m:t>
        </m:r>
      </m:oMath>
      <w:r w:rsidRPr="001860AB">
        <w:rPr>
          <w:rFonts w:ascii="Times New Roman" w:hAnsi="Times New Roman" w:cs="Times New Roman"/>
          <w:sz w:val="24"/>
          <w:szCs w:val="28"/>
          <w:vertAlign w:val="subscript"/>
        </w:rPr>
        <w:t>j</w:t>
      </w:r>
      <w:r w:rsidRPr="001860AB">
        <w:rPr>
          <w:rFonts w:ascii="Times New Roman" w:hAnsi="Times New Roman" w:cs="Times New Roman"/>
          <w:sz w:val="24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 xml:space="preserve">|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j</m:t>
                    </m:r>
                  </m:sub>
                </m:sSub>
              </m:den>
            </m:f>
          </m:e>
        </m:d>
      </m:oMath>
      <w:r w:rsidR="00374E91">
        <w:rPr>
          <w:rFonts w:ascii="Times New Roman" w:hAnsi="Times New Roman" w:cs="Times New Roman"/>
          <w:sz w:val="24"/>
          <w:szCs w:val="28"/>
        </w:rPr>
        <w:t xml:space="preserve"> ∙ 100</w:t>
      </w:r>
      <w:r w:rsidR="00374E91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(5.4)  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Середня абсолютна відсоткова помилка: 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MAPE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den>
        </m:f>
      </m:oMath>
      <w:r w:rsidRPr="001860AB">
        <w:rPr>
          <w:rFonts w:ascii="Times New Roman" w:hAnsi="Times New Roman" w:cs="Times New Roman"/>
          <w:sz w:val="28"/>
          <w:szCs w:val="32"/>
        </w:rPr>
        <w:t xml:space="preserve"> ∙</w:t>
      </w:r>
      <m:oMath>
        <m:r>
          <w:rPr>
            <w:rFonts w:ascii="Cambria Math" w:hAnsi="Cambria Math" w:cs="Times New Roman"/>
            <w:sz w:val="28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d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>∙</w:t>
      </w:r>
      <w:r w:rsidR="00374E91">
        <w:rPr>
          <w:rFonts w:ascii="Times New Roman" w:eastAsiaTheme="minorEastAsia" w:hAnsi="Times New Roman" w:cs="Times New Roman"/>
          <w:sz w:val="24"/>
          <w:szCs w:val="28"/>
        </w:rPr>
        <w:t xml:space="preserve"> 100%</w:t>
      </w:r>
      <w:r w:rsidR="00374E91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  <w:r w:rsidR="00374E91">
        <w:rPr>
          <w:rFonts w:ascii="Times New Roman" w:eastAsiaTheme="minorEastAsia" w:hAnsi="Times New Roman" w:cs="Times New Roman"/>
          <w:sz w:val="24"/>
          <w:szCs w:val="28"/>
          <w:lang w:val="en-US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(5.5)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відсоткова помилка: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MPE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  <m:r>
          <w:rPr>
            <w:rFonts w:ascii="Cambria Math" w:hAnsi="Cambria Math" w:cs="Times New Roman"/>
            <w:sz w:val="24"/>
            <w:szCs w:val="28"/>
          </w:rPr>
          <m:t>∙</m:t>
        </m:r>
        <m:r>
          <w:rPr>
            <w:rFonts w:ascii="Cambria Math" w:hAnsi="Times New Roman" w:cs="Times New Roman"/>
            <w:sz w:val="24"/>
            <w:szCs w:val="28"/>
          </w:rPr>
          <m:t>100%</m:t>
        </m:r>
      </m:oMath>
      <w:r w:rsidR="00374E91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(5.6)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Коефіцієнт детермінації:</w:t>
      </w:r>
    </w:p>
    <w:p w:rsidR="004625B5" w:rsidRPr="001860AB" w:rsidRDefault="00374E91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</m:oMath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</m:ctrlP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</m:ctrlPr>
                      </m:e>
                    </m:d>
                  </m:e>
                </m:nary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>.</w:t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>(5.7)</w:t>
      </w:r>
    </w:p>
    <w:p w:rsidR="004625B5" w:rsidRPr="00A868E5" w:rsidRDefault="004625B5" w:rsidP="004625B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374E91" w:rsidRDefault="00374E91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bookmarkStart w:id="0" w:name="_GoBack"/>
      <w:bookmarkEnd w:id="0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lastRenderedPageBreak/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4625B5" w:rsidRPr="00A868E5" w:rsidTr="00E11A83">
        <w:trPr>
          <w:trHeight w:val="2272"/>
        </w:trPr>
        <w:tc>
          <w:tcPr>
            <w:tcW w:w="1276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484A3F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484A3F" w:rsidRPr="00A868E5" w:rsidRDefault="00484A3F" w:rsidP="00484A3F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208</w:t>
            </w:r>
            <w:r w:rsidR="00374E91">
              <w:t>,</w:t>
            </w:r>
            <w:r w:rsidRPr="00A30361">
              <w:t>6600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-35</w:t>
            </w:r>
            <w:r w:rsidR="00374E91">
              <w:t>,</w:t>
            </w:r>
            <w:r w:rsidRPr="00A30361">
              <w:t>26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35</w:t>
            </w:r>
            <w:r w:rsidR="00374E91">
              <w:t>,</w:t>
            </w:r>
            <w:r w:rsidRPr="00A30361">
              <w:t>26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0</w:t>
            </w:r>
            <w:r w:rsidR="00374E91">
              <w:t>,</w:t>
            </w:r>
            <w:r w:rsidRPr="00A30361">
              <w:t>2033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127</w:t>
            </w:r>
            <w:r w:rsidR="00374E91">
              <w:t>,</w:t>
            </w:r>
            <w:r w:rsidRPr="00A30361">
              <w:t>71</w:t>
            </w:r>
          </w:p>
        </w:tc>
        <w:tc>
          <w:tcPr>
            <w:tcW w:w="1276" w:type="dxa"/>
            <w:shd w:val="clear" w:color="auto" w:fill="auto"/>
          </w:tcPr>
          <w:p w:rsidR="00484A3F" w:rsidRPr="00A30361" w:rsidRDefault="00484A3F" w:rsidP="00484A3F">
            <w:r w:rsidRPr="00A30361">
              <w:t>35</w:t>
            </w:r>
            <w:r w:rsidR="00374E91">
              <w:t>,</w:t>
            </w:r>
            <w:r w:rsidRPr="00A30361">
              <w:t>4561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28</w:t>
            </w:r>
            <w:r w:rsidR="00374E91">
              <w:t>,</w:t>
            </w:r>
            <w:r w:rsidRPr="00A30361">
              <w:t>678</w:t>
            </w:r>
          </w:p>
        </w:tc>
        <w:tc>
          <w:tcPr>
            <w:tcW w:w="992" w:type="dxa"/>
            <w:shd w:val="clear" w:color="auto" w:fill="auto"/>
          </w:tcPr>
          <w:p w:rsidR="00484A3F" w:rsidRPr="00A30361" w:rsidRDefault="00484A3F" w:rsidP="00484A3F">
            <w:r w:rsidRPr="00A30361">
              <w:t>0</w:t>
            </w:r>
            <w:r w:rsidR="00374E91">
              <w:t>,</w:t>
            </w:r>
            <w:r w:rsidRPr="00A30361">
              <w:t>22</w:t>
            </w:r>
          </w:p>
        </w:tc>
      </w:tr>
      <w:tr w:rsidR="00484A3F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484A3F" w:rsidRPr="00A868E5" w:rsidRDefault="00484A3F" w:rsidP="00484A3F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310</w:t>
            </w:r>
            <w:r w:rsidR="00374E91">
              <w:t>,</w:t>
            </w:r>
            <w:r w:rsidRPr="00A30361">
              <w:t>5028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-137</w:t>
            </w:r>
            <w:r w:rsidR="00374E91">
              <w:t>,</w:t>
            </w:r>
            <w:r w:rsidRPr="00A30361">
              <w:t>1028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137</w:t>
            </w:r>
            <w:r w:rsidR="00374E91">
              <w:t>,</w:t>
            </w:r>
            <w:r w:rsidRPr="00A30361">
              <w:t>1028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0</w:t>
            </w:r>
            <w:r w:rsidR="00374E91">
              <w:t>,</w:t>
            </w:r>
            <w:r w:rsidRPr="00A30361">
              <w:t>7907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87</w:t>
            </w:r>
            <w:r w:rsidR="00374E91">
              <w:t>,</w:t>
            </w:r>
            <w:r w:rsidRPr="00A30361">
              <w:t>6083</w:t>
            </w:r>
          </w:p>
        </w:tc>
        <w:tc>
          <w:tcPr>
            <w:tcW w:w="1276" w:type="dxa"/>
            <w:shd w:val="clear" w:color="auto" w:fill="auto"/>
          </w:tcPr>
          <w:p w:rsidR="00484A3F" w:rsidRPr="00A30361" w:rsidRDefault="00484A3F" w:rsidP="00484A3F">
            <w:r w:rsidRPr="00A30361">
              <w:t>32</w:t>
            </w:r>
            <w:r w:rsidR="00374E91">
              <w:t>,</w:t>
            </w:r>
            <w:r w:rsidRPr="00A30361">
              <w:t>4343</w:t>
            </w:r>
          </w:p>
        </w:tc>
        <w:tc>
          <w:tcPr>
            <w:tcW w:w="1134" w:type="dxa"/>
            <w:shd w:val="clear" w:color="auto" w:fill="auto"/>
          </w:tcPr>
          <w:p w:rsidR="00484A3F" w:rsidRPr="00A30361" w:rsidRDefault="00484A3F" w:rsidP="00484A3F">
            <w:r w:rsidRPr="00A30361">
              <w:t>-11</w:t>
            </w:r>
            <w:r w:rsidR="00374E91">
              <w:t>,</w:t>
            </w:r>
            <w:r w:rsidRPr="00A30361">
              <w:t>7763</w:t>
            </w:r>
          </w:p>
        </w:tc>
        <w:tc>
          <w:tcPr>
            <w:tcW w:w="992" w:type="dxa"/>
            <w:shd w:val="clear" w:color="auto" w:fill="auto"/>
          </w:tcPr>
          <w:p w:rsidR="00484A3F" w:rsidRDefault="00484A3F" w:rsidP="00484A3F">
            <w:r w:rsidRPr="00A30361">
              <w:t>0</w:t>
            </w:r>
            <w:r w:rsidR="00374E91">
              <w:t>,</w:t>
            </w:r>
            <w:r w:rsidRPr="00A30361">
              <w:t>0133</w:t>
            </w:r>
          </w:p>
        </w:tc>
      </w:tr>
      <w:tr w:rsidR="0095054B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95054B" w:rsidRPr="00A868E5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ЛМ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327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5562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-154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1562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154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1562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8890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84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6940</w:t>
            </w:r>
          </w:p>
        </w:tc>
        <w:tc>
          <w:tcPr>
            <w:tcW w:w="1276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5528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  34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5528</w:t>
            </w:r>
          </w:p>
        </w:tc>
        <w:tc>
          <w:tcPr>
            <w:tcW w:w="992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0631</w:t>
            </w:r>
          </w:p>
        </w:tc>
      </w:tr>
      <w:tr w:rsidR="0095054B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95054B" w:rsidRPr="00A868E5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ПМ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188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4434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0434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0434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0868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788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6305</w:t>
            </w:r>
          </w:p>
        </w:tc>
        <w:tc>
          <w:tcPr>
            <w:tcW w:w="1276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2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8830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8830</w:t>
            </w:r>
          </w:p>
        </w:tc>
        <w:tc>
          <w:tcPr>
            <w:tcW w:w="992" w:type="dxa"/>
            <w:shd w:val="clear" w:color="auto" w:fill="auto"/>
          </w:tcPr>
          <w:p w:rsidR="0095054B" w:rsidRPr="000C1A81" w:rsidRDefault="0095054B" w:rsidP="0095054B">
            <w:pPr>
              <w:tabs>
                <w:tab w:val="left" w:pos="4394"/>
              </w:tabs>
              <w:spacing w:after="0" w:line="240" w:lineRule="auto"/>
            </w:pPr>
            <w:r w:rsidRPr="000C1A81">
              <w:t>-</w:t>
            </w:r>
            <w:r>
              <w:rPr>
                <w:lang w:val="en-US"/>
              </w:rPr>
              <w:t xml:space="preserve"> 6</w:t>
            </w:r>
            <w:r>
              <w:t>4</w:t>
            </w:r>
            <w:r w:rsidR="00374E91">
              <w:t>,</w:t>
            </w:r>
            <w:r>
              <w:t>347</w:t>
            </w:r>
          </w:p>
        </w:tc>
      </w:tr>
      <w:tr w:rsidR="0095054B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95054B" w:rsidRPr="00A868E5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ЕМ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313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1069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-139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7069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7069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8057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82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0277</w:t>
            </w:r>
          </w:p>
        </w:tc>
        <w:tc>
          <w:tcPr>
            <w:tcW w:w="1276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8018</w:t>
            </w:r>
          </w:p>
        </w:tc>
        <w:tc>
          <w:tcPr>
            <w:tcW w:w="1134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8018</w:t>
            </w:r>
          </w:p>
        </w:tc>
        <w:tc>
          <w:tcPr>
            <w:tcW w:w="992" w:type="dxa"/>
            <w:shd w:val="clear" w:color="auto" w:fill="auto"/>
          </w:tcPr>
          <w:p w:rsidR="0095054B" w:rsidRPr="00A55F9E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0844</w:t>
            </w:r>
          </w:p>
        </w:tc>
      </w:tr>
      <w:tr w:rsidR="0095054B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95054B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213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-40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233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7667</w:t>
            </w:r>
          </w:p>
        </w:tc>
        <w:tc>
          <w:tcPr>
            <w:tcW w:w="1276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6905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9243</w:t>
            </w:r>
          </w:p>
        </w:tc>
        <w:tc>
          <w:tcPr>
            <w:tcW w:w="992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-4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1575</w:t>
            </w:r>
          </w:p>
        </w:tc>
      </w:tr>
      <w:tr w:rsidR="0095054B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95054B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НММ1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484A3F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484A3F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484A3F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8051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61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1276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6474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708</w:t>
            </w:r>
          </w:p>
        </w:tc>
        <w:tc>
          <w:tcPr>
            <w:tcW w:w="992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8708</w:t>
            </w:r>
          </w:p>
        </w:tc>
      </w:tr>
      <w:tr w:rsidR="0095054B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95054B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НММ2</w:t>
            </w:r>
          </w:p>
        </w:tc>
        <w:tc>
          <w:tcPr>
            <w:tcW w:w="1134" w:type="dxa"/>
            <w:shd w:val="clear" w:color="auto" w:fill="auto"/>
          </w:tcPr>
          <w:p w:rsidR="0095054B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116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0753</w:t>
            </w:r>
          </w:p>
          <w:p w:rsidR="0095054B" w:rsidRPr="00633938" w:rsidRDefault="0095054B" w:rsidP="0095054B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3247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3247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3306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8698</w:t>
            </w:r>
          </w:p>
        </w:tc>
        <w:tc>
          <w:tcPr>
            <w:tcW w:w="1276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2653</w:t>
            </w:r>
          </w:p>
        </w:tc>
        <w:tc>
          <w:tcPr>
            <w:tcW w:w="1134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2002</w:t>
            </w:r>
          </w:p>
        </w:tc>
        <w:tc>
          <w:tcPr>
            <w:tcW w:w="992" w:type="dxa"/>
            <w:shd w:val="clear" w:color="auto" w:fill="auto"/>
          </w:tcPr>
          <w:p w:rsidR="0095054B" w:rsidRPr="00644F9D" w:rsidRDefault="0095054B" w:rsidP="0095054B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  <w:r w:rsidR="00374E91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3474</w:t>
            </w:r>
          </w:p>
        </w:tc>
      </w:tr>
    </w:tbl>
    <w:p w:rsidR="004625B5" w:rsidRPr="00A868E5" w:rsidRDefault="004625B5" w:rsidP="004625B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ВИСНОВКИ</w:t>
      </w:r>
    </w:p>
    <w:p w:rsidR="00146FCD" w:rsidRDefault="00146FCD" w:rsidP="00146FCD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ередня абсолютна відсоткова помилка прогнозу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НМ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дорівнює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17,6905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знаходиться у проміжку між 10 та 20 відсотками і є гарним результатом. Помилка прогнозу на 1 крок вперед склала 40,4.</w:t>
      </w:r>
    </w:p>
    <w:p w:rsidR="00146FCD" w:rsidRPr="009A340A" w:rsidRDefault="00146FCD" w:rsidP="00146FCD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ередня абсолютна відсоткова помилка прогнозу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НММ1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дорівнює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25,6474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що знаходиться у проміжку між 20 та 50 відсотками і є </w:t>
      </w:r>
      <w:r w:rsidR="006130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задовільним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результатом. Помилка прогнозу на 1 крок вперед склала 139,6.</w:t>
      </w:r>
    </w:p>
    <w:p w:rsidR="00146FCD" w:rsidRDefault="00146FCD" w:rsidP="00146FCD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ередня абсолютна відсоткова помилка прогнозу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НММ2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дорівнює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18,2653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знаходиться у проміжку між 10 та 20 відсотками і є гарним результатом. Помилка прогнозу на 1 крок вперед склала 57,3247</w:t>
      </w:r>
    </w:p>
    <w:p w:rsidR="00146FCD" w:rsidRPr="009A340A" w:rsidRDefault="00146FCD" w:rsidP="00146FCD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Помилка прогнозу на 1 крок та середня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абсолютна відсоткова помилка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НМ є найнижчою серед досліджених у цій роботі. НММ1 показала найгірший результат. НММ2 має кращий результат аніж НММ1, але гірший чим результат НМ.</w:t>
      </w:r>
    </w:p>
    <w:p w:rsidR="004625B5" w:rsidRPr="00A868E5" w:rsidRDefault="00ED77F6" w:rsidP="004625B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НМ, НММ1 та НММ2 показують найкращі показники </w:t>
      </w:r>
      <w:r w:rsidR="00146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середньої абсолютної відсоткової помилки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порівнянні з методами розглянутими раніше.</w:t>
      </w:r>
    </w:p>
    <w:p w:rsidR="004625B5" w:rsidRPr="00A868E5" w:rsidRDefault="004625B5" w:rsidP="004625B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p w:rsidR="00A868E5" w:rsidRPr="004625B5" w:rsidRDefault="00A868E5" w:rsidP="004625B5"/>
    <w:sectPr w:rsidR="00A868E5" w:rsidRPr="004625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192"/>
    <w:multiLevelType w:val="multilevel"/>
    <w:tmpl w:val="205A8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733AD"/>
    <w:rsid w:val="00092AD6"/>
    <w:rsid w:val="00146FCD"/>
    <w:rsid w:val="0018775F"/>
    <w:rsid w:val="001B12FA"/>
    <w:rsid w:val="003055A1"/>
    <w:rsid w:val="00312CDC"/>
    <w:rsid w:val="00374E91"/>
    <w:rsid w:val="004625B5"/>
    <w:rsid w:val="00483D99"/>
    <w:rsid w:val="00484A3F"/>
    <w:rsid w:val="004F03C4"/>
    <w:rsid w:val="00544210"/>
    <w:rsid w:val="006130A1"/>
    <w:rsid w:val="00633938"/>
    <w:rsid w:val="0065394C"/>
    <w:rsid w:val="008A795F"/>
    <w:rsid w:val="008F440A"/>
    <w:rsid w:val="0095054B"/>
    <w:rsid w:val="009A340A"/>
    <w:rsid w:val="00A55F9E"/>
    <w:rsid w:val="00A868E5"/>
    <w:rsid w:val="00B7519E"/>
    <w:rsid w:val="00BA0012"/>
    <w:rsid w:val="00C22613"/>
    <w:rsid w:val="00C56803"/>
    <w:rsid w:val="00C66756"/>
    <w:rsid w:val="00CE5F5F"/>
    <w:rsid w:val="00D04598"/>
    <w:rsid w:val="00ED77F6"/>
    <w:rsid w:val="00F04304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26AB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5B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  <w:style w:type="paragraph" w:styleId="a4">
    <w:name w:val="Normal (Web)"/>
    <w:basedOn w:val="a"/>
    <w:uiPriority w:val="99"/>
    <w:unhideWhenUsed/>
    <w:rsid w:val="0046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4625B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97C81-2AD6-4A63-8A48-40AD62CB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Nesterenko</cp:lastModifiedBy>
  <cp:revision>19</cp:revision>
  <dcterms:created xsi:type="dcterms:W3CDTF">2021-04-27T05:59:00Z</dcterms:created>
  <dcterms:modified xsi:type="dcterms:W3CDTF">2021-06-11T00:18:00Z</dcterms:modified>
</cp:coreProperties>
</file>