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092AD6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 xml:space="preserve">з </w:t>
      </w:r>
      <w:r w:rsidR="0065394C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лабораторної роботи №1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 w:rsidR="00092AD6">
        <w:rPr>
          <w:rFonts w:ascii="Times New Roman" w:hAnsi="Times New Roman"/>
          <w:szCs w:val="24"/>
          <w:lang w:val="uk-UA"/>
        </w:rPr>
        <w:t xml:space="preserve">ви прогнозів за </w:t>
      </w:r>
      <w:r w:rsidR="0065394C" w:rsidRPr="0065394C">
        <w:rPr>
          <w:rFonts w:ascii="Times New Roman" w:hAnsi="Times New Roman"/>
          <w:szCs w:val="24"/>
          <w:lang w:val="uk-UA"/>
        </w:rPr>
        <w:t xml:space="preserve">на основі наївної моделі (НМ) з модифікаціями (НММ1 та НММ2) та методу </w:t>
      </w:r>
      <w:proofErr w:type="spellStart"/>
      <w:r w:rsidR="0065394C" w:rsidRPr="0065394C">
        <w:rPr>
          <w:rFonts w:ascii="Times New Roman" w:hAnsi="Times New Roman"/>
          <w:szCs w:val="24"/>
          <w:lang w:val="uk-UA"/>
        </w:rPr>
        <w:t>ковзаючих</w:t>
      </w:r>
      <w:proofErr w:type="spellEnd"/>
      <w:r w:rsidR="0065394C" w:rsidRPr="0065394C">
        <w:rPr>
          <w:rFonts w:ascii="Times New Roman" w:hAnsi="Times New Roman"/>
          <w:szCs w:val="24"/>
          <w:lang w:val="uk-UA"/>
        </w:rPr>
        <w:t xml:space="preserve"> середніх (КС)</w:t>
      </w:r>
      <w:r w:rsidR="0065394C" w:rsidRPr="0065394C">
        <w:rPr>
          <w:rFonts w:ascii="Times New Roman" w:hAnsi="Times New Roman"/>
          <w:szCs w:val="24"/>
          <w:lang w:val="uk-UA"/>
        </w:rPr>
        <w:t>.</w:t>
      </w:r>
      <w:r w:rsidRPr="00A868E5">
        <w:rPr>
          <w:rFonts w:ascii="Times New Roman" w:hAnsi="Times New Roman"/>
          <w:szCs w:val="24"/>
          <w:lang w:val="uk-UA"/>
        </w:rPr>
        <w:t xml:space="preserve"> Оцінка точності побудови прогнозів за множиною показників. Проведення порівняльного аналізу ефективності досліджуваних методів </w:t>
      </w:r>
      <w:r w:rsidR="00C66756"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C6675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</w:t>
      </w:r>
      <w:r w:rsidR="00C66756"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Аналіз основних характеристик часового ряду</w:t>
      </w:r>
    </w:p>
    <w:p w:rsid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Математичне очікування для випадкового процесу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),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 при кожному значенні аргументу дорівнює математичному очікуванню відповідного перетину випадкової функції: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y,t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dy</m:t>
              </m:r>
            </m:e>
          </m:nary>
        </m:oMath>
      </m:oMathPara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Дисперсія для випадкової функції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 w:rsidRPr="00C667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значення якої для кожного перетину дорівнюю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дисперсії відповідного перети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Cambria Math" w:eastAsia="Times New Roman" w:hAnsi="Cambria Math" w:cs="Times New Roman"/>
          <w:i/>
          <w:sz w:val="32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=M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y,t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dt</m:t>
        </m:r>
      </m:oMath>
      <w:r w:rsidRPr="00A868E5">
        <w:rPr>
          <w:rFonts w:ascii="Cambria Math" w:eastAsia="Times New Roman" w:hAnsi="Cambria Math" w:cs="Times New Roman"/>
          <w:i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ореляційна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характеристики зв’язку між двома перетинами випадкового процесу і є невипадковою функцією двох аргументів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що для кожної пари значень аргументів дорівнює кореляційно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 моменту відповідних перетинів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))</m:t>
        </m:r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Cambria Math" w:eastAsia="Times New Roman" w:hAnsi="Cambria Math" w:cs="Times New Roman"/>
          <w:b/>
          <w:i/>
          <w:sz w:val="32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Нормована кореляційна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– це невипадкова функція,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 значення якої дорівнює коефіцієнту кореляції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/>
            <w:sz w:val="32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rad>
          </m:den>
        </m:f>
      </m:oMath>
      <w:r w:rsidRPr="00A868E5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D99" w:rsidRDefault="00483D99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—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показник кореляції (лінійної залежності) між двома змінними X та Y, який набуває значень від −1 до +1 включно.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Значення +1 означає, що залежність між X та Y є лінійною, і всі точки функції лежать на прямій, яка відображає зростання Y при зростанні X. Значення −1 означає, що всі точки лежать на прямій, яка відображає зменшення Y при зростанні X. Якщо 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= 0, то саме лінійної кореляції між змінними немає.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Визначається коефіцієнт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формулою:</w:t>
      </w:r>
    </w:p>
    <w:p w:rsidR="00483D99" w:rsidRPr="00483D99" w:rsidRDefault="0065394C" w:rsidP="0048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</w:rPr>
            </m:ctrlPr>
          </m:sSubPr>
          <m:e>
            <m:r>
              <w:rPr>
                <w:rFonts w:ascii="Cambria Math" w:hAnsi="Cambria Math"/>
                <w:sz w:val="40"/>
              </w:rPr>
              <m:t>r</m:t>
            </m:r>
          </m:e>
          <m:sub>
            <m:r>
              <w:rPr>
                <w:rFonts w:ascii="Cambria Math" w:hAnsi="Cambria Math"/>
                <w:sz w:val="40"/>
              </w:rPr>
              <m:t>xy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483D99" w:rsidRPr="00A868E5">
        <w:rPr>
          <w:rFonts w:ascii="Times New Roman" w:eastAsia="Times New Roman" w:hAnsi="Times New Roman" w:cs="Times New Roman"/>
          <w:sz w:val="40"/>
          <w:szCs w:val="24"/>
          <w:lang w:eastAsia="ru-RU"/>
        </w:rPr>
        <w:t>.</w:t>
      </w:r>
    </w:p>
    <w:p w:rsidR="00A868E5" w:rsidRPr="00A868E5" w:rsidRDefault="00A868E5" w:rsidP="00D04598">
      <w:pPr>
        <w:widowControl w:val="0"/>
        <w:spacing w:after="0" w:line="312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3.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Короткий опис досліджуваного методу прогнозування.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– це метод, який передбачає обрання двох крайніх точок та проведення між ними прямої. 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Цей метод використовується під час </w:t>
      </w:r>
      <w:r w:rsidR="00D04598" w:rsidRP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відсутності достатньої кількості даних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Це один з найпростіших та найшвидших методів прогнозування, пріор</w:t>
      </w:r>
      <w:r w:rsidR="00C66756" w:rsidRPr="0065394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тет у якому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саме швидкості. При цьому точність прогнозу (особливо на довгій дистанції) зменшується. Пряма,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 п</w:t>
      </w:r>
      <w:bookmarkStart w:id="0" w:name="_GoBack"/>
      <w:bookmarkEnd w:id="0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роводиться для здобуття прогнозу, має вигляд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крайні точки маю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координати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 i (</w:t>
      </w:r>
      <w:proofErr w:type="spellStart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proofErr w:type="spellEnd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 параметрів обчислюються за формулами: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середніх точок – це метод, здобутті прогнозів яким, сукупність спостережені розділяється на дві частини у кожні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й з яких знаходиться середнє ари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фметичне, а через 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нього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визначаються координати середніх точок,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як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проводиться пряма. Як в метод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крайніх точок, недолік методу середніх точок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є припущення про лінійність прогнозування та наявність деякої </w:t>
      </w:r>
      <w:r w:rsidR="00C66756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спертної складової, завдяки котрій і буд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обрані частина ряду.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для визначеності перша точка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1), а друга -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2). Формули для визначення  координат точок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та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b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і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Рівняння прямої, яка апроксимує тренд: 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визначається за формул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ами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(T/2)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t-T/2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65394C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Завдання 4. Побудова прогнозу з використанням досліджуваного методу. Графічна </w:t>
      </w:r>
      <w:r w:rsidR="00C66756"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нтерпретація даних часового ряду та прогнозованих значень.</w:t>
      </w:r>
      <w:r w:rsidRPr="00A868E5">
        <w:rPr>
          <w:rFonts w:ascii="Arial" w:eastAsia="Times New Roman" w:hAnsi="Arial" w:cs="Arial"/>
          <w:snapToGrid w:val="0"/>
          <w:sz w:val="35"/>
          <w:szCs w:val="35"/>
          <w:lang w:eastAsia="ru-RU"/>
        </w:rPr>
        <w:t xml:space="preserve"> </w:t>
      </w:r>
    </w:p>
    <w:p w:rsidR="00C56803" w:rsidRPr="00A868E5" w:rsidRDefault="00C56803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Використовуючи програму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,</w:t>
      </w:r>
      <w:r w:rsidR="00C66756">
        <w:rPr>
          <w:rFonts w:ascii="Times New Roman" w:eastAsia="Times New Roman" w:hAnsi="Times New Roman" w:cs="Times New Roman"/>
          <w:snapToGrid w:val="0"/>
          <w:sz w:val="24"/>
          <w:szCs w:val="35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створену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у </w:t>
      </w:r>
      <w:proofErr w:type="spellStart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Matlab</w:t>
      </w:r>
      <w:proofErr w:type="spellEnd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код якої можна</w:t>
      </w:r>
      <w:r w:rsidR="00B7519E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побачити на рисунках нижче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побудував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прогноз для заданого часового ряду. </w:t>
      </w:r>
    </w:p>
    <w:p w:rsidR="00A868E5" w:rsidRDefault="00C56803" w:rsidP="00B7519E">
      <w:pPr>
        <w:widowControl w:val="0"/>
        <w:spacing w:after="0" w:line="312" w:lineRule="auto"/>
        <w:ind w:left="-567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C56803">
        <w:rPr>
          <w:rFonts w:ascii="Arial" w:eastAsia="Times New Roman" w:hAnsi="Arial" w:cs="Times New Roman"/>
          <w:noProof/>
          <w:sz w:val="24"/>
          <w:szCs w:val="20"/>
          <w:lang w:val="en-US"/>
        </w:rPr>
        <w:drawing>
          <wp:inline distT="0" distB="0" distL="0" distR="0" wp14:anchorId="51C25DE9" wp14:editId="317F60B8">
            <wp:extent cx="6652842" cy="2863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460" cy="2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F10FEB1" wp14:editId="5CA31B2B">
            <wp:extent cx="6642340" cy="3306431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926" cy="33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lastRenderedPageBreak/>
        <w:drawing>
          <wp:inline distT="0" distB="0" distL="0" distR="0" wp14:anchorId="2BE40508" wp14:editId="3E35BCF0">
            <wp:extent cx="6655077" cy="331277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563" cy="33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B0AC187" wp14:editId="3D0FA310">
            <wp:extent cx="6654800" cy="153440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552" cy="15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Також були здобуті значення показників точності для методу крайніх та середніх точок за даним часовим рядом. Нижче можна побачити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коефіцієнт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на рис. 1, графік кореляції на рис. 2,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похибок та дані час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крайніх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3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значення похибок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дані часового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середніх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4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.</w:t>
      </w:r>
    </w:p>
    <w:p w:rsidR="00B7519E" w:rsidRP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E68AA6A" wp14:editId="6D48EEDD">
            <wp:extent cx="186690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Коефіцієнт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Пірсона</w:t>
      </w:r>
      <w:proofErr w:type="spellEnd"/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1C98D8B" wp14:editId="0BDC12EE">
            <wp:extent cx="5353050" cy="481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CE5F5F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Графік кореляції</w:t>
      </w: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A868E5" w:rsidRPr="00A868E5" w:rsidRDefault="00F17A81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5499802" wp14:editId="7C9E49D8">
            <wp:extent cx="4389120" cy="799311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79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крайніх точок</w:t>
      </w:r>
    </w:p>
    <w:p w:rsidR="00A868E5" w:rsidRPr="00A868E5" w:rsidRDefault="00F17A81" w:rsidP="00A868E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C10D771" wp14:editId="06645CCD">
            <wp:extent cx="4133850" cy="838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</w:p>
    <w:p w:rsidR="00A868E5" w:rsidRPr="0065394C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 рис.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5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відображений побудований за наведеними вище дан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ими графік прогнозу,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заснований на методі крайніх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(красна лінія) і середніх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(синя лінія) точок.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Метод середніх точок надав більш точний результат, аніж метод крайніх точок.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:rsidR="00A868E5" w:rsidRPr="00A868E5" w:rsidRDefault="00F17A81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46BBEC82" wp14:editId="1C45F596">
            <wp:extent cx="5353050" cy="481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t>5</w:t>
      </w: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-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 часового ряду та прогнозування за методами крайніх і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A868E5" w:rsidRPr="00A868E5" w:rsidRDefault="00F17A81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оцінки точності </w:t>
      </w:r>
      <w:r w:rsidRPr="00F1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гнозу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використовується 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похибки прогнозу, абсолютної похибки прогнозу, сер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дньої абсолютної похибки прогнозу, відносної  похибки прогнозу, середньої абсолютної відсоткової похибки прогнозу, середньої відсоткової похибки прогнозу та коефіцієнту детермінації: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86677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62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62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00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193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573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left="707"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859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208.6600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0.2033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127.71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35.4561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28.678</w:t>
            </w:r>
          </w:p>
        </w:tc>
        <w:tc>
          <w:tcPr>
            <w:tcW w:w="992" w:type="dxa"/>
            <w:shd w:val="clear" w:color="auto" w:fill="auto"/>
          </w:tcPr>
          <w:p w:rsidR="00A868E5" w:rsidRPr="009A340A" w:rsidRDefault="009A340A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0.22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310.5028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0.7907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87.6083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32.4343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-11.7763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0.0133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18775F" w:rsidRDefault="00A868E5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A868E5" w:rsidRPr="009A340A" w:rsidRDefault="0018775F" w:rsidP="0018775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методом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крайніх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точок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35.45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є задовільним результатом. 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Коефіцієнт детермінації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нює </w:t>
      </w:r>
      <w:r w:rsidR="009A340A" w:rsidRPr="006539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0,22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%,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 результат цієї моделі ми не можемо назвати задовільним.</w:t>
      </w:r>
    </w:p>
    <w:p w:rsidR="00A868E5" w:rsidRPr="009A340A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середніх точок середня абсолютна відсоткова помилка прогнозу дорівнює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32.43. Це показує, що прогноз не має високої точності.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ередня відсоткова помилка прогнозу дорівнює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-11,77%, що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перевищує потрібні 5%.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оефіцієнт дете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рмінації після вимірювання дорів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A340A" w:rsidRPr="0065394C">
        <w:rPr>
          <w:rFonts w:ascii="Times New Roman" w:eastAsia="Times New Roman" w:hAnsi="Times New Roman" w:cs="Times New Roman"/>
          <w:sz w:val="24"/>
          <w:szCs w:val="24"/>
          <w:lang w:eastAsia="ru-RU"/>
        </w:rPr>
        <w:t>,01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 є дуже низьким показником.</w:t>
      </w:r>
    </w:p>
    <w:p w:rsidR="00A868E5" w:rsidRDefault="004F03C4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Після перегляду результатів оцінки якості прогнозу, можна сказати, що жоден з методів не надав задовільного результату. Ані метод крайніх точок, ані метод середніх точок не підходить для прогнозування середньої заробітної плати, тому що цей показник є дуже нелінійним. </w:t>
      </w:r>
    </w:p>
    <w:p w:rsidR="004F03C4" w:rsidRPr="00A868E5" w:rsidRDefault="004F03C4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можна зробити висновок, що метод крайніх точок і метод середніх точок підходять лише для прогнозів на короткій дистанції з лінійною моделлю. 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092AD6"/>
    <w:rsid w:val="0018775F"/>
    <w:rsid w:val="001B12FA"/>
    <w:rsid w:val="00483D99"/>
    <w:rsid w:val="004F03C4"/>
    <w:rsid w:val="0065394C"/>
    <w:rsid w:val="008A795F"/>
    <w:rsid w:val="008F440A"/>
    <w:rsid w:val="009A340A"/>
    <w:rsid w:val="00A55F9E"/>
    <w:rsid w:val="00A868E5"/>
    <w:rsid w:val="00B7519E"/>
    <w:rsid w:val="00C56803"/>
    <w:rsid w:val="00C66756"/>
    <w:rsid w:val="00CE5F5F"/>
    <w:rsid w:val="00D04598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00CC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037E-E4C8-47CA-8063-21860206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8</cp:revision>
  <dcterms:created xsi:type="dcterms:W3CDTF">2021-04-27T05:59:00Z</dcterms:created>
  <dcterms:modified xsi:type="dcterms:W3CDTF">2021-06-06T18:56:00Z</dcterms:modified>
</cp:coreProperties>
</file>