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2D99" w14:textId="761921AB" w:rsidR="00552AEA" w:rsidRPr="006E4CD3" w:rsidRDefault="00552AEA" w:rsidP="00F744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F5D182D" w14:textId="77777777" w:rsidR="00552AEA" w:rsidRPr="006E4CD3" w:rsidRDefault="00552AEA" w:rsidP="00F744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1756F21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353DB2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Факультет «</w:t>
      </w:r>
      <w:proofErr w:type="spellStart"/>
      <w:r w:rsidRPr="006E4CD3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  <w:r w:rsidRPr="006E4CD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28CC768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CAB06F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6E4CD3">
        <w:rPr>
          <w:rFonts w:ascii="Times New Roman" w:hAnsi="Times New Roman" w:cs="Times New Roman"/>
          <w:sz w:val="28"/>
          <w:szCs w:val="28"/>
          <w:lang w:val="uk-UA"/>
        </w:rPr>
        <w:t>інфокомунікаційної</w:t>
      </w:r>
      <w:proofErr w:type="spellEnd"/>
      <w:r w:rsidRPr="006E4CD3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 ім. В.В. </w:t>
      </w:r>
      <w:proofErr w:type="spellStart"/>
      <w:r w:rsidRPr="006E4CD3">
        <w:rPr>
          <w:rFonts w:ascii="Times New Roman" w:hAnsi="Times New Roman" w:cs="Times New Roman"/>
          <w:sz w:val="28"/>
          <w:szCs w:val="28"/>
          <w:lang w:val="uk-UA"/>
        </w:rPr>
        <w:t>Поповського</w:t>
      </w:r>
      <w:proofErr w:type="spellEnd"/>
    </w:p>
    <w:p w14:paraId="33DF4906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13596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717D22" w14:textId="38CEFBD2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 xml:space="preserve">ЗВІТ З </w:t>
      </w:r>
      <w:r w:rsidR="009A45F7">
        <w:rPr>
          <w:rFonts w:ascii="Times New Roman" w:hAnsi="Times New Roman" w:cs="Times New Roman"/>
          <w:sz w:val="28"/>
          <w:szCs w:val="28"/>
          <w:lang w:val="uk-UA"/>
        </w:rPr>
        <w:t xml:space="preserve">ПРАКТИЧНОЇ </w:t>
      </w:r>
      <w:r w:rsidRPr="006E4CD3">
        <w:rPr>
          <w:rFonts w:ascii="Times New Roman" w:hAnsi="Times New Roman" w:cs="Times New Roman"/>
          <w:sz w:val="28"/>
          <w:szCs w:val="28"/>
          <w:lang w:val="uk-UA"/>
        </w:rPr>
        <w:t>РАБОТИ №</w:t>
      </w:r>
      <w:r w:rsidR="00BD6F8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9DA3952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з дисципліни «Прогнозування та моделювання в соціальній сфері»</w:t>
      </w:r>
    </w:p>
    <w:p w14:paraId="43D5F2EE" w14:textId="6285AA1C" w:rsidR="00552AEA" w:rsidRPr="008E087E" w:rsidRDefault="00552AEA" w:rsidP="008E087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20"/>
          <w:lang w:val="uk-UA" w:eastAsia="ru-RU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Формування прогнозів на основі методу </w:t>
      </w:r>
      <w:proofErr w:type="spellStart"/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ковзаючих</w:t>
      </w:r>
      <w:proofErr w:type="spellEnd"/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середніх (КС)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методу простих середніх</w:t>
      </w:r>
      <w:r w:rsidRPr="006E4CD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D5684F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F5BFD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48E915" w14:textId="77777777" w:rsidR="00552AEA" w:rsidRPr="0023622C" w:rsidRDefault="00552AEA" w:rsidP="00552A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2291E3" w14:textId="6025E1BD" w:rsidR="00552AEA" w:rsidRPr="00894B9E" w:rsidRDefault="00552AEA" w:rsidP="00552AEA">
      <w:pPr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A45F7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8438157" w14:textId="27D4CF6F" w:rsidR="00552AEA" w:rsidRPr="00894B9E" w:rsidRDefault="009A45F7" w:rsidP="00552AEA">
      <w:pPr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52AEA" w:rsidRPr="00894B9E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2AEA" w:rsidRPr="00894B9E">
        <w:rPr>
          <w:rFonts w:ascii="Times New Roman" w:hAnsi="Times New Roman" w:cs="Times New Roman"/>
          <w:sz w:val="28"/>
          <w:szCs w:val="28"/>
          <w:lang w:val="uk-UA"/>
        </w:rPr>
        <w:t>ІІ курсу</w:t>
      </w:r>
    </w:p>
    <w:p w14:paraId="70C5B235" w14:textId="77777777" w:rsidR="00552AEA" w:rsidRPr="00894B9E" w:rsidRDefault="00552AEA" w:rsidP="00552AEA">
      <w:pPr>
        <w:tabs>
          <w:tab w:val="left" w:pos="4860"/>
        </w:tabs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факультету «</w:t>
      </w:r>
      <w:proofErr w:type="spellStart"/>
      <w:r w:rsidRPr="00894B9E">
        <w:rPr>
          <w:rFonts w:ascii="Times New Roman" w:hAnsi="Times New Roman" w:cs="Times New Roman"/>
          <w:sz w:val="28"/>
          <w:szCs w:val="28"/>
          <w:lang w:val="uk-UA"/>
        </w:rPr>
        <w:t>Інфокомунікації</w:t>
      </w:r>
      <w:proofErr w:type="spellEnd"/>
      <w:r w:rsidRPr="00894B9E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6B527FA8" w14:textId="20258831" w:rsidR="00552AEA" w:rsidRPr="00894B9E" w:rsidRDefault="00552AEA" w:rsidP="00552AEA">
      <w:pPr>
        <w:tabs>
          <w:tab w:val="left" w:pos="4860"/>
        </w:tabs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4B9E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94B9E">
        <w:rPr>
          <w:rFonts w:ascii="Times New Roman" w:hAnsi="Times New Roman" w:cs="Times New Roman"/>
          <w:sz w:val="28"/>
          <w:szCs w:val="28"/>
        </w:rPr>
        <w:t xml:space="preserve"> </w:t>
      </w:r>
      <w:r w:rsidRPr="00894B9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4B9E">
        <w:rPr>
          <w:rFonts w:ascii="Times New Roman" w:hAnsi="Times New Roman" w:cs="Times New Roman"/>
          <w:sz w:val="28"/>
          <w:szCs w:val="28"/>
        </w:rPr>
        <w:t>УІБ-</w:t>
      </w:r>
      <w:proofErr w:type="gramStart"/>
      <w:r w:rsidRPr="00894B9E">
        <w:rPr>
          <w:rFonts w:ascii="Times New Roman" w:hAnsi="Times New Roman" w:cs="Times New Roman"/>
          <w:sz w:val="28"/>
          <w:szCs w:val="28"/>
        </w:rPr>
        <w:t>1</w:t>
      </w:r>
      <w:r w:rsidR="009A45F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94B9E">
        <w:rPr>
          <w:rFonts w:ascii="Times New Roman" w:hAnsi="Times New Roman" w:cs="Times New Roman"/>
          <w:sz w:val="28"/>
          <w:szCs w:val="28"/>
        </w:rPr>
        <w:t>-</w:t>
      </w:r>
      <w:r w:rsidR="009A45F7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gramEnd"/>
    </w:p>
    <w:p w14:paraId="56F83928" w14:textId="7AF7D32C" w:rsidR="00552AEA" w:rsidRPr="00894B9E" w:rsidRDefault="009A45F7" w:rsidP="00552AEA">
      <w:pPr>
        <w:tabs>
          <w:tab w:val="left" w:pos="4860"/>
        </w:tabs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Авраменко А.О.</w:t>
      </w:r>
    </w:p>
    <w:p w14:paraId="0BB58761" w14:textId="77777777" w:rsidR="00552AEA" w:rsidRPr="00894B9E" w:rsidRDefault="00552AEA" w:rsidP="00552AEA">
      <w:pPr>
        <w:tabs>
          <w:tab w:val="left" w:pos="48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75187" w14:textId="77777777" w:rsidR="00552AEA" w:rsidRPr="00894B9E" w:rsidRDefault="00552AEA" w:rsidP="00552AEA">
      <w:pPr>
        <w:tabs>
          <w:tab w:val="left" w:pos="2977"/>
          <w:tab w:val="left" w:pos="4860"/>
        </w:tabs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4B9E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894B9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94B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9835" w14:textId="77777777" w:rsidR="00552AEA" w:rsidRPr="00894B9E" w:rsidRDefault="00552AEA" w:rsidP="00552AEA">
      <w:pPr>
        <w:tabs>
          <w:tab w:val="left" w:pos="2977"/>
          <w:tab w:val="left" w:pos="4860"/>
        </w:tabs>
        <w:spacing w:line="360" w:lineRule="auto"/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proofErr w:type="spellStart"/>
      <w:r w:rsidRPr="00894B9E">
        <w:rPr>
          <w:rFonts w:ascii="Times New Roman" w:hAnsi="Times New Roman" w:cs="Times New Roman"/>
          <w:sz w:val="28"/>
          <w:szCs w:val="28"/>
          <w:lang w:val="uk-UA"/>
        </w:rPr>
        <w:t>Лемешко</w:t>
      </w:r>
      <w:proofErr w:type="spellEnd"/>
      <w:r w:rsidRPr="00894B9E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589F263C" w14:textId="77777777" w:rsidR="00552AEA" w:rsidRPr="00B90E20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8AA4BC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DEB171" w14:textId="77777777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49FA52" w14:textId="6727D0A4" w:rsidR="00552AEA" w:rsidRPr="006E4CD3" w:rsidRDefault="00552AEA" w:rsidP="0055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A45F7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4814CD17" w14:textId="2B80E112" w:rsidR="00552AEA" w:rsidRPr="008E0DFC" w:rsidRDefault="00552AEA" w:rsidP="00162A8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5C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DF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Формування прогнозів на основі </w:t>
      </w:r>
      <w:r w:rsidR="00F744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методу </w:t>
      </w:r>
      <w:proofErr w:type="spellStart"/>
      <w:r w:rsidR="00F744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ковзаючих</w:t>
      </w:r>
      <w:proofErr w:type="spellEnd"/>
      <w:r w:rsidR="00F744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середніх (КС)</w:t>
      </w:r>
      <w:r w:rsidR="00F744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744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методу простих середніх</w:t>
      </w:r>
      <w:r w:rsidRPr="008E0DF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порівняльний аналіз отриманих результатів.</w:t>
      </w:r>
    </w:p>
    <w:p w14:paraId="610CD920" w14:textId="77777777" w:rsidR="00552AEA" w:rsidRDefault="00552AEA" w:rsidP="00162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F29570" w14:textId="77777777" w:rsidR="00552AEA" w:rsidRPr="00887412" w:rsidRDefault="00552AEA" w:rsidP="00162A8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7412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</w:p>
    <w:p w14:paraId="295BCA59" w14:textId="77777777" w:rsidR="00552AEA" w:rsidRDefault="00552AEA" w:rsidP="00162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формування прогнозів на основі заданих методів було взято часовий ряд, наведений в таблиці 1.1:</w:t>
      </w:r>
    </w:p>
    <w:p w14:paraId="416E77F2" w14:textId="77777777" w:rsidR="00552AEA" w:rsidRDefault="00552AEA" w:rsidP="00162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Заданий часовий ряд</w:t>
      </w:r>
    </w:p>
    <w:tbl>
      <w:tblPr>
        <w:tblStyle w:val="a4"/>
        <w:tblW w:w="105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91"/>
        <w:gridCol w:w="1447"/>
        <w:gridCol w:w="1414"/>
        <w:gridCol w:w="1378"/>
        <w:gridCol w:w="1368"/>
        <w:gridCol w:w="1492"/>
        <w:gridCol w:w="1424"/>
      </w:tblGrid>
      <w:tr w:rsidR="009A45F7" w:rsidRPr="00941F37" w14:paraId="62D3144D" w14:textId="77777777" w:rsidTr="009A45F7">
        <w:trPr>
          <w:trHeight w:val="132"/>
        </w:trPr>
        <w:tc>
          <w:tcPr>
            <w:tcW w:w="1991" w:type="dxa"/>
          </w:tcPr>
          <w:p w14:paraId="22FA7E94" w14:textId="7F7DC512" w:rsidR="009A45F7" w:rsidRPr="00941F37" w:rsidRDefault="009A45F7" w:rsidP="006D48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Hlk72860212"/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</w:tcPr>
          <w:p w14:paraId="7ED6C609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14" w:type="dxa"/>
          </w:tcPr>
          <w:p w14:paraId="1078320C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378" w:type="dxa"/>
          </w:tcPr>
          <w:p w14:paraId="6E24A3B0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368" w:type="dxa"/>
          </w:tcPr>
          <w:p w14:paraId="0EA89306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92" w:type="dxa"/>
          </w:tcPr>
          <w:p w14:paraId="741CF8DC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24" w:type="dxa"/>
          </w:tcPr>
          <w:p w14:paraId="16840C28" w14:textId="77777777" w:rsidR="009A45F7" w:rsidRPr="00941F37" w:rsidRDefault="009A45F7" w:rsidP="006D48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9A45F7" w:rsidRPr="00941F37" w14:paraId="5C8617A2" w14:textId="77777777" w:rsidTr="009A45F7">
        <w:trPr>
          <w:trHeight w:val="48"/>
        </w:trPr>
        <w:tc>
          <w:tcPr>
            <w:tcW w:w="1991" w:type="dxa"/>
          </w:tcPr>
          <w:p w14:paraId="6B7AC542" w14:textId="2E568627" w:rsidR="009A45F7" w:rsidRPr="00941F37" w:rsidRDefault="009A45F7" w:rsidP="006D48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5FEE62AC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316 884,6</w:t>
            </w:r>
          </w:p>
        </w:tc>
        <w:tc>
          <w:tcPr>
            <w:tcW w:w="1414" w:type="dxa"/>
            <w:vAlign w:val="center"/>
          </w:tcPr>
          <w:p w14:paraId="21F35900" w14:textId="1446F073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432 235,4</w:t>
            </w:r>
          </w:p>
        </w:tc>
        <w:tc>
          <w:tcPr>
            <w:tcW w:w="1378" w:type="dxa"/>
            <w:vAlign w:val="center"/>
          </w:tcPr>
          <w:p w14:paraId="0AB7AF1D" w14:textId="5FC1437D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473 121,6</w:t>
            </w:r>
          </w:p>
        </w:tc>
        <w:tc>
          <w:tcPr>
            <w:tcW w:w="1368" w:type="dxa"/>
            <w:vAlign w:val="center"/>
          </w:tcPr>
          <w:p w14:paraId="11327397" w14:textId="00831DAF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515 510,6</w:t>
            </w:r>
          </w:p>
        </w:tc>
        <w:tc>
          <w:tcPr>
            <w:tcW w:w="1492" w:type="dxa"/>
            <w:vAlign w:val="center"/>
          </w:tcPr>
          <w:p w14:paraId="433D8E4A" w14:textId="41167500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584 114,1</w:t>
            </w:r>
          </w:p>
        </w:tc>
        <w:tc>
          <w:tcPr>
            <w:tcW w:w="1424" w:type="dxa"/>
            <w:vAlign w:val="center"/>
          </w:tcPr>
          <w:p w14:paraId="31712430" w14:textId="15936436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1 100 564,0</w:t>
            </w:r>
          </w:p>
        </w:tc>
      </w:tr>
      <w:tr w:rsidR="009A45F7" w:rsidRPr="00941F37" w14:paraId="3F3093B0" w14:textId="77777777" w:rsidTr="009A45F7">
        <w:trPr>
          <w:trHeight w:val="770"/>
        </w:trPr>
        <w:tc>
          <w:tcPr>
            <w:tcW w:w="1991" w:type="dxa"/>
          </w:tcPr>
          <w:p w14:paraId="492555C6" w14:textId="7135A005" w:rsidR="009A45F7" w:rsidRPr="00941F37" w:rsidRDefault="009A45F7" w:rsidP="006D48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  <w:vAlign w:val="center"/>
          </w:tcPr>
          <w:p w14:paraId="38585B4E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14" w:type="dxa"/>
            <w:vAlign w:val="center"/>
          </w:tcPr>
          <w:p w14:paraId="30B39907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378" w:type="dxa"/>
            <w:vAlign w:val="center"/>
          </w:tcPr>
          <w:p w14:paraId="75026546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368" w:type="dxa"/>
            <w:vAlign w:val="center"/>
          </w:tcPr>
          <w:p w14:paraId="77F4366C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492" w:type="dxa"/>
            <w:vAlign w:val="center"/>
          </w:tcPr>
          <w:p w14:paraId="6ED8C125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424" w:type="dxa"/>
            <w:vAlign w:val="center"/>
          </w:tcPr>
          <w:p w14:paraId="0C76A8A6" w14:textId="77777777" w:rsidR="009A45F7" w:rsidRPr="00941F37" w:rsidRDefault="009A45F7" w:rsidP="009A4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9A45F7" w:rsidRPr="00941F37" w14:paraId="04F04DA0" w14:textId="77777777" w:rsidTr="009A45F7">
        <w:trPr>
          <w:trHeight w:val="758"/>
        </w:trPr>
        <w:tc>
          <w:tcPr>
            <w:tcW w:w="1991" w:type="dxa"/>
          </w:tcPr>
          <w:p w14:paraId="459EA74C" w14:textId="534E36FE" w:rsidR="009A45F7" w:rsidRPr="00941F37" w:rsidRDefault="009A45F7" w:rsidP="006D48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6D7AB09B" w14:textId="33D5DB9B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1 572 180,2</w:t>
            </w:r>
          </w:p>
        </w:tc>
        <w:tc>
          <w:tcPr>
            <w:tcW w:w="1414" w:type="dxa"/>
            <w:vAlign w:val="center"/>
          </w:tcPr>
          <w:p w14:paraId="2E8ED357" w14:textId="289D4110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1 929 758,7</w:t>
            </w:r>
          </w:p>
        </w:tc>
        <w:tc>
          <w:tcPr>
            <w:tcW w:w="1378" w:type="dxa"/>
            <w:vAlign w:val="center"/>
          </w:tcPr>
          <w:p w14:paraId="38A92302" w14:textId="64F8673B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2 14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1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674,4</w:t>
            </w:r>
          </w:p>
        </w:tc>
        <w:tc>
          <w:tcPr>
            <w:tcW w:w="1368" w:type="dxa"/>
            <w:vAlign w:val="center"/>
          </w:tcPr>
          <w:p w14:paraId="5AD7B95B" w14:textId="58936C6A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2 168 627,1</w:t>
            </w:r>
          </w:p>
        </w:tc>
        <w:tc>
          <w:tcPr>
            <w:tcW w:w="1492" w:type="dxa"/>
            <w:vAlign w:val="center"/>
          </w:tcPr>
          <w:p w14:paraId="02002127" w14:textId="641A1B3A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1 998 275,4</w:t>
            </w:r>
          </w:p>
        </w:tc>
        <w:tc>
          <w:tcPr>
            <w:tcW w:w="1424" w:type="dxa"/>
            <w:vAlign w:val="center"/>
          </w:tcPr>
          <w:p w14:paraId="77FB7624" w14:textId="52781713" w:rsidR="009A45F7" w:rsidRPr="00941F37" w:rsidRDefault="009A45F7" w:rsidP="009A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2 551 935,6</w:t>
            </w:r>
          </w:p>
        </w:tc>
      </w:tr>
      <w:bookmarkEnd w:id="0"/>
    </w:tbl>
    <w:p w14:paraId="185F287E" w14:textId="77777777" w:rsidR="00552AEA" w:rsidRPr="006E4CD3" w:rsidRDefault="00552AEA" w:rsidP="00162A80">
      <w:pPr>
        <w:spacing w:after="0" w:line="360" w:lineRule="auto"/>
        <w:rPr>
          <w:lang w:val="uk-UA"/>
        </w:rPr>
      </w:pPr>
    </w:p>
    <w:p w14:paraId="4EDF5291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Опис методу </w:t>
      </w:r>
      <w:proofErr w:type="spellStart"/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>ковзаючих</w:t>
      </w:r>
      <w:proofErr w:type="spellEnd"/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середніх</w:t>
      </w:r>
    </w:p>
    <w:p w14:paraId="686F5D2A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601F5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Як тільки нове спостереження стає доступним, воно включається в усереднення, а найбільш старе, відповідно, виключається. Знову обчислене ковзне середнє використовується для створення прогнозу на наступний період.</w:t>
      </w:r>
      <w:r w:rsidRPr="008E087E">
        <w:rPr>
          <w:rFonts w:ascii="Times New Roman" w:hAnsi="Times New Roman" w:cs="Times New Roman"/>
          <w:sz w:val="28"/>
          <w:szCs w:val="28"/>
        </w:rPr>
        <w:t xml:space="preserve"> 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Ковзне середнє для періоду t - це арифметичне середнє k останніх спостережень. Всім спостереженнями присвоюються однакові вагові коефіцієнти. </w:t>
      </w:r>
    </w:p>
    <w:p w14:paraId="6595C47B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Кожне нове спостереження включається в середній по мірі його появи, а найбільш старі негайно виключаються. Швидкість реакції на зміни в структурі даних залежить від числа періодів k, що беруть участь в усередненні.</w:t>
      </w:r>
    </w:p>
    <w:p w14:paraId="3D9F9087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E087E">
        <w:rPr>
          <w:rFonts w:ascii="Times New Roman" w:hAnsi="Times New Roman" w:cs="Times New Roman"/>
          <w:sz w:val="28"/>
          <w:szCs w:val="28"/>
          <w:lang w:val="uk-UA"/>
        </w:rPr>
        <w:t>ковзаючих</w:t>
      </w:r>
      <w:proofErr w:type="spellEnd"/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середніх (МКС) має такий вигляд:</w:t>
      </w:r>
    </w:p>
    <w:p w14:paraId="2D786FD3" w14:textId="77777777" w:rsidR="008E087E" w:rsidRPr="008E087E" w:rsidRDefault="00B03069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t-k+1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den>
        </m:f>
      </m:oMath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.                           (</w:t>
      </w:r>
      <w:r w:rsidR="008E087E" w:rsidRPr="008E08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>.1)</w:t>
      </w:r>
    </w:p>
    <w:p w14:paraId="0066B0E5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9D005A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>3. Розрахунок похибки прогнозу</w:t>
      </w:r>
    </w:p>
    <w:p w14:paraId="6823819E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307B77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Оцінка точності прогнозів проводиться за такими ознаками:</w:t>
      </w:r>
    </w:p>
    <w:p w14:paraId="1FFD61BE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Помилка прогнозу:</w:t>
      </w:r>
    </w:p>
    <w:p w14:paraId="569B83DF" w14:textId="77777777" w:rsidR="008E087E" w:rsidRPr="008E087E" w:rsidRDefault="00B03069" w:rsidP="008E087E">
      <w:pPr>
        <w:pStyle w:val="a3"/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8E087E" w:rsidRPr="008E087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E087E" w:rsidRPr="008E087E">
        <w:rPr>
          <w:rFonts w:ascii="Times New Roman" w:hAnsi="Times New Roman" w:cs="Times New Roman"/>
          <w:sz w:val="28"/>
          <w:szCs w:val="28"/>
          <w:lang w:val="uk-UA"/>
        </w:rPr>
        <w:t>.1)</w:t>
      </w:r>
    </w:p>
    <w:p w14:paraId="271EF7A7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Абсолютна помилка прогнозу:</w:t>
      </w:r>
    </w:p>
    <w:p w14:paraId="6A0F7BE3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E087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.2) </w:t>
      </w:r>
    </w:p>
    <w:p w14:paraId="6F109279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Середня абсолютна помилка прогнозу:</w:t>
      </w:r>
    </w:p>
    <w:p w14:paraId="69D01215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∣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E087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>.3)</w:t>
      </w:r>
    </w:p>
    <w:p w14:paraId="6E529FA5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Відносна похибка прогнозу:</w:t>
      </w:r>
    </w:p>
    <w:p w14:paraId="72C36BFB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 w:rsidRPr="008E087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den>
            </m:f>
          </m:e>
        </m:d>
      </m:oMath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∙ 100;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8E087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.4)  </w:t>
      </w:r>
    </w:p>
    <w:p w14:paraId="4E1283E1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Середня абсолютна відсоткова помилка: </w:t>
      </w:r>
    </w:p>
    <w:p w14:paraId="375A26C8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 ∙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∙ 100%;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.5)</w:t>
      </w:r>
    </w:p>
    <w:p w14:paraId="188E8A8B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Середня відсоткова помилка:</w:t>
      </w:r>
    </w:p>
    <w:p w14:paraId="2F65BFB4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∙100%</m:t>
        </m:r>
      </m:oMath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.6)</w:t>
      </w:r>
    </w:p>
    <w:p w14:paraId="6D78219F" w14:textId="77777777" w:rsidR="008E087E" w:rsidRPr="008E087E" w:rsidRDefault="008E087E" w:rsidP="008E087E">
      <w:pPr>
        <w:pStyle w:val="a3"/>
        <w:numPr>
          <w:ilvl w:val="0"/>
          <w:numId w:val="7"/>
        </w:numPr>
        <w:spacing w:after="0" w:line="312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Коефіцієнт детермінації:</w:t>
      </w:r>
    </w:p>
    <w:p w14:paraId="34AECAAC" w14:textId="77777777" w:rsidR="008E087E" w:rsidRPr="008E087E" w:rsidRDefault="00B03069" w:rsidP="008E087E">
      <w:pPr>
        <w:spacing w:after="0" w:line="312" w:lineRule="auto"/>
        <w:ind w:left="42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8E087E"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.7)</w:t>
      </w:r>
    </w:p>
    <w:p w14:paraId="30A1F058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8. Коефіцієнт кореляції </w:t>
      </w:r>
      <w:proofErr w:type="spellStart"/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Пірсона</w:t>
      </w:r>
      <w:proofErr w:type="spellEnd"/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4F8E1ADD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8E087E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xy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                           (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E087E">
        <w:rPr>
          <w:rFonts w:ascii="Times New Roman" w:eastAsiaTheme="minorEastAsia" w:hAnsi="Times New Roman" w:cs="Times New Roman"/>
          <w:sz w:val="28"/>
          <w:szCs w:val="28"/>
          <w:lang w:val="uk-UA"/>
        </w:rPr>
        <w:t>.8)</w:t>
      </w:r>
    </w:p>
    <w:p w14:paraId="19A96149" w14:textId="77777777" w:rsidR="008E087E" w:rsidRPr="008E087E" w:rsidRDefault="008E087E" w:rsidP="008E087E">
      <w:pPr>
        <w:spacing w:after="0" w:line="312" w:lineRule="auto"/>
        <w:ind w:left="426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205EE8F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Програмна реалізація методу </w:t>
      </w:r>
      <w:proofErr w:type="spellStart"/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>ковзаючих</w:t>
      </w:r>
      <w:proofErr w:type="spellEnd"/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середніх</w:t>
      </w:r>
    </w:p>
    <w:p w14:paraId="089DB0E7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BFDDAB" w14:textId="1B0EF0E4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Реалізація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ковзаючих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середніх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середовищ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а рис.4.1 наведена ілюстрація програмної реалізації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7D326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5C241B" w14:textId="03DB2466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750EF" wp14:editId="1D168438">
            <wp:extent cx="3787140" cy="7848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5" r="59081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0EB5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E087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E087E">
        <w:rPr>
          <w:rFonts w:ascii="Times New Roman" w:hAnsi="Times New Roman" w:cs="Times New Roman"/>
          <w:sz w:val="28"/>
          <w:szCs w:val="28"/>
          <w:lang w:val="uk-UA"/>
        </w:rPr>
        <w:t>.1 - Програмна реалізації методу ковзких середніх</w:t>
      </w:r>
    </w:p>
    <w:p w14:paraId="4B5AE2A3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B5597C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>5.Опис методу простих середніх</w:t>
      </w:r>
    </w:p>
    <w:p w14:paraId="6036D4D1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8F4FFC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 наївних моделях, як вихідні дані використовується значення величини в момент часу t, а в якості тестової частини інші. Нижче в рівнянні виконується усереднення (обчислюється середнє значення) початкових даних і будується прогноз на наступний період.</w:t>
      </w:r>
    </w:p>
    <w:p w14:paraId="3EFC4C44" w14:textId="77777777" w:rsidR="008E087E" w:rsidRP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Як тільки нове спостереження стане доступним, для прогнозування на наступний період Y t+2 в рівнянні при обчисленні середнього слід врахувати і це спостереження. Якщо одночасно передбачається велика кількість рядів даних зберігання даних може стати серйозною проблемою. В цьому випадку можна зберігати в принципі тільки найбільш "свіжі" прогнози і спостереження:</w:t>
      </w:r>
    </w:p>
    <w:p w14:paraId="70069EBF" w14:textId="2E6DDEC7" w:rsidR="008E087E" w:rsidRDefault="008E087E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Метод простих середніх прийнятний в тих випадках, коли процеси, що генерують тимчасові ряди, стабілізувалися, а оточення, в якому існують ці ряди, в основному, незмінно.</w:t>
      </w:r>
    </w:p>
    <w:p w14:paraId="48083403" w14:textId="77777777" w:rsidR="00757D1A" w:rsidRPr="008E087E" w:rsidRDefault="00757D1A" w:rsidP="008E087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05019E" w14:textId="77777777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b/>
          <w:sz w:val="28"/>
          <w:szCs w:val="28"/>
          <w:lang w:val="uk-UA"/>
        </w:rPr>
        <w:t>6.Програмна реалізація методу простих середніх</w:t>
      </w:r>
    </w:p>
    <w:p w14:paraId="2A013EF8" w14:textId="2D4FA2A4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Реалізація методу простих середніх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середовищ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наведена на рисунку 6.1:</w:t>
      </w:r>
    </w:p>
    <w:p w14:paraId="0CD98896" w14:textId="22D92DCF" w:rsidR="008E087E" w:rsidRPr="008E087E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C0F5" wp14:editId="5C4D76F3">
            <wp:extent cx="3566160" cy="83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8" r="52539" b="5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E581" w14:textId="34594255" w:rsidR="007E3287" w:rsidRDefault="008E087E" w:rsidP="008E087E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087E">
        <w:rPr>
          <w:rFonts w:ascii="Times New Roman" w:hAnsi="Times New Roman" w:cs="Times New Roman"/>
          <w:sz w:val="28"/>
          <w:szCs w:val="28"/>
          <w:lang w:val="uk-UA"/>
        </w:rPr>
        <w:t>Рисунок 6.1 – Програмна реалізація методу ПС.</w:t>
      </w:r>
    </w:p>
    <w:p w14:paraId="5F52858D" w14:textId="77777777" w:rsidR="008E087E" w:rsidRDefault="008E087E" w:rsidP="008E087E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20B4627" w14:textId="4FCBDB86" w:rsidR="000C5078" w:rsidRPr="008E0DFC" w:rsidRDefault="00757D1A" w:rsidP="00162A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0C50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C5078" w:rsidRPr="008E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Результати досліджень</w:t>
      </w:r>
    </w:p>
    <w:p w14:paraId="158F25AB" w14:textId="36424EBA" w:rsidR="000C5078" w:rsidRPr="008E0DFC" w:rsidRDefault="008E087E" w:rsidP="00162A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8D3042C" wp14:editId="7A9FAB78">
            <wp:extent cx="3909060" cy="348535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717" cy="34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4AC" w14:textId="5929EEAC" w:rsidR="000C5078" w:rsidRDefault="000C5078" w:rsidP="00162A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.1 – Графічна ілюстрація заданого часового ряду та прогнозування, створеного на 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методі </w:t>
      </w:r>
      <w:proofErr w:type="spellStart"/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ковзаючих</w:t>
      </w:r>
      <w:proofErr w:type="spellEnd"/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середніх (КС)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E08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методі простих середніх</w:t>
      </w:r>
    </w:p>
    <w:p w14:paraId="539E5BB4" w14:textId="77777777" w:rsidR="008E087E" w:rsidRPr="008E0DFC" w:rsidRDefault="008E087E" w:rsidP="00162A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19D31F" w14:textId="376180EF" w:rsidR="00F73EAF" w:rsidRPr="00757D1A" w:rsidRDefault="00757D1A" w:rsidP="00757D1A">
      <w:pPr>
        <w:spacing w:after="0" w:line="360" w:lineRule="auto"/>
        <w:ind w:left="106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="000C5078" w:rsidRPr="00757D1A">
        <w:rPr>
          <w:rFonts w:ascii="Times New Roman" w:hAnsi="Times New Roman" w:cs="Times New Roman"/>
          <w:b/>
          <w:sz w:val="28"/>
          <w:szCs w:val="28"/>
          <w:lang w:val="uk-UA"/>
        </w:rPr>
        <w:t>Оцінка похибок прогнозів</w:t>
      </w:r>
    </w:p>
    <w:p w14:paraId="7CC547E4" w14:textId="77777777" w:rsidR="00993762" w:rsidRPr="00993762" w:rsidRDefault="00993762" w:rsidP="00162A80">
      <w:pPr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10</w:t>
      </w:r>
      <w:r w:rsidRPr="00993762">
        <w:rPr>
          <w:rFonts w:ascii="Times New Roman" w:hAnsi="Times New Roman" w:cs="Times New Roman"/>
          <w:sz w:val="28"/>
          <w:szCs w:val="28"/>
          <w:lang w:val="uk-UA"/>
        </w:rPr>
        <w:t>.1 – Похибки результатів прогнозів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445"/>
        <w:gridCol w:w="1261"/>
        <w:gridCol w:w="756"/>
        <w:gridCol w:w="874"/>
        <w:gridCol w:w="876"/>
        <w:gridCol w:w="1096"/>
        <w:gridCol w:w="996"/>
        <w:gridCol w:w="996"/>
        <w:gridCol w:w="876"/>
        <w:gridCol w:w="884"/>
      </w:tblGrid>
      <w:tr w:rsidR="001E424A" w:rsidRPr="00E448BD" w14:paraId="09148E56" w14:textId="77777777" w:rsidTr="001E424A">
        <w:trPr>
          <w:cantSplit/>
          <w:trHeight w:val="2431"/>
        </w:trPr>
        <w:tc>
          <w:tcPr>
            <w:tcW w:w="1482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0D39DF3B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bookmarkStart w:id="1" w:name="_Hlk72860268"/>
          </w:p>
        </w:tc>
        <w:tc>
          <w:tcPr>
            <w:tcW w:w="1153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003585D2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Спрогнозоване</w:t>
            </w:r>
            <w:proofErr w:type="spellEnd"/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14:paraId="205B8349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71C8519F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Помилка прогнозу</w:t>
            </w:r>
          </w:p>
          <w:p w14:paraId="2CF041A4" w14:textId="77777777" w:rsidR="005D5E5D" w:rsidRPr="00701A88" w:rsidRDefault="005D5E5D" w:rsidP="000C4F10">
            <w:pPr>
              <w:spacing w:after="0"/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1812F43E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Абсолютна </w:t>
            </w:r>
          </w:p>
          <w:p w14:paraId="2A30A2D3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помилка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25D455E9" w14:textId="77777777" w:rsidR="001E424A" w:rsidRPr="00701A88" w:rsidRDefault="001E424A" w:rsidP="001E424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Відносна помилка</w:t>
            </w:r>
          </w:p>
          <w:p w14:paraId="78A44BAB" w14:textId="5807299D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1F7D7D4" w14:textId="301B38C2" w:rsidR="005D5E5D" w:rsidRPr="00701A88" w:rsidRDefault="001E424A" w:rsidP="001E424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Середня абсолютна</w:t>
            </w:r>
            <w:r w:rsidR="005D5E5D"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14:paraId="2C1FD1D5" w14:textId="4354A45E" w:rsidR="005D5E5D" w:rsidRPr="00701A88" w:rsidRDefault="001E424A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помилка</w:t>
            </w: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D5E5D"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BC1AED8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Середня абсолютна</w:t>
            </w:r>
          </w:p>
          <w:p w14:paraId="305D85D6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відсоткова 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0EE435C4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Середня відсоткова </w:t>
            </w:r>
          </w:p>
          <w:p w14:paraId="63EF5D91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70E57ACF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Коефіцієнт </w:t>
            </w:r>
          </w:p>
          <w:p w14:paraId="2EA5500F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детермінації</w:t>
            </w:r>
          </w:p>
        </w:tc>
        <w:tc>
          <w:tcPr>
            <w:tcW w:w="885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16FD28D7" w14:textId="77777777" w:rsidR="005D5E5D" w:rsidRPr="00701A88" w:rsidRDefault="005D5E5D" w:rsidP="000C4F10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Коефіцієнт кореляції </w:t>
            </w:r>
            <w:proofErr w:type="spellStart"/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Пірсона</w:t>
            </w:r>
            <w:proofErr w:type="spellEnd"/>
          </w:p>
        </w:tc>
      </w:tr>
      <w:tr w:rsidR="001E424A" w:rsidRPr="00E448BD" w14:paraId="368EB1BE" w14:textId="77777777" w:rsidTr="001E424A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4A51EA1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Метод крайніх точок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D94F8D3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1 257 300.0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1ABE0C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F9B4E4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9D6334" w14:textId="28AB91CA" w:rsidR="005D5E5D" w:rsidRPr="00701A88" w:rsidRDefault="001E424A" w:rsidP="001E42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0.2003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F3633D" w14:textId="3D159A6D" w:rsidR="001E424A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411 270.0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D32C81E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340BA4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AF618D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0.8161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3E494B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1E424A" w:rsidRPr="00E448BD" w14:paraId="23E29F37" w14:textId="77777777" w:rsidTr="001E424A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45844B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Метод середніх точок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4F0E28C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1 439 600.0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83002A1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E1B84D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682556" w14:textId="5156CD4F" w:rsidR="005D5E5D" w:rsidRPr="00701A88" w:rsidRDefault="001E424A" w:rsidP="001E42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0.0843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6D1308" w14:textId="29497DC6" w:rsidR="001E424A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193 300.0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7FFBFE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9.6854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FF300D5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0.5011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73E91C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0.9095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C2A939" w14:textId="77777777" w:rsidR="005D5E5D" w:rsidRPr="00701A88" w:rsidRDefault="005D5E5D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5D5E5D" w:rsidRPr="00E448BD" w14:paraId="3AD3BD0A" w14:textId="77777777" w:rsidTr="001E424A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E8B1647" w14:textId="7E26A877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ЛМ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8E2902A" w14:textId="6928CDE7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948 960.0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6C16417" w14:textId="131601CE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4298F1D" w14:textId="3F1412E3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9640D53" w14:textId="4B3B4333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0.3964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E5FEF0F" w14:textId="200DF33A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732 900.0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162FE58" w14:textId="2B0CE929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DC46563" w14:textId="5D4A2001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27264A0" w14:textId="40527A38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0.5406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98B29EA" w14:textId="2840DCC6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5D5E5D" w:rsidRPr="00E448BD" w14:paraId="70366784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92BEE14" w14:textId="2956F521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lastRenderedPageBreak/>
              <w:t>ПМ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5595D91" w14:textId="24583210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1 178 900.0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0675785" w14:textId="2D294896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7956CF8" w14:textId="2CB64F1F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A825643" w14:textId="32C5DEC6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0.2502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5341F08" w14:textId="3A953FCA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742 240.0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B9755D1" w14:textId="70FA0805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7C3F995" w14:textId="15D25774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44AADFB" w14:textId="4174F9F1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0.2173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00162C2" w14:textId="5B625DFC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5D5E5D" w:rsidRPr="00E448BD" w14:paraId="23403B54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AF1F950" w14:textId="53D2905E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ЕМ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FF651AB" w14:textId="76900D3B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978 470.0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7A804A3" w14:textId="03C1B6F1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3C689D3" w14:textId="2E8FAB04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2A24EBB" w14:textId="25C3F365" w:rsidR="005D5E5D" w:rsidRPr="00701A88" w:rsidRDefault="001036AB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0.3776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B2FEB4" w14:textId="238F4CC2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451 210.0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8E1FDA9" w14:textId="48E98A0C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0CD04B4" w14:textId="08A851E0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43A2BBB" w14:textId="14BB5A1E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0.8136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6AC8392" w14:textId="67BC8661" w:rsidR="005D5E5D" w:rsidRPr="00701A88" w:rsidRDefault="001E424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B03069" w:rsidRPr="00E448BD" w14:paraId="53BEBA4E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4CE7FF7" w14:textId="581E7B18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10FFFF8" w14:textId="24653E08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564.0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DDBB3C0" w14:textId="5B098B7A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08B7A88" w14:textId="1838A79B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1E88C92" w14:textId="5082A872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0.3000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1659CBA" w14:textId="3F84EDAA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298 680.0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23A3D54" w14:textId="699E5AD6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14.9809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F4F6402" w14:textId="7B0FB9E7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12.1393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3BC65CF" w14:textId="255BBDEB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-0.364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D9AB92D" w14:textId="4B91A288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B03069" w:rsidRPr="00E448BD" w14:paraId="31604492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6CDEF0A" w14:textId="2D152428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55836AA" w14:textId="1F18E9D3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1 617 000.0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435DE0A" w14:textId="19CF0E95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-44 834.0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1940E02" w14:textId="376F362F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7EA3D9E" w14:textId="407E6A90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0.0285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04A968A" w14:textId="4CCAE6B6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235 140.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87DF231" w14:textId="1F01AA23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10.3894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2C11545" w14:textId="1DE8C846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-0.9324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459DF3E" w14:textId="0657EAD1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0.1802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6D62BF0" w14:textId="75D80F0B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B03069" w:rsidRPr="00E448BD" w14:paraId="251452A3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CA19D17" w14:textId="7CC5FEE5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F1443F6" w14:textId="52D09897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2 073 600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7800E95" w14:textId="277ACD5F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-501 460.0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6BC3847" w14:textId="2D257A4C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DC7E6F1" w14:textId="11D185B6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0.3190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8F37BA6" w14:textId="2E035143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360 180.0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FDB6FCF" w14:textId="50514F61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17.7027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05D569A" w14:textId="5A5F267C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-8.4205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D03C45" w14:textId="0F54529E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0.4225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AA4F33D" w14:textId="30F23CA2" w:rsidR="00B03069" w:rsidRPr="00701A88" w:rsidRDefault="00B03069" w:rsidP="00B030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8E087E" w:rsidRPr="00E448BD" w14:paraId="247C51AC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2B07395" w14:textId="7097863A" w:rsidR="008E087E" w:rsidRPr="00701A88" w:rsidRDefault="008E087E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КС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64F03A7" w14:textId="250531F0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733 400.0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04C067E" w14:textId="1582F7B3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838 780.0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FA1EE1D" w14:textId="0692E0D8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838 780.0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23875F2" w14:textId="2FC74C30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0.5335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B11B395" w14:textId="3427CE97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51 811 000.0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1233FD5" w14:textId="7E471492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26.7338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054AD03" w14:textId="3ABEE45F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25.3702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B7E35BD" w14:textId="0500E2C4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0.1765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3E071D9" w14:textId="01C28C88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tr w:rsidR="008E087E" w:rsidRPr="00E448BD" w14:paraId="52A20D5B" w14:textId="77777777" w:rsidTr="00B03069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49BE65" w14:textId="66B7EE1C" w:rsidR="008E087E" w:rsidRPr="00757D1A" w:rsidRDefault="008E087E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ПС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1A0D3E" w14:textId="6C99D921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570 410.0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7AFA96" w14:textId="2F2FD9E1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1 001 800.0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EC1817" w14:textId="4843B030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1 001 800.0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65351F" w14:textId="0CD544D4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0.6372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B3CF63" w14:textId="2A95B48F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114 650 000.0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27DCCF" w14:textId="0444EE19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56.0862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4ED4DB" w14:textId="2D37BF94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56.0862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489F5C" w14:textId="1EEEFA63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57D1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-2.2939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168967" w14:textId="1F95E0DA" w:rsidR="008E087E" w:rsidRPr="00701A88" w:rsidRDefault="00757D1A" w:rsidP="000C4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01A8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0.9611</w:t>
            </w:r>
          </w:p>
        </w:tc>
      </w:tr>
      <w:bookmarkEnd w:id="1"/>
    </w:tbl>
    <w:p w14:paraId="637DA422" w14:textId="77777777" w:rsidR="00F73EAF" w:rsidRPr="00941F37" w:rsidRDefault="00F73EAF" w:rsidP="00162A8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0E98EC" w14:textId="0B15876D" w:rsidR="00F73EAF" w:rsidRDefault="00F73EAF" w:rsidP="00162A8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E0DFC">
        <w:rPr>
          <w:rFonts w:ascii="Times New Roman" w:hAnsi="Times New Roman"/>
          <w:sz w:val="28"/>
          <w:szCs w:val="28"/>
          <w:lang w:val="uk-UA"/>
        </w:rPr>
        <w:t xml:space="preserve">Для порівняння заданих </w:t>
      </w:r>
      <w:r>
        <w:rPr>
          <w:rFonts w:ascii="Times New Roman" w:hAnsi="Times New Roman"/>
          <w:sz w:val="28"/>
          <w:szCs w:val="28"/>
          <w:lang w:val="uk-UA"/>
        </w:rPr>
        <w:t>моделей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було взяти за критерії оцінювання похибка прогнозу та коефіцієнт детермінації. Для </w:t>
      </w:r>
      <w:r w:rsidR="00757D1A">
        <w:rPr>
          <w:rFonts w:ascii="Times New Roman" w:hAnsi="Times New Roman"/>
          <w:sz w:val="28"/>
          <w:szCs w:val="28"/>
          <w:lang w:val="uk-UA"/>
        </w:rPr>
        <w:t>КС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похибка прогнозу дорівнює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838 780.0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а для </w:t>
      </w:r>
      <w:r w:rsidR="00BB1563">
        <w:rPr>
          <w:rFonts w:ascii="Times New Roman" w:hAnsi="Times New Roman"/>
          <w:sz w:val="28"/>
          <w:szCs w:val="28"/>
          <w:lang w:val="uk-UA"/>
        </w:rPr>
        <w:t>П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С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1 001 800.0</w:t>
      </w:r>
      <w:r w:rsid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а коефіцієнт детермінації дорівнює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0.1765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-2.293</w:t>
      </w:r>
      <w:r w:rsid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9 </w:t>
      </w:r>
      <w:r w:rsidRPr="008E0DFC">
        <w:rPr>
          <w:rFonts w:ascii="Times New Roman" w:hAnsi="Times New Roman"/>
          <w:sz w:val="28"/>
          <w:szCs w:val="28"/>
          <w:lang w:val="uk-UA"/>
        </w:rPr>
        <w:t>відповідно. Спираючись на похибку у прогнозуванні останнього елемента числового ряду, можна зробити висновок, що для заданого часового ряду</w:t>
      </w:r>
      <w:r w:rsidR="006F60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7D1A">
        <w:rPr>
          <w:rFonts w:ascii="Times New Roman" w:hAnsi="Times New Roman"/>
          <w:sz w:val="28"/>
          <w:szCs w:val="28"/>
        </w:rPr>
        <w:t>КС</w:t>
      </w:r>
      <w:r>
        <w:rPr>
          <w:rFonts w:ascii="Times New Roman" w:hAnsi="Times New Roman"/>
          <w:sz w:val="28"/>
          <w:szCs w:val="28"/>
          <w:lang w:val="uk-UA"/>
        </w:rPr>
        <w:t xml:space="preserve"> дає найбільш точні результати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. При порівнянні значення середньої абсолютної відсоткової помилки (MAPE) бачимо, що 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КС </w:t>
      </w:r>
      <w:proofErr w:type="spellStart"/>
      <w:r w:rsidR="00F36614">
        <w:rPr>
          <w:rFonts w:ascii="Times New Roman" w:hAnsi="Times New Roman"/>
          <w:sz w:val="28"/>
          <w:szCs w:val="28"/>
          <w:lang w:val="uk-UA"/>
        </w:rPr>
        <w:t>ма</w:t>
      </w:r>
      <w:r w:rsidR="00757D1A">
        <w:rPr>
          <w:rFonts w:ascii="Times New Roman" w:hAnsi="Times New Roman"/>
          <w:sz w:val="28"/>
          <w:szCs w:val="28"/>
          <w:lang w:val="uk-UA"/>
        </w:rPr>
        <w:t>э</w:t>
      </w:r>
      <w:proofErr w:type="spellEnd"/>
      <w:r w:rsidR="00F36614">
        <w:rPr>
          <w:rFonts w:ascii="Times New Roman" w:hAnsi="Times New Roman"/>
          <w:sz w:val="28"/>
          <w:szCs w:val="28"/>
          <w:lang w:val="uk-UA"/>
        </w:rPr>
        <w:t xml:space="preserve"> задовільну точність</w:t>
      </w:r>
      <w:r w:rsidR="00757D1A">
        <w:rPr>
          <w:rFonts w:ascii="Times New Roman" w:hAnsi="Times New Roman"/>
          <w:sz w:val="28"/>
          <w:szCs w:val="28"/>
          <w:lang w:val="uk-UA"/>
        </w:rPr>
        <w:t>, а ПС має незадовільну точність.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3287"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Вважається, що прогноз має </w:t>
      </w:r>
      <w:r w:rsidR="007E3287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високу точність, якщо MАPE &lt; 10</w:t>
      </w:r>
      <w:r w:rsidR="007E3287"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%. Прогноз має гарну точність, якщо значення даного по</w:t>
      </w:r>
      <w:r w:rsidR="007E3287">
        <w:rPr>
          <w:rFonts w:ascii="Times New Roman" w:eastAsiaTheme="minorEastAsia" w:hAnsi="Times New Roman" w:cs="Times New Roman"/>
          <w:sz w:val="28"/>
          <w:szCs w:val="28"/>
          <w:lang w:val="uk-UA"/>
        </w:rPr>
        <w:t>казника знаходиться між 10 і 20</w:t>
      </w:r>
      <w:r w:rsidR="007E3287"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%. Прогноз має задо</w:t>
      </w:r>
      <w:r w:rsidR="007E3287">
        <w:rPr>
          <w:rFonts w:ascii="Times New Roman" w:eastAsiaTheme="minorEastAsia" w:hAnsi="Times New Roman" w:cs="Times New Roman"/>
          <w:sz w:val="28"/>
          <w:szCs w:val="28"/>
          <w:lang w:val="uk-UA"/>
        </w:rPr>
        <w:t>вільну точність за умови, що 20% &lt; MАPE &lt; 50</w:t>
      </w:r>
      <w:r w:rsidR="007E3287"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%. Якщо значення </w:t>
      </w:r>
      <w:r w:rsidR="007E3287">
        <w:rPr>
          <w:rFonts w:ascii="Times New Roman" w:eastAsiaTheme="minorEastAsia" w:hAnsi="Times New Roman" w:cs="Times New Roman"/>
          <w:sz w:val="28"/>
          <w:szCs w:val="28"/>
          <w:lang w:val="uk-UA"/>
        </w:rPr>
        <w:t>показника більше за 50</w:t>
      </w:r>
      <w:r w:rsidR="007E3287"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%, то такий прогноз має незадовільну точність</w:t>
      </w:r>
      <w:r w:rsidR="007E32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590D7724" w14:textId="77777777" w:rsidR="007E3287" w:rsidRPr="008E0DFC" w:rsidRDefault="007E3287" w:rsidP="00162A80">
      <w:pPr>
        <w:spacing w:after="0" w:line="360" w:lineRule="auto"/>
        <w:ind w:left="142" w:right="5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A07F02" w14:textId="77777777" w:rsidR="00F73EAF" w:rsidRPr="00993762" w:rsidRDefault="00C81FDA" w:rsidP="00162A80">
      <w:pPr>
        <w:pStyle w:val="a3"/>
        <w:numPr>
          <w:ilvl w:val="0"/>
          <w:numId w:val="6"/>
        </w:num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93762" w:rsidRPr="00993762">
        <w:rPr>
          <w:rFonts w:ascii="Times New Roman" w:hAnsi="Times New Roman" w:cs="Times New Roman"/>
          <w:b/>
          <w:sz w:val="28"/>
          <w:szCs w:val="28"/>
          <w:lang w:val="uk-UA"/>
        </w:rPr>
        <w:t>Результати досліджень</w:t>
      </w:r>
    </w:p>
    <w:p w14:paraId="4C357540" w14:textId="2B8BFE32" w:rsidR="00F73EAF" w:rsidRPr="00C81FDA" w:rsidRDefault="00F73EAF" w:rsidP="008309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162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Було досліджено формування прогнозів на основі </w:t>
      </w:r>
      <w:r w:rsidR="00757D1A">
        <w:rPr>
          <w:rFonts w:ascii="Times New Roman" w:hAnsi="Times New Roman"/>
          <w:sz w:val="28"/>
          <w:szCs w:val="28"/>
          <w:lang w:val="uk-UA"/>
        </w:rPr>
        <w:t>КС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описаної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у розділі 2,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7D1A">
        <w:rPr>
          <w:rFonts w:ascii="Times New Roman" w:hAnsi="Times New Roman"/>
          <w:sz w:val="28"/>
          <w:szCs w:val="28"/>
          <w:lang w:val="uk-UA"/>
        </w:rPr>
        <w:t>ПС</w:t>
      </w:r>
      <w:r>
        <w:rPr>
          <w:rFonts w:ascii="Times New Roman" w:hAnsi="Times New Roman"/>
          <w:sz w:val="28"/>
          <w:szCs w:val="28"/>
          <w:lang w:val="uk-UA"/>
        </w:rPr>
        <w:t xml:space="preserve">, описаної у розділі </w:t>
      </w:r>
      <w:r w:rsidR="00757D1A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Після програмної реалізації даних прогнозів, наведених у розділі </w:t>
      </w:r>
      <w:r w:rsidR="00757D1A">
        <w:rPr>
          <w:rFonts w:ascii="Times New Roman" w:hAnsi="Times New Roman"/>
          <w:sz w:val="28"/>
          <w:szCs w:val="28"/>
          <w:lang w:val="uk-UA"/>
        </w:rPr>
        <w:t>4 та 6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7E3287">
        <w:rPr>
          <w:rFonts w:ascii="Times New Roman" w:hAnsi="Times New Roman"/>
          <w:sz w:val="28"/>
          <w:szCs w:val="28"/>
          <w:lang w:val="uk-UA"/>
        </w:rPr>
        <w:t xml:space="preserve"> відповідно,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та проведення їх </w:t>
      </w:r>
      <w:r w:rsidRPr="008E0DFC">
        <w:rPr>
          <w:rFonts w:ascii="Times New Roman" w:hAnsi="Times New Roman"/>
          <w:sz w:val="28"/>
          <w:szCs w:val="28"/>
          <w:lang w:val="uk-UA"/>
        </w:rPr>
        <w:lastRenderedPageBreak/>
        <w:t xml:space="preserve">порівняльної характеристики між собою, зазначеного у розділі </w:t>
      </w:r>
      <w:r w:rsidR="00757D1A">
        <w:rPr>
          <w:rFonts w:ascii="Times New Roman" w:hAnsi="Times New Roman"/>
          <w:sz w:val="28"/>
          <w:szCs w:val="28"/>
          <w:lang w:val="uk-UA"/>
        </w:rPr>
        <w:t>8</w:t>
      </w:r>
      <w:r w:rsidRPr="008E0DFC">
        <w:rPr>
          <w:rFonts w:ascii="Times New Roman" w:hAnsi="Times New Roman"/>
          <w:sz w:val="28"/>
          <w:szCs w:val="28"/>
          <w:lang w:val="uk-UA"/>
        </w:rPr>
        <w:t>, та з реальним результатом прогнозованої точки у часовому ряді, зазначеному у розділі 1, можна зробити висновок, що дані ме</w:t>
      </w:r>
      <w:r w:rsidR="006F60D7">
        <w:rPr>
          <w:rFonts w:ascii="Times New Roman" w:hAnsi="Times New Roman"/>
          <w:sz w:val="28"/>
          <w:szCs w:val="28"/>
          <w:lang w:val="uk-UA"/>
        </w:rPr>
        <w:t>тод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 КС</w:t>
      </w:r>
      <w:r w:rsidR="006F60D7">
        <w:rPr>
          <w:rFonts w:ascii="Times New Roman" w:hAnsi="Times New Roman"/>
          <w:sz w:val="28"/>
          <w:szCs w:val="28"/>
          <w:lang w:val="uk-UA"/>
        </w:rPr>
        <w:t xml:space="preserve"> для заданого часового ряду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 має задовільну точність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а ПС має незадовільну точність,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адже середня абсолютна відсоткова помилка дорівнює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25.3702</w:t>
      </w:r>
      <w:r w:rsid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%, </w:t>
      </w:r>
      <w:r w:rsidR="00757D1A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56.0862</w:t>
      </w:r>
      <w:r w:rsid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% </w:t>
      </w:r>
      <w:r w:rsidRPr="008E0DFC">
        <w:rPr>
          <w:rFonts w:ascii="Times New Roman" w:hAnsi="Times New Roman"/>
          <w:sz w:val="28"/>
          <w:szCs w:val="28"/>
          <w:lang w:val="uk-UA"/>
        </w:rPr>
        <w:t>відповідно.</w:t>
      </w:r>
      <w:r w:rsidR="00757D1A">
        <w:rPr>
          <w:rFonts w:ascii="Times New Roman" w:hAnsi="Times New Roman"/>
          <w:sz w:val="28"/>
          <w:szCs w:val="28"/>
          <w:lang w:val="uk-UA"/>
        </w:rPr>
        <w:t xml:space="preserve"> Для даного ряду найточнішим буде метод КС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. На це вказують такі показники </w:t>
      </w:r>
      <w:r w:rsidR="007E3287" w:rsidRPr="00830993">
        <w:rPr>
          <w:rFonts w:ascii="Times New Roman" w:hAnsi="Times New Roman"/>
          <w:sz w:val="28"/>
          <w:szCs w:val="28"/>
          <w:lang w:val="uk-UA"/>
        </w:rPr>
        <w:t>середня відсоткова помилка</w:t>
      </w:r>
      <w:r w:rsidR="00830993" w:rsidRPr="00830993">
        <w:rPr>
          <w:rFonts w:ascii="Times New Roman" w:hAnsi="Times New Roman"/>
          <w:sz w:val="28"/>
          <w:szCs w:val="28"/>
        </w:rPr>
        <w:t xml:space="preserve"> (</w:t>
      </w:r>
      <w:r w:rsidR="00A04989" w:rsidRPr="00757D1A">
        <w:rPr>
          <w:rFonts w:ascii="Times New Roman" w:hAnsi="Times New Roman" w:cs="Times New Roman"/>
          <w:color w:val="000000"/>
          <w:sz w:val="24"/>
          <w:szCs w:val="24"/>
          <w:lang w:val="uk-UA"/>
        </w:rPr>
        <w:t>25.3702</w:t>
      </w:r>
      <w:r w:rsidR="00A04989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%) </w:t>
      </w:r>
      <w:r w:rsidR="00F3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наведені в розділі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6614">
        <w:rPr>
          <w:rFonts w:ascii="Times New Roman" w:hAnsi="Times New Roman"/>
          <w:sz w:val="28"/>
          <w:szCs w:val="28"/>
          <w:lang w:val="uk-UA"/>
        </w:rPr>
        <w:t>10 та графік у розділі 9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04989">
        <w:rPr>
          <w:rFonts w:ascii="Times New Roman" w:hAnsi="Times New Roman"/>
          <w:sz w:val="28"/>
          <w:szCs w:val="28"/>
          <w:lang w:val="uk-UA"/>
        </w:rPr>
        <w:t xml:space="preserve">Дані методи менш точні ніж досліджувані до цього </w:t>
      </w:r>
      <w:proofErr w:type="spellStart"/>
      <w:r w:rsidR="00A04989">
        <w:rPr>
          <w:rFonts w:ascii="Times New Roman" w:hAnsi="Times New Roman"/>
          <w:sz w:val="28"/>
          <w:szCs w:val="28"/>
          <w:lang w:val="uk-UA"/>
        </w:rPr>
        <w:t>момента</w:t>
      </w:r>
      <w:proofErr w:type="spellEnd"/>
      <w:r w:rsidR="00A04989">
        <w:rPr>
          <w:rFonts w:ascii="Times New Roman" w:hAnsi="Times New Roman"/>
          <w:sz w:val="28"/>
          <w:szCs w:val="28"/>
          <w:lang w:val="uk-UA"/>
        </w:rPr>
        <w:t>.</w:t>
      </w:r>
    </w:p>
    <w:p w14:paraId="39DFE61A" w14:textId="77777777" w:rsidR="003922B5" w:rsidRPr="00390B0B" w:rsidRDefault="003922B5" w:rsidP="00162A80">
      <w:pPr>
        <w:spacing w:after="0" w:line="360" w:lineRule="auto"/>
        <w:rPr>
          <w:lang w:val="uk-UA"/>
        </w:rPr>
      </w:pPr>
    </w:p>
    <w:sectPr w:rsidR="003922B5" w:rsidRPr="0039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abstractNum w:abstractNumId="1" w15:restartNumberingAfterBreak="0">
    <w:nsid w:val="18AF21D8"/>
    <w:multiLevelType w:val="hybridMultilevel"/>
    <w:tmpl w:val="8E862E2E"/>
    <w:lvl w:ilvl="0" w:tplc="6C00AC24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F218BD"/>
    <w:multiLevelType w:val="hybridMultilevel"/>
    <w:tmpl w:val="492C897A"/>
    <w:lvl w:ilvl="0" w:tplc="972E408E">
      <w:start w:val="6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F86941"/>
    <w:multiLevelType w:val="hybridMultilevel"/>
    <w:tmpl w:val="A49EC634"/>
    <w:lvl w:ilvl="0" w:tplc="855C943E">
      <w:start w:val="6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04A3F9C"/>
    <w:multiLevelType w:val="hybridMultilevel"/>
    <w:tmpl w:val="3938729E"/>
    <w:lvl w:ilvl="0" w:tplc="20DAC61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A16ED4"/>
    <w:multiLevelType w:val="hybridMultilevel"/>
    <w:tmpl w:val="90FECA74"/>
    <w:lvl w:ilvl="0" w:tplc="C99AC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F1"/>
    <w:rsid w:val="000C5078"/>
    <w:rsid w:val="000F15F1"/>
    <w:rsid w:val="001036AB"/>
    <w:rsid w:val="00162A80"/>
    <w:rsid w:val="001E424A"/>
    <w:rsid w:val="001F0AF3"/>
    <w:rsid w:val="001F3CD8"/>
    <w:rsid w:val="00216FC4"/>
    <w:rsid w:val="00390B0B"/>
    <w:rsid w:val="003922B5"/>
    <w:rsid w:val="00476C56"/>
    <w:rsid w:val="004F5C7D"/>
    <w:rsid w:val="005527E9"/>
    <w:rsid w:val="00552AEA"/>
    <w:rsid w:val="005D5E5D"/>
    <w:rsid w:val="006B62BC"/>
    <w:rsid w:val="006F60D7"/>
    <w:rsid w:val="00701A88"/>
    <w:rsid w:val="00757D1A"/>
    <w:rsid w:val="007E3287"/>
    <w:rsid w:val="00830993"/>
    <w:rsid w:val="008E087E"/>
    <w:rsid w:val="00941F37"/>
    <w:rsid w:val="00993762"/>
    <w:rsid w:val="009A45F7"/>
    <w:rsid w:val="009A5730"/>
    <w:rsid w:val="00A04989"/>
    <w:rsid w:val="00AB0615"/>
    <w:rsid w:val="00AE7EC1"/>
    <w:rsid w:val="00B03069"/>
    <w:rsid w:val="00BB1563"/>
    <w:rsid w:val="00BB15A1"/>
    <w:rsid w:val="00BD6F8F"/>
    <w:rsid w:val="00C221FA"/>
    <w:rsid w:val="00C81FDA"/>
    <w:rsid w:val="00DF5523"/>
    <w:rsid w:val="00F36614"/>
    <w:rsid w:val="00F518E5"/>
    <w:rsid w:val="00F73EAF"/>
    <w:rsid w:val="00F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15F7"/>
  <w15:chartTrackingRefBased/>
  <w15:docId w15:val="{3582310B-B271-4B54-A29F-397C207C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AEA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55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5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390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4426</Words>
  <Characters>2524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Артем Авраменко</cp:lastModifiedBy>
  <cp:revision>13</cp:revision>
  <dcterms:created xsi:type="dcterms:W3CDTF">2019-12-13T06:17:00Z</dcterms:created>
  <dcterms:modified xsi:type="dcterms:W3CDTF">2021-05-25T19:05:00Z</dcterms:modified>
</cp:coreProperties>
</file>