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625B5" w:rsidRPr="00A868E5" w:rsidRDefault="004625B5" w:rsidP="004625B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4625B5" w:rsidRPr="007F50E1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 w:rsidR="007F50E1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лабораторної роботи №</w:t>
      </w:r>
      <w:r w:rsidR="007F50E1"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  <w:t>2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>
        <w:rPr>
          <w:rFonts w:ascii="Times New Roman" w:hAnsi="Times New Roman"/>
          <w:szCs w:val="24"/>
          <w:lang w:val="uk-UA"/>
        </w:rPr>
        <w:t xml:space="preserve">ви прогнозів </w:t>
      </w:r>
      <w:r w:rsidRPr="004625B5">
        <w:rPr>
          <w:rFonts w:ascii="Times New Roman" w:hAnsi="Times New Roman"/>
          <w:szCs w:val="24"/>
          <w:lang w:val="uk-UA"/>
        </w:rPr>
        <w:t xml:space="preserve">на </w:t>
      </w:r>
      <w:r w:rsidR="007F50E1" w:rsidRPr="00A23C1C">
        <w:rPr>
          <w:rFonts w:ascii="Times New Roman" w:hAnsi="Times New Roman"/>
          <w:szCs w:val="24"/>
          <w:lang w:val="uk-UA"/>
        </w:rPr>
        <w:t>основі методу експоненціального згладжування</w:t>
      </w:r>
      <w:r w:rsidRPr="00A868E5">
        <w:rPr>
          <w:rFonts w:ascii="Times New Roman" w:hAnsi="Times New Roman"/>
          <w:szCs w:val="24"/>
          <w:lang w:val="uk-UA"/>
        </w:rPr>
        <w:t xml:space="preserve">. Оцінка точності побудови прогнозів за множиною показників. Проведення порівняльного аналізу ефективності досліджуваних методів </w:t>
      </w:r>
      <w:r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Індивідуальні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4625B5" w:rsidRPr="00A868E5" w:rsidTr="00E11A83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E1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4625B5" w:rsidRPr="00A76DEB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моделей</w:t>
      </w:r>
    </w:p>
    <w:p w:rsidR="008C3856" w:rsidRDefault="008C3856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методу експоненціального згладжування </w:t>
      </w:r>
    </w:p>
    <w:p w:rsid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t xml:space="preserve">У порівнянні з методами </w:t>
      </w:r>
      <w:proofErr w:type="spellStart"/>
      <w:r w:rsidRPr="00A23C1C">
        <w:rPr>
          <w:rFonts w:ascii="Times New Roman" w:hAnsi="Times New Roman" w:cs="Times New Roman"/>
          <w:sz w:val="24"/>
          <w:szCs w:val="28"/>
        </w:rPr>
        <w:t>ковзаючих</w:t>
      </w:r>
      <w:proofErr w:type="spellEnd"/>
      <w:r w:rsidRPr="00A23C1C">
        <w:rPr>
          <w:rFonts w:ascii="Times New Roman" w:hAnsi="Times New Roman" w:cs="Times New Roman"/>
          <w:sz w:val="24"/>
          <w:szCs w:val="28"/>
        </w:rPr>
        <w:t xml:space="preserve"> середніх, де задіяні лише найбільш свіжі дані, в методі простого експоненціального згладжування застосовується зважене (</w:t>
      </w:r>
      <w:proofErr w:type="spellStart"/>
      <w:r w:rsidRPr="00A23C1C">
        <w:rPr>
          <w:rFonts w:ascii="Times New Roman" w:hAnsi="Times New Roman" w:cs="Times New Roman"/>
          <w:sz w:val="24"/>
          <w:szCs w:val="28"/>
        </w:rPr>
        <w:t>експоненціально</w:t>
      </w:r>
      <w:proofErr w:type="spellEnd"/>
      <w:r w:rsidRPr="00A23C1C">
        <w:rPr>
          <w:rFonts w:ascii="Times New Roman" w:hAnsi="Times New Roman" w:cs="Times New Roman"/>
          <w:sz w:val="24"/>
          <w:szCs w:val="28"/>
        </w:rPr>
        <w:t>) ковзне усереднення всіх</w:t>
      </w:r>
      <w:r>
        <w:rPr>
          <w:rFonts w:ascii="Times New Roman" w:hAnsi="Times New Roman" w:cs="Times New Roman"/>
          <w:sz w:val="24"/>
          <w:szCs w:val="28"/>
        </w:rPr>
        <w:t xml:space="preserve"> даних попередніх спостережень.</w:t>
      </w:r>
    </w:p>
    <w:p w:rsid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t>Ця модель найчастіше застосовується до даних, про які заздалегідь</w:t>
      </w:r>
      <w:r>
        <w:rPr>
          <w:rFonts w:ascii="Times New Roman" w:hAnsi="Times New Roman" w:cs="Times New Roman"/>
          <w:sz w:val="24"/>
          <w:szCs w:val="28"/>
        </w:rPr>
        <w:t xml:space="preserve"> не відомо,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чи мають вони тренд.</w:t>
      </w:r>
    </w:p>
    <w:p w:rsid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t>Метою такого підходу є оцінка поточного стану, результати якої і</w:t>
      </w:r>
      <w:r>
        <w:rPr>
          <w:rFonts w:ascii="Times New Roman" w:hAnsi="Times New Roman" w:cs="Times New Roman"/>
          <w:sz w:val="24"/>
          <w:szCs w:val="28"/>
        </w:rPr>
        <w:t xml:space="preserve"> визначать всі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наступні прогнози.</w:t>
      </w:r>
    </w:p>
    <w:p w:rsid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t xml:space="preserve">Експоненціальне згладжування передбачає постійне оновлення моделі за рахунок найбільш свіжих даних. Цей метод </w:t>
      </w:r>
      <w:proofErr w:type="spellStart"/>
      <w:r w:rsidRPr="00A23C1C">
        <w:rPr>
          <w:rFonts w:ascii="Times New Roman" w:hAnsi="Times New Roman" w:cs="Times New Roman"/>
          <w:sz w:val="24"/>
          <w:szCs w:val="28"/>
        </w:rPr>
        <w:t>грунтується</w:t>
      </w:r>
      <w:proofErr w:type="spellEnd"/>
      <w:r w:rsidRPr="00A23C1C">
        <w:rPr>
          <w:rFonts w:ascii="Times New Roman" w:hAnsi="Times New Roman" w:cs="Times New Roman"/>
          <w:sz w:val="24"/>
          <w:szCs w:val="28"/>
        </w:rPr>
        <w:t xml:space="preserve"> на усередненні (згладжування) часових рядів минулих спостережень в низхідн</w:t>
      </w:r>
      <w:r>
        <w:rPr>
          <w:rFonts w:ascii="Times New Roman" w:hAnsi="Times New Roman" w:cs="Times New Roman"/>
          <w:sz w:val="24"/>
          <w:szCs w:val="28"/>
        </w:rPr>
        <w:t>ому (</w:t>
      </w:r>
      <w:proofErr w:type="spellStart"/>
      <w:r>
        <w:rPr>
          <w:rFonts w:ascii="Times New Roman" w:hAnsi="Times New Roman" w:cs="Times New Roman"/>
          <w:sz w:val="24"/>
          <w:szCs w:val="28"/>
        </w:rPr>
        <w:t>експоненціально</w:t>
      </w:r>
      <w:proofErr w:type="spellEnd"/>
      <w:r>
        <w:rPr>
          <w:rFonts w:ascii="Times New Roman" w:hAnsi="Times New Roman" w:cs="Times New Roman"/>
          <w:sz w:val="24"/>
          <w:szCs w:val="28"/>
        </w:rPr>
        <w:t>) напрямку.</w:t>
      </w:r>
    </w:p>
    <w:p w:rsid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t>Більш пізнім п</w:t>
      </w:r>
      <w:r>
        <w:rPr>
          <w:rFonts w:ascii="Times New Roman" w:hAnsi="Times New Roman" w:cs="Times New Roman"/>
          <w:sz w:val="24"/>
          <w:szCs w:val="28"/>
        </w:rPr>
        <w:t>одіям присвоюється більшу вагу.</w:t>
      </w:r>
    </w:p>
    <w:p w:rsidR="00A23C1C" w:rsidRPr="00A23C1C" w:rsidRDefault="00A23C1C" w:rsidP="00A23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3C1C">
        <w:rPr>
          <w:rFonts w:ascii="Times New Roman" w:hAnsi="Times New Roman" w:cs="Times New Roman"/>
          <w:sz w:val="24"/>
          <w:szCs w:val="28"/>
        </w:rPr>
        <w:lastRenderedPageBreak/>
        <w:t>Вага присвоюється н</w:t>
      </w:r>
      <w:bookmarkStart w:id="0" w:name="_GoBack"/>
      <w:bookmarkEnd w:id="0"/>
      <w:r w:rsidRPr="00A23C1C">
        <w:rPr>
          <w:rFonts w:ascii="Times New Roman" w:hAnsi="Times New Roman" w:cs="Times New Roman"/>
          <w:sz w:val="24"/>
          <w:szCs w:val="28"/>
        </w:rPr>
        <w:t xml:space="preserve">аступним чином: для останнього спостереження вагою буде величина α (постійна </w:t>
      </w:r>
      <w:proofErr w:type="spellStart"/>
      <w:r w:rsidRPr="00A23C1C">
        <w:rPr>
          <w:rFonts w:ascii="Times New Roman" w:hAnsi="Times New Roman" w:cs="Times New Roman"/>
          <w:sz w:val="24"/>
          <w:szCs w:val="28"/>
        </w:rPr>
        <w:t>зглажування</w:t>
      </w:r>
      <w:proofErr w:type="spellEnd"/>
      <w:r w:rsidRPr="00A23C1C">
        <w:rPr>
          <w:rFonts w:ascii="Times New Roman" w:hAnsi="Times New Roman" w:cs="Times New Roman"/>
          <w:sz w:val="24"/>
          <w:szCs w:val="28"/>
        </w:rPr>
        <w:t>), для передостаннього (1 - α), для того,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A23C1C">
        <w:rPr>
          <w:rFonts w:ascii="Times New Roman" w:hAnsi="Times New Roman" w:cs="Times New Roman"/>
          <w:sz w:val="24"/>
          <w:szCs w:val="28"/>
        </w:rPr>
        <w:t xml:space="preserve">яке було перед ним, - (1 - α) ^ 2 і </w:t>
      </w:r>
      <w:proofErr w:type="spellStart"/>
      <w:r w:rsidRPr="00A23C1C">
        <w:rPr>
          <w:rFonts w:ascii="Times New Roman" w:hAnsi="Times New Roman" w:cs="Times New Roman"/>
          <w:sz w:val="24"/>
          <w:szCs w:val="28"/>
        </w:rPr>
        <w:t>т.д</w:t>
      </w:r>
      <w:proofErr w:type="spellEnd"/>
      <w:r w:rsidRPr="00A23C1C">
        <w:rPr>
          <w:rFonts w:ascii="Times New Roman" w:hAnsi="Times New Roman" w:cs="Times New Roman"/>
          <w:sz w:val="24"/>
          <w:szCs w:val="28"/>
        </w:rPr>
        <w:t>. де 0</w:t>
      </w:r>
      <w:r w:rsidR="00E119C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119C4" w:rsidRPr="00E119C4">
        <w:rPr>
          <w:rFonts w:ascii="Times New Roman" w:hAnsi="Times New Roman" w:cs="Times New Roman"/>
          <w:sz w:val="24"/>
          <w:szCs w:val="28"/>
          <w:lang w:val="ru-RU"/>
        </w:rPr>
        <w:t xml:space="preserve">&lt; </w:t>
      </w:r>
      <w:r w:rsidR="00E119C4">
        <w:t>α</w:t>
      </w:r>
      <w:r w:rsidRPr="00A23C1C">
        <w:rPr>
          <w:rFonts w:ascii="Times New Roman" w:hAnsi="Times New Roman" w:cs="Times New Roman"/>
          <w:sz w:val="24"/>
          <w:szCs w:val="28"/>
        </w:rPr>
        <w:t xml:space="preserve"> &lt;1.</w:t>
      </w:r>
    </w:p>
    <w:p w:rsidR="008C3856" w:rsidRPr="008C3856" w:rsidRDefault="00E119C4" w:rsidP="008C3856">
      <w:pPr>
        <w:spacing w:before="180" w:line="312" w:lineRule="auto"/>
        <w:ind w:firstLine="709"/>
        <w:jc w:val="right"/>
        <w:rPr>
          <w:rFonts w:ascii="Times New Roman" w:hAnsi="Times New Roman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+(1-α)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.</m:t>
        </m:r>
      </m:oMath>
      <w:r w:rsidR="008C3856" w:rsidRPr="008C3856">
        <w:rPr>
          <w:rFonts w:ascii="Times New Roman" w:eastAsiaTheme="minorEastAsia" w:hAnsi="Times New Roman" w:cs="Times New Roman"/>
          <w:i/>
          <w:sz w:val="24"/>
          <w:szCs w:val="28"/>
        </w:rPr>
        <w:t xml:space="preserve">  </w:t>
      </w:r>
      <w:r w:rsidR="008C3856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8C3856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8C3856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8C3856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8C3856" w:rsidRPr="008C3856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  <w:r w:rsidR="008C3856" w:rsidRPr="008C3856">
        <w:rPr>
          <w:rFonts w:ascii="Times New Roman" w:eastAsiaTheme="minorEastAsia" w:hAnsi="Times New Roman" w:cs="Times New Roman"/>
          <w:iCs/>
          <w:sz w:val="24"/>
          <w:szCs w:val="28"/>
        </w:rPr>
        <w:t>(1.1)</w:t>
      </w:r>
    </w:p>
    <w:p w:rsidR="008C3856" w:rsidRPr="008C3856" w:rsidRDefault="008C3856" w:rsidP="008C385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Коли α → 1, то модель співпадає з наївною моделлю.</w:t>
      </w:r>
    </w:p>
    <w:p w:rsidR="008C3856" w:rsidRPr="008C3856" w:rsidRDefault="008C3856" w:rsidP="008C385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Обчислення значень моделі носять рекурсивний характер.</w:t>
      </w:r>
    </w:p>
    <w:p w:rsidR="008C3856" w:rsidRPr="008C3856" w:rsidRDefault="008C3856" w:rsidP="008C385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Для вибору відповідного значення α прогнозист звичайно керується або інтуїцією, або попереднім   досвідом.</w:t>
      </w:r>
    </w:p>
    <w:p w:rsidR="008C3856" w:rsidRPr="008C3856" w:rsidRDefault="008C3856" w:rsidP="008C385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4. Постійної </w:t>
      </w:r>
      <w:proofErr w:type="spellStart"/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зглажування</w:t>
      </w:r>
      <w:proofErr w:type="spellEnd"/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α може </w:t>
      </w:r>
      <w:proofErr w:type="spellStart"/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динамічно</w:t>
      </w:r>
      <w:proofErr w:type="spellEnd"/>
      <w:r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змінювати своє значення. Наприклад, при підвищенні точності прогнозу α зменшується, а при зниженні точності – значення α має зростати.</w:t>
      </w:r>
    </w:p>
    <w:p w:rsidR="004625B5" w:rsidRPr="001860AB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</w:t>
      </w:r>
      <w:r w:rsid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</w:p>
    <w:p w:rsidR="004625B5" w:rsidRPr="005A29F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="008C3856"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експоненціального згладжування</w:t>
      </w:r>
    </w:p>
    <w:p w:rsidR="004625B5" w:rsidRPr="005A29F6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 xml:space="preserve">.1, наведена ілюстрація програмної реалізації </w:t>
      </w:r>
      <w:r w:rsidR="008C3856"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 експоненціального згладжування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4625B5" w:rsidRPr="00F73EAF" w:rsidRDefault="008C3856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8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4AC702" wp14:editId="131357B1">
            <wp:extent cx="6152515" cy="4460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>Рисунок 3.1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Pr="00F14EB5">
        <w:rPr>
          <w:rFonts w:ascii="Times New Roman" w:hAnsi="Times New Roman" w:cs="Times New Roman"/>
          <w:sz w:val="24"/>
          <w:szCs w:val="28"/>
        </w:rPr>
        <w:t xml:space="preserve">Графічна ілюстрація програмної реалізації </w:t>
      </w:r>
      <w:r w:rsidR="008C3856" w:rsidRPr="008C385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 експоненціального згладжування</w:t>
      </w:r>
      <w:r w:rsidRPr="00F14EB5">
        <w:rPr>
          <w:rFonts w:ascii="Times New Roman" w:hAnsi="Times New Roman" w:cs="Times New Roman"/>
          <w:sz w:val="24"/>
          <w:szCs w:val="28"/>
        </w:rPr>
        <w:t>.</w:t>
      </w:r>
    </w:p>
    <w:p w:rsidR="004625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4625B5" w:rsidRPr="00F14E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4625B5" w:rsidRPr="008E0DFC" w:rsidRDefault="00670E68" w:rsidP="00462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E6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60ADFCA" wp14:editId="6C0BF6C0">
            <wp:extent cx="5353797" cy="4820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 xml:space="preserve">.1 – Графічна ілюстрація заданого часового ряду та прогнозування, створеного на основі </w:t>
      </w:r>
      <w:r w:rsidR="008C3856">
        <w:rPr>
          <w:rFonts w:ascii="Times New Roman" w:hAnsi="Times New Roman" w:cs="Times New Roman"/>
          <w:sz w:val="24"/>
          <w:szCs w:val="28"/>
        </w:rPr>
        <w:t xml:space="preserve">методу </w:t>
      </w:r>
      <w:r w:rsidR="008C3856" w:rsidRPr="008C3856">
        <w:rPr>
          <w:rFonts w:ascii="Times New Roman" w:hAnsi="Times New Roman" w:cs="Times New Roman"/>
          <w:sz w:val="24"/>
          <w:szCs w:val="28"/>
        </w:rPr>
        <w:t>експоненціального згладжування</w:t>
      </w:r>
      <w:r w:rsidR="008C3856">
        <w:rPr>
          <w:rFonts w:ascii="Times New Roman" w:hAnsi="Times New Roman" w:cs="Times New Roman"/>
          <w:sz w:val="24"/>
          <w:szCs w:val="28"/>
        </w:rPr>
        <w:t>.</w:t>
      </w:r>
    </w:p>
    <w:p w:rsidR="004625B5" w:rsidRPr="00F14EB5" w:rsidRDefault="004625B5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4625B5" w:rsidRPr="008E0DFC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25B5" w:rsidRPr="001860AB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4625B5" w:rsidRPr="001860AB" w:rsidRDefault="00E119C4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.</m:t>
        </m:r>
      </m:oMath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4625B5" w:rsidRPr="001860AB" w:rsidRDefault="004625B5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 –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>.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="008B1CEE">
        <w:rPr>
          <w:rFonts w:ascii="Times New Roman" w:hAnsi="Times New Roman" w:cs="Times New Roman"/>
          <w:sz w:val="28"/>
          <w:szCs w:val="32"/>
        </w:rPr>
        <w:t xml:space="preserve"> </w:t>
      </w:r>
      <w:r w:rsidR="008B1CEE">
        <w:rPr>
          <w:rFonts w:ascii="Times New Roman" w:hAnsi="Times New Roman" w:cs="Times New Roman"/>
          <w:sz w:val="28"/>
          <w:szCs w:val="32"/>
          <w:lang w:val="en-US"/>
        </w:rPr>
        <w:t>.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="008B1CEE">
        <w:rPr>
          <w:rFonts w:ascii="Times New Roman" w:hAnsi="Times New Roman" w:cs="Times New Roman"/>
          <w:sz w:val="24"/>
          <w:szCs w:val="28"/>
        </w:rPr>
        <w:t xml:space="preserve"> ∙ 100</w:t>
      </w:r>
      <w:r w:rsidR="008B1CEE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</w:t>
      </w:r>
      <w:r w:rsidR="008B1CEE">
        <w:rPr>
          <w:rFonts w:ascii="Times New Roman" w:eastAsiaTheme="minorEastAsia" w:hAnsi="Times New Roman" w:cs="Times New Roman"/>
          <w:sz w:val="24"/>
          <w:szCs w:val="28"/>
        </w:rPr>
        <w:t xml:space="preserve"> 100%</w:t>
      </w:r>
      <w:r w:rsidR="008B1CEE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="008B1CEE">
        <w:rPr>
          <w:rFonts w:ascii="Times New Roman" w:eastAsiaTheme="minorEastAsia" w:hAnsi="Times New Roman" w:cs="Times New Roman"/>
          <w:sz w:val="24"/>
          <w:szCs w:val="28"/>
          <w:lang w:val="en-US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4625B5" w:rsidRPr="001860AB" w:rsidRDefault="00E119C4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4625B5" w:rsidRPr="00A868E5" w:rsidRDefault="004625B5" w:rsidP="004625B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4122" w:rsidRDefault="00B74122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4625B5" w:rsidRPr="00A868E5" w:rsidTr="00E11A83">
        <w:trPr>
          <w:trHeight w:val="2272"/>
        </w:trPr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E11A83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B74122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A4AE8" w:rsidRPr="00A55F9E">
              <w:rPr>
                <w:rFonts w:ascii="Times New Roman" w:eastAsia="Times New Roman" w:hAnsi="Times New Roman" w:cs="Times New Roman"/>
                <w:lang w:eastAsia="ru-RU"/>
              </w:rPr>
              <w:t>6600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B74122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-35,</w:t>
            </w:r>
            <w:r w:rsidR="00AA4AE8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2033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4561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678</w:t>
            </w:r>
          </w:p>
        </w:tc>
        <w:tc>
          <w:tcPr>
            <w:tcW w:w="992" w:type="dxa"/>
            <w:shd w:val="clear" w:color="auto" w:fill="auto"/>
          </w:tcPr>
          <w:p w:rsidR="00AA4AE8" w:rsidRPr="009A340A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22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5028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7907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6083</w:t>
            </w:r>
          </w:p>
        </w:tc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4343</w:t>
            </w:r>
          </w:p>
        </w:tc>
        <w:tc>
          <w:tcPr>
            <w:tcW w:w="1134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7763</w:t>
            </w:r>
          </w:p>
        </w:tc>
        <w:tc>
          <w:tcPr>
            <w:tcW w:w="992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0133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5562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1562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8890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6940</w:t>
            </w:r>
          </w:p>
        </w:tc>
        <w:tc>
          <w:tcPr>
            <w:tcW w:w="1276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5528</w:t>
            </w:r>
          </w:p>
        </w:tc>
        <w:tc>
          <w:tcPr>
            <w:tcW w:w="992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0631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4434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0434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0868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6305</w:t>
            </w:r>
          </w:p>
        </w:tc>
        <w:tc>
          <w:tcPr>
            <w:tcW w:w="1276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8830</w:t>
            </w:r>
          </w:p>
        </w:tc>
        <w:tc>
          <w:tcPr>
            <w:tcW w:w="992" w:type="dxa"/>
            <w:shd w:val="clear" w:color="auto" w:fill="auto"/>
          </w:tcPr>
          <w:p w:rsidR="00AA4AE8" w:rsidRPr="000C1A81" w:rsidRDefault="00AA4AE8" w:rsidP="00AA4AE8">
            <w:pPr>
              <w:tabs>
                <w:tab w:val="left" w:pos="4394"/>
              </w:tabs>
              <w:spacing w:after="0" w:line="240" w:lineRule="auto"/>
            </w:pPr>
            <w:r w:rsidRPr="000C1A81">
              <w:t>-</w:t>
            </w:r>
            <w:r>
              <w:rPr>
                <w:lang w:val="en-US"/>
              </w:rPr>
              <w:t xml:space="preserve"> 6</w:t>
            </w:r>
            <w:r>
              <w:t>4</w:t>
            </w:r>
            <w:r w:rsidR="00B74122">
              <w:t>,</w:t>
            </w:r>
            <w:r>
              <w:t>347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Pr="00A868E5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1069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7069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8057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0277</w:t>
            </w:r>
          </w:p>
        </w:tc>
        <w:tc>
          <w:tcPr>
            <w:tcW w:w="1276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1134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8018</w:t>
            </w:r>
          </w:p>
        </w:tc>
        <w:tc>
          <w:tcPr>
            <w:tcW w:w="992" w:type="dxa"/>
            <w:shd w:val="clear" w:color="auto" w:fill="auto"/>
          </w:tcPr>
          <w:p w:rsidR="00AA4AE8" w:rsidRPr="00A55F9E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0844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9243</w:t>
            </w:r>
          </w:p>
        </w:tc>
        <w:tc>
          <w:tcPr>
            <w:tcW w:w="992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1575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НММ1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139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8051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55</w:t>
            </w:r>
          </w:p>
        </w:tc>
        <w:tc>
          <w:tcPr>
            <w:tcW w:w="1276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6474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708</w:t>
            </w:r>
          </w:p>
        </w:tc>
        <w:tc>
          <w:tcPr>
            <w:tcW w:w="992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8708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НММ2</w:t>
            </w:r>
          </w:p>
        </w:tc>
        <w:tc>
          <w:tcPr>
            <w:tcW w:w="1134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0753</w:t>
            </w:r>
          </w:p>
          <w:p w:rsidR="00AA4AE8" w:rsidRPr="00633938" w:rsidRDefault="00AA4AE8" w:rsidP="00AA4AE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3247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3306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8698</w:t>
            </w:r>
          </w:p>
        </w:tc>
        <w:tc>
          <w:tcPr>
            <w:tcW w:w="1276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2653</w:t>
            </w:r>
          </w:p>
        </w:tc>
        <w:tc>
          <w:tcPr>
            <w:tcW w:w="1134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2002</w:t>
            </w:r>
          </w:p>
        </w:tc>
        <w:tc>
          <w:tcPr>
            <w:tcW w:w="992" w:type="dxa"/>
            <w:shd w:val="clear" w:color="auto" w:fill="auto"/>
          </w:tcPr>
          <w:p w:rsidR="00AA4AE8" w:rsidRPr="00644F9D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3474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КС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327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6333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-154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2333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154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2333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8895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334</w:t>
            </w:r>
          </w:p>
        </w:tc>
        <w:tc>
          <w:tcPr>
            <w:tcW w:w="1276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0461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5533</w:t>
            </w:r>
          </w:p>
        </w:tc>
        <w:tc>
          <w:tcPr>
            <w:tcW w:w="992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0985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ПС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308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7333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-135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135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3333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7805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079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9706</w:t>
            </w:r>
          </w:p>
        </w:tc>
        <w:tc>
          <w:tcPr>
            <w:tcW w:w="1134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-4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9428</w:t>
            </w:r>
          </w:p>
        </w:tc>
        <w:tc>
          <w:tcPr>
            <w:tcW w:w="992" w:type="dxa"/>
            <w:shd w:val="clear" w:color="auto" w:fill="auto"/>
          </w:tcPr>
          <w:p w:rsidR="00AA4AE8" w:rsidRPr="0063393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0683</w:t>
            </w:r>
          </w:p>
        </w:tc>
      </w:tr>
      <w:tr w:rsidR="00AA4AE8" w:rsidRPr="00A868E5" w:rsidTr="00E11A83">
        <w:trPr>
          <w:trHeight w:val="826"/>
        </w:trPr>
        <w:tc>
          <w:tcPr>
            <w:tcW w:w="1276" w:type="dxa"/>
            <w:shd w:val="clear" w:color="auto" w:fill="auto"/>
          </w:tcPr>
          <w:p w:rsidR="00AA4AE8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ЕЗ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213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-40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233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7667</w:t>
            </w:r>
          </w:p>
        </w:tc>
        <w:tc>
          <w:tcPr>
            <w:tcW w:w="1276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1134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6905</w:t>
            </w:r>
          </w:p>
        </w:tc>
        <w:tc>
          <w:tcPr>
            <w:tcW w:w="992" w:type="dxa"/>
            <w:shd w:val="clear" w:color="auto" w:fill="auto"/>
          </w:tcPr>
          <w:p w:rsidR="00AA4AE8" w:rsidRPr="00E22C46" w:rsidRDefault="00AA4AE8" w:rsidP="00AA4AE8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B74122"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E22C46">
              <w:rPr>
                <w:rFonts w:ascii="Times New Roman" w:eastAsia="Times New Roman" w:hAnsi="Times New Roman" w:cs="Times New Roman"/>
                <w:lang w:eastAsia="ru-RU"/>
              </w:rPr>
              <w:t>9969</w:t>
            </w:r>
          </w:p>
        </w:tc>
      </w:tr>
    </w:tbl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420C5" w:rsidRDefault="000420C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420C5" w:rsidRDefault="000420C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420C5" w:rsidRDefault="000420C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ВИСНОВКИ</w:t>
      </w:r>
    </w:p>
    <w:p w:rsidR="00022F43" w:rsidRDefault="00022F43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55BA6" w:rsidRDefault="00055BA6" w:rsidP="00055BA6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 w:rsidRPr="00553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ЕЗ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E22C46">
        <w:rPr>
          <w:rFonts w:ascii="Times New Roman" w:eastAsia="Times New Roman" w:hAnsi="Times New Roman" w:cs="Times New Roman"/>
          <w:lang w:eastAsia="ru-RU"/>
        </w:rPr>
        <w:t>17</w:t>
      </w:r>
      <w:r>
        <w:rPr>
          <w:rFonts w:ascii="Times New Roman" w:eastAsia="Times New Roman" w:hAnsi="Times New Roman" w:cs="Times New Roman"/>
          <w:lang w:eastAsia="ru-RU"/>
        </w:rPr>
        <w:t>,</w:t>
      </w:r>
      <w:r w:rsidRPr="00E22C46">
        <w:rPr>
          <w:rFonts w:ascii="Times New Roman" w:eastAsia="Times New Roman" w:hAnsi="Times New Roman" w:cs="Times New Roman"/>
          <w:lang w:eastAsia="ru-RU"/>
        </w:rPr>
        <w:t>6905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знаходиться у проміжку між 10 та 20 відсотками і є гарним результатом. Помилка прогнозу на 1 крок вперед склала 40,4.</w:t>
      </w:r>
    </w:p>
    <w:p w:rsidR="00055BA6" w:rsidRDefault="00055BA6" w:rsidP="00055BA6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прогнозування заданого часового ряду </w:t>
      </w:r>
      <w:r>
        <w:rPr>
          <w:rFonts w:ascii="Times New Roman" w:hAnsi="Times New Roman" w:cs="Times New Roman"/>
          <w:sz w:val="24"/>
          <w:szCs w:val="28"/>
        </w:rPr>
        <w:t>методом е</w:t>
      </w:r>
      <w:r w:rsidRPr="008C3856">
        <w:rPr>
          <w:rFonts w:ascii="Times New Roman" w:hAnsi="Times New Roman" w:cs="Times New Roman"/>
          <w:sz w:val="24"/>
          <w:szCs w:val="28"/>
        </w:rPr>
        <w:t>кспоненціального згладжування</w:t>
      </w:r>
      <w:r w:rsidR="002560BF">
        <w:rPr>
          <w:rFonts w:ascii="Times New Roman" w:hAnsi="Times New Roman" w:cs="Times New Roman"/>
          <w:sz w:val="24"/>
          <w:szCs w:val="28"/>
        </w:rPr>
        <w:t xml:space="preserve"> має не</w:t>
      </w:r>
      <w:r>
        <w:rPr>
          <w:rFonts w:ascii="Times New Roman" w:hAnsi="Times New Roman" w:cs="Times New Roman"/>
          <w:sz w:val="24"/>
          <w:szCs w:val="28"/>
        </w:rPr>
        <w:t>велику помилку прогнозу на 1 крок у порівнянні з раніше досліджуваними методами. Результати оцінки точності ЕЗ майже однакові з результатами оцінки НМ.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p w:rsidR="00A868E5" w:rsidRPr="004625B5" w:rsidRDefault="00A868E5" w:rsidP="004625B5"/>
    <w:sectPr w:rsidR="00A868E5" w:rsidRPr="004625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22F43"/>
    <w:rsid w:val="000420C5"/>
    <w:rsid w:val="00055BA6"/>
    <w:rsid w:val="000733AD"/>
    <w:rsid w:val="0007475F"/>
    <w:rsid w:val="00092AD6"/>
    <w:rsid w:val="00171FB0"/>
    <w:rsid w:val="0018775F"/>
    <w:rsid w:val="001B12FA"/>
    <w:rsid w:val="002560BF"/>
    <w:rsid w:val="004625B5"/>
    <w:rsid w:val="00483D99"/>
    <w:rsid w:val="004F03C4"/>
    <w:rsid w:val="00633938"/>
    <w:rsid w:val="0065394C"/>
    <w:rsid w:val="00670E68"/>
    <w:rsid w:val="007F50E1"/>
    <w:rsid w:val="008A795F"/>
    <w:rsid w:val="008B1CEE"/>
    <w:rsid w:val="008C3856"/>
    <w:rsid w:val="008F440A"/>
    <w:rsid w:val="009A340A"/>
    <w:rsid w:val="00A23C1C"/>
    <w:rsid w:val="00A55F9E"/>
    <w:rsid w:val="00A868E5"/>
    <w:rsid w:val="00AA4AE8"/>
    <w:rsid w:val="00B74122"/>
    <w:rsid w:val="00B7519E"/>
    <w:rsid w:val="00BA0012"/>
    <w:rsid w:val="00C22613"/>
    <w:rsid w:val="00C56803"/>
    <w:rsid w:val="00C66756"/>
    <w:rsid w:val="00CE5F5F"/>
    <w:rsid w:val="00D04598"/>
    <w:rsid w:val="00E119C4"/>
    <w:rsid w:val="00E22C46"/>
    <w:rsid w:val="00ED77F6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A8AE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4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1"/>
    <w:qFormat/>
    <w:rsid w:val="004625B5"/>
    <w:pPr>
      <w:ind w:left="720"/>
      <w:contextualSpacing/>
    </w:pPr>
    <w:rPr>
      <w:lang w:val="ru-RU"/>
    </w:rPr>
  </w:style>
  <w:style w:type="paragraph" w:styleId="a6">
    <w:name w:val="Body Text"/>
    <w:basedOn w:val="a"/>
    <w:link w:val="a7"/>
    <w:semiHidden/>
    <w:unhideWhenUsed/>
    <w:rsid w:val="008C385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semiHidden/>
    <w:rsid w:val="008C385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3ABE5-FEBD-452E-A227-E20BA362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23</cp:revision>
  <dcterms:created xsi:type="dcterms:W3CDTF">2021-04-27T05:59:00Z</dcterms:created>
  <dcterms:modified xsi:type="dcterms:W3CDTF">2021-06-11T09:07:00Z</dcterms:modified>
</cp:coreProperties>
</file>