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585E" w14:textId="77777777" w:rsidR="00F04176" w:rsidRDefault="00F04176" w:rsidP="00F04176">
      <w:pPr>
        <w:contextualSpacing/>
        <w:jc w:val="center"/>
        <w:rPr>
          <w:sz w:val="28"/>
          <w:szCs w:val="28"/>
          <w:lang w:val="ru-BY" w:eastAsia="en-US"/>
        </w:rPr>
      </w:pPr>
      <w:r>
        <w:rPr>
          <w:sz w:val="28"/>
          <w:szCs w:val="28"/>
          <w:lang w:val="ru-BY"/>
        </w:rPr>
        <w:t>Учреждение образования “БЕЛОРУССКИЙ ГОСУДАРСТВЕННЫЙ ТЕХНОЛОГИЧЕСКИЙ УНИВЕРСИТЕТ”</w:t>
      </w:r>
    </w:p>
    <w:p w14:paraId="46C2F0FB" w14:textId="77777777" w:rsidR="00F04176" w:rsidRDefault="00F04176" w:rsidP="00F04176">
      <w:pPr>
        <w:contextualSpacing/>
        <w:rPr>
          <w:sz w:val="28"/>
          <w:szCs w:val="28"/>
          <w:lang w:val="ru-BY"/>
        </w:rPr>
      </w:pPr>
    </w:p>
    <w:p w14:paraId="3FA39710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01E71E67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1A8603E0" w14:textId="77777777" w:rsidR="00F04176" w:rsidRDefault="00F04176" w:rsidP="00F04176">
      <w:pPr>
        <w:contextualSpacing/>
        <w:jc w:val="center"/>
        <w:rPr>
          <w:sz w:val="28"/>
          <w:szCs w:val="28"/>
        </w:rPr>
      </w:pPr>
    </w:p>
    <w:p w14:paraId="224F7388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5D0FFA00" w14:textId="77777777" w:rsidR="00F04176" w:rsidRDefault="00F04176" w:rsidP="00F04176">
      <w:pPr>
        <w:contextualSpacing/>
        <w:jc w:val="center"/>
        <w:rPr>
          <w:sz w:val="28"/>
          <w:szCs w:val="28"/>
        </w:rPr>
      </w:pPr>
    </w:p>
    <w:p w14:paraId="48F6CAC9" w14:textId="77777777" w:rsidR="00F04176" w:rsidRDefault="00F04176" w:rsidP="00F0417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>
        <w:rPr>
          <w:sz w:val="28"/>
          <w:szCs w:val="28"/>
          <w:lang w:val="ru-BY"/>
        </w:rPr>
        <w:t xml:space="preserve"> работа №</w:t>
      </w:r>
      <w:r>
        <w:rPr>
          <w:sz w:val="28"/>
          <w:szCs w:val="28"/>
        </w:rPr>
        <w:t>1 «Концепция национальной безопасности Республики Беларусь»</w:t>
      </w:r>
    </w:p>
    <w:p w14:paraId="3ECE535E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0C610888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0190F28C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30B58D9F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4006DF69" w14:textId="77777777" w:rsidR="00F04176" w:rsidRDefault="00F04176" w:rsidP="00F04176">
      <w:pPr>
        <w:contextualSpacing/>
        <w:rPr>
          <w:sz w:val="28"/>
          <w:szCs w:val="28"/>
          <w:lang w:val="ru-BY"/>
        </w:rPr>
      </w:pPr>
    </w:p>
    <w:p w14:paraId="62B58B88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69B6D465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25FF076D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43CCA72E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1D366D99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4C1750E9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3587DBAD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38035E4E" w14:textId="377718BF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Выполнил</w:t>
      </w:r>
      <w:r>
        <w:rPr>
          <w:sz w:val="28"/>
          <w:szCs w:val="28"/>
        </w:rPr>
        <w:t>а</w:t>
      </w:r>
      <w:r>
        <w:rPr>
          <w:sz w:val="28"/>
          <w:szCs w:val="28"/>
          <w:lang w:val="ru-BY"/>
        </w:rPr>
        <w:t>:</w:t>
      </w:r>
    </w:p>
    <w:p w14:paraId="7445A3BC" w14:textId="00F79F86" w:rsidR="00F04176" w:rsidRDefault="00F04176" w:rsidP="00F04176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студентка 2 курса, 7 группы</w:t>
      </w:r>
    </w:p>
    <w:p w14:paraId="2EA7557D" w14:textId="419B4EBF" w:rsidR="00F04176" w:rsidRDefault="00F04176" w:rsidP="00F04176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Колядко Яна Дмитриевна</w:t>
      </w:r>
    </w:p>
    <w:p w14:paraId="64876F5B" w14:textId="77777777" w:rsidR="00F04176" w:rsidRDefault="00F04176" w:rsidP="00F04176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AC7D2D2" w14:textId="77777777" w:rsidR="00F04176" w:rsidRDefault="00F04176" w:rsidP="00F04176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Барковский Евгений Валерьевич</w:t>
      </w:r>
    </w:p>
    <w:p w14:paraId="1EEF972F" w14:textId="77777777" w:rsidR="00F04176" w:rsidRDefault="00F04176" w:rsidP="00F04176">
      <w:pPr>
        <w:contextualSpacing/>
        <w:rPr>
          <w:sz w:val="28"/>
          <w:szCs w:val="28"/>
          <w:lang w:val="ru-BY"/>
        </w:rPr>
      </w:pPr>
    </w:p>
    <w:p w14:paraId="6887B832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39B23300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045B62DE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40EC8649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4CE87BBB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0DDF8D47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543B9630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0CFD8E86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76517169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2D78B4F8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0AC35042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01EAB65E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2462E514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00FAFB33" w14:textId="77777777" w:rsidR="00F04176" w:rsidRDefault="00F04176" w:rsidP="00F04176">
      <w:pPr>
        <w:contextualSpacing/>
        <w:jc w:val="right"/>
        <w:rPr>
          <w:sz w:val="28"/>
          <w:szCs w:val="28"/>
          <w:lang w:val="ru-BY"/>
        </w:rPr>
      </w:pPr>
    </w:p>
    <w:p w14:paraId="37839038" w14:textId="77777777" w:rsidR="00F04176" w:rsidRDefault="00F04176" w:rsidP="00F04176">
      <w:pPr>
        <w:contextualSpacing/>
        <w:jc w:val="center"/>
        <w:rPr>
          <w:sz w:val="28"/>
          <w:szCs w:val="28"/>
          <w:lang w:val="ru-BY"/>
        </w:rPr>
      </w:pPr>
    </w:p>
    <w:p w14:paraId="415935AD" w14:textId="6592DC3B" w:rsidR="00F04176" w:rsidRDefault="00F04176" w:rsidP="00F04176">
      <w:pPr>
        <w:contextualSpacing/>
        <w:rPr>
          <w:sz w:val="28"/>
          <w:szCs w:val="28"/>
          <w:lang w:val="ru-BY"/>
        </w:rPr>
      </w:pPr>
      <w:r>
        <w:rPr>
          <w:vanish/>
        </w:rPr>
        <w:t>ПроТТеоре</w:t>
      </w:r>
    </w:p>
    <w:p w14:paraId="4E17A511" w14:textId="77777777" w:rsidR="00F04176" w:rsidRDefault="00F04176" w:rsidP="00F04176">
      <w:pPr>
        <w:contextualSpacing/>
        <w:rPr>
          <w:sz w:val="28"/>
          <w:szCs w:val="28"/>
        </w:rPr>
      </w:pPr>
    </w:p>
    <w:p w14:paraId="1EB0C173" w14:textId="77777777" w:rsidR="00F04176" w:rsidRDefault="00F04176" w:rsidP="00F0417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Цель: изучить концепцию национальной безопасности РБ.</w:t>
      </w:r>
    </w:p>
    <w:p w14:paraId="7DFA11F2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Что такое информационная безопасность?</w:t>
      </w:r>
    </w:p>
    <w:p w14:paraId="7D8F6174" w14:textId="77777777" w:rsidR="00F04176" w:rsidRDefault="00F04176" w:rsidP="00F0417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безопасность – состояние защищенности сбалансированных интересов личности, общества и государства от внешних и внутренних угроз в информационной сфере.</w:t>
      </w:r>
    </w:p>
    <w:p w14:paraId="009A98C1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 Перечислить основные национальные интересы в информационной среде.</w:t>
      </w:r>
    </w:p>
    <w:p w14:paraId="45E2D019" w14:textId="77777777" w:rsidR="00F04176" w:rsidRDefault="00F04176" w:rsidP="00F0417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Национальные интересы – совокупность потребностей государства по реализации сбалансированных интересов личности, общества и государства, позволяющих обеспечивать конституционные права, свободы, высокое качество жизни граждан, независимость, территориальную целостность, суверенитет и устойчивое развитие Республики Беларусь.</w:t>
      </w:r>
    </w:p>
    <w:p w14:paraId="29561A76" w14:textId="77777777" w:rsidR="00F04176" w:rsidRDefault="00F04176" w:rsidP="00F04176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6741FBD4" w14:textId="77777777" w:rsidR="00F04176" w:rsidRDefault="00F04176" w:rsidP="00F04176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14:paraId="6966E17C" w14:textId="77777777" w:rsidR="00F04176" w:rsidRDefault="00F04176" w:rsidP="00F04176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ind w:left="425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14:paraId="2AE53A59" w14:textId="77777777" w:rsidR="00F04176" w:rsidRDefault="00F04176" w:rsidP="00F04176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14:paraId="36FC3C2D" w14:textId="77777777" w:rsidR="00F04176" w:rsidRDefault="00F04176" w:rsidP="00F04176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14:paraId="0391E62C" w14:textId="7D02A46B" w:rsidR="00F04176" w:rsidRPr="00F04176" w:rsidRDefault="00F04176" w:rsidP="00F04176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</w:t>
      </w:r>
    </w:p>
    <w:p w14:paraId="0F37D63E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 Основные угрозы национальной безопасности, связанные с ИТ-сферой.</w:t>
      </w:r>
    </w:p>
    <w:p w14:paraId="6C22BB19" w14:textId="77777777" w:rsidR="00F04176" w:rsidRDefault="00F04176" w:rsidP="00F0417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14:paraId="0B709F3A" w14:textId="77777777" w:rsidR="00F04176" w:rsidRDefault="00F04176" w:rsidP="00F0417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14:paraId="7A993255" w14:textId="77777777" w:rsidR="00F04176" w:rsidRDefault="00F04176" w:rsidP="00F0417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622CE4E8" w14:textId="77777777" w:rsidR="00F04176" w:rsidRDefault="00F04176" w:rsidP="00F0417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14:paraId="6F568633" w14:textId="77777777" w:rsidR="00F04176" w:rsidRDefault="00F04176" w:rsidP="00F0417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14:paraId="65673E46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 Назвать основные внутренние и внешние источники угроз национальной безопасности в информационной сфере.</w:t>
      </w:r>
    </w:p>
    <w:p w14:paraId="44CCE510" w14:textId="77777777" w:rsidR="00F04176" w:rsidRDefault="00F04176" w:rsidP="00F04176">
      <w:pPr>
        <w:contextualSpacing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Внутренние источники угроз:</w:t>
      </w:r>
    </w:p>
    <w:p w14:paraId="037C644B" w14:textId="77777777" w:rsidR="00F04176" w:rsidRDefault="00F04176" w:rsidP="00F04176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56203DAD" w14:textId="77777777" w:rsidR="00F04176" w:rsidRDefault="00F04176" w:rsidP="00F04176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2DEB0B09" w14:textId="77777777" w:rsidR="00F04176" w:rsidRDefault="00F04176" w:rsidP="00F04176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14:paraId="2D133568" w14:textId="77777777" w:rsidR="00F04176" w:rsidRDefault="00F04176" w:rsidP="00F04176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54F4A827" w14:textId="77777777" w:rsidR="00F04176" w:rsidRDefault="00F04176" w:rsidP="00F04176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14:paraId="48E3C40C" w14:textId="77777777" w:rsidR="00F04176" w:rsidRDefault="00F04176" w:rsidP="00F04176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14:paraId="64E4DF11" w14:textId="77777777" w:rsidR="00F04176" w:rsidRDefault="00F04176" w:rsidP="00F04176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14:paraId="3B4E7FCB" w14:textId="77777777" w:rsidR="00F04176" w:rsidRDefault="00F04176" w:rsidP="00F04176">
      <w:pPr>
        <w:shd w:val="clear" w:color="auto" w:fill="FFFFFF"/>
        <w:contextualSpacing/>
        <w:jc w:val="both"/>
        <w:rPr>
          <w:color w:val="000000" w:themeColor="text1"/>
          <w:sz w:val="28"/>
          <w:szCs w:val="28"/>
          <w:lang w:val="ru-BY" w:eastAsia="be-BY"/>
        </w:rPr>
      </w:pPr>
    </w:p>
    <w:p w14:paraId="4D8968CF" w14:textId="77777777" w:rsidR="00F04176" w:rsidRDefault="00F04176" w:rsidP="00F04176">
      <w:pPr>
        <w:shd w:val="clear" w:color="auto" w:fill="FFFFFF"/>
        <w:contextualSpacing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Внешние источники угроз:</w:t>
      </w:r>
    </w:p>
    <w:p w14:paraId="2B86B3C7" w14:textId="77777777" w:rsidR="00F04176" w:rsidRDefault="00F04176" w:rsidP="00F04176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открытость и уязвимость информационного пространства Республики Беларусь от внешнего воздействия; </w:t>
      </w:r>
    </w:p>
    <w:p w14:paraId="69ABA651" w14:textId="77777777" w:rsidR="00F04176" w:rsidRDefault="00F04176" w:rsidP="00F04176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доминирование ведущих зарубежных государств в мировом информационном пространстве, </w:t>
      </w:r>
    </w:p>
    <w:p w14:paraId="79186723" w14:textId="77777777" w:rsidR="00F04176" w:rsidRDefault="00F04176" w:rsidP="00F04176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монополизация ключевых сегментов информационных рынков зарубежными информационными структурами; </w:t>
      </w:r>
    </w:p>
    <w:p w14:paraId="38399144" w14:textId="77777777" w:rsidR="00F04176" w:rsidRDefault="00F04176" w:rsidP="00F04176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</w:t>
      </w:r>
    </w:p>
    <w:p w14:paraId="1386B8BE" w14:textId="77777777" w:rsidR="00F04176" w:rsidRDefault="00F04176" w:rsidP="00F04176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целенаправленное формирование информационных поводов для ее дискредитации; </w:t>
      </w:r>
    </w:p>
    <w:p w14:paraId="326A1F1A" w14:textId="77777777" w:rsidR="00F04176" w:rsidRDefault="00F04176" w:rsidP="00F04176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14:paraId="2C37E643" w14:textId="77777777" w:rsidR="00F04176" w:rsidRDefault="00F04176" w:rsidP="00F04176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развитие технологий манипулирования информацией;</w:t>
      </w:r>
    </w:p>
    <w:p w14:paraId="77896C8E" w14:textId="77777777" w:rsidR="00F04176" w:rsidRDefault="00F04176" w:rsidP="00F04176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препятствование распространению национального контента Республики Беларусь за рубежом; </w:t>
      </w:r>
    </w:p>
    <w:p w14:paraId="6E168A14" w14:textId="77777777" w:rsidR="00F04176" w:rsidRDefault="00F04176" w:rsidP="00F04176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lastRenderedPageBreak/>
        <w:t xml:space="preserve">широкое распространение в мировом информационном пространстве образцов массовой культуры, противоречащих общечеловеческим и национальным духовно-нравственным ценностям; </w:t>
      </w:r>
    </w:p>
    <w:p w14:paraId="59A1C73C" w14:textId="47EC04F2" w:rsidR="00F04176" w:rsidRPr="00F04176" w:rsidRDefault="00F04176" w:rsidP="00F04176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2E65396A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 Основные направления нейтрализации внутренних источников угроз и защиты от внешних угроз национальной безопасности в информационной сфере.</w:t>
      </w:r>
    </w:p>
    <w:p w14:paraId="7C587191" w14:textId="3FAB212C" w:rsidR="00F04176" w:rsidRDefault="00F04176" w:rsidP="00F04176">
      <w:pPr>
        <w:shd w:val="clear" w:color="auto" w:fill="FFFFFF"/>
        <w:ind w:firstLine="450"/>
        <w:contextualSpacing/>
        <w:jc w:val="both"/>
        <w:rPr>
          <w:color w:val="000000" w:themeColor="text1"/>
          <w:sz w:val="28"/>
          <w:szCs w:val="28"/>
          <w:lang w:val="ru-BY" w:eastAsia="be-BY"/>
        </w:rPr>
      </w:pPr>
      <w:r>
        <w:rPr>
          <w:color w:val="000000" w:themeColor="text1"/>
          <w:sz w:val="28"/>
          <w:szCs w:val="28"/>
          <w:lang w:val="ru-BY" w:eastAsia="be-BY"/>
        </w:rPr>
        <w:t xml:space="preserve">Последовательно реализуются демократические принципы свободы слова, права граждан на получение информации и ее использование. Государство создает необходимые условия для развития </w:t>
      </w:r>
      <w:r w:rsidR="001E7147">
        <w:rPr>
          <w:color w:val="000000" w:themeColor="text1"/>
          <w:sz w:val="28"/>
          <w:szCs w:val="28"/>
          <w:lang w:eastAsia="be-BY"/>
        </w:rPr>
        <w:t>СМИ</w:t>
      </w:r>
      <w:r>
        <w:rPr>
          <w:color w:val="000000" w:themeColor="text1"/>
          <w:sz w:val="28"/>
          <w:szCs w:val="28"/>
          <w:lang w:val="ru-BY" w:eastAsia="be-BY"/>
        </w:rPr>
        <w:t xml:space="preserve"> и национального сегмента глобальной сети Интернет. Во все сферы жизнедеятельности общества активно внедряются современные информационно-коммуникационные технологии.</w:t>
      </w:r>
    </w:p>
    <w:p w14:paraId="6809D49D" w14:textId="478B8886" w:rsidR="00F04176" w:rsidRDefault="00F04176" w:rsidP="00F04176">
      <w:pPr>
        <w:contextualSpacing/>
        <w:jc w:val="both"/>
        <w:rPr>
          <w:color w:val="000000"/>
          <w:sz w:val="28"/>
          <w:szCs w:val="28"/>
          <w:lang w:val="ru-BY" w:eastAsia="be-BY"/>
        </w:rPr>
      </w:pPr>
      <w:r>
        <w:rPr>
          <w:color w:val="000000"/>
          <w:sz w:val="28"/>
          <w:szCs w:val="28"/>
          <w:lang w:val="ru-BY"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информацией. 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безопасности. При этом важное значение отводится наращиванию деятельности правоохранительных органов по предупреждению, выявлению </w:t>
      </w:r>
      <w:r>
        <w:rPr>
          <w:sz w:val="28"/>
          <w:lang w:val="ru-BY"/>
        </w:rPr>
        <w:t>и пресечению</w:t>
      </w:r>
      <w:r>
        <w:rPr>
          <w:color w:val="000000"/>
          <w:sz w:val="28"/>
          <w:szCs w:val="28"/>
          <w:lang w:val="ru-BY" w:eastAsia="be-BY"/>
        </w:rPr>
        <w:t xml:space="preserve">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инфраструктуре.</w:t>
      </w:r>
    </w:p>
    <w:p w14:paraId="5C2E7E80" w14:textId="77777777" w:rsidR="00F04176" w:rsidRDefault="00F04176" w:rsidP="00F04176">
      <w:pPr>
        <w:contextualSpacing/>
        <w:jc w:val="both"/>
        <w:rPr>
          <w:color w:val="000000"/>
          <w:sz w:val="28"/>
          <w:szCs w:val="28"/>
          <w:lang w:val="ru-BY" w:eastAsia="be-BY"/>
        </w:rPr>
      </w:pPr>
      <w:r>
        <w:rPr>
          <w:color w:val="000000"/>
          <w:sz w:val="28"/>
          <w:szCs w:val="28"/>
          <w:lang w:eastAsia="be-BY"/>
        </w:rPr>
        <w:br w:type="page"/>
      </w:r>
    </w:p>
    <w:p w14:paraId="7EB7CAD0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Охарактеризуйте основные положения Оранжевой книги.</w:t>
      </w:r>
    </w:p>
    <w:p w14:paraId="6BEC975A" w14:textId="77777777" w:rsidR="00F04176" w:rsidRDefault="00F04176" w:rsidP="00F04176">
      <w:pPr>
        <w:contextualSpacing/>
        <w:jc w:val="both"/>
        <w:rPr>
          <w:i/>
          <w:iCs/>
          <w:color w:val="000000"/>
          <w:sz w:val="28"/>
          <w:szCs w:val="28"/>
          <w:lang w:eastAsia="be-BY"/>
        </w:rPr>
      </w:pPr>
      <w:r>
        <w:rPr>
          <w:i/>
          <w:iCs/>
          <w:color w:val="000000"/>
          <w:sz w:val="28"/>
          <w:szCs w:val="28"/>
          <w:lang w:eastAsia="be-BY"/>
        </w:rPr>
        <w:t>«Критерии безопасности компьютерных систем»</w:t>
      </w:r>
    </w:p>
    <w:p w14:paraId="6E775965" w14:textId="77777777" w:rsidR="00F04176" w:rsidRDefault="00F04176" w:rsidP="00F04176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Политика безопасности (политика безопасности, метки)</w:t>
      </w:r>
    </w:p>
    <w:p w14:paraId="73AD61B6" w14:textId="77777777" w:rsidR="00F04176" w:rsidRDefault="00F04176" w:rsidP="00F04176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Аудит (идентификация и аутентификация, регистрация и учет)</w:t>
      </w:r>
    </w:p>
    <w:p w14:paraId="5D8A8438" w14:textId="77777777" w:rsidR="00F04176" w:rsidRDefault="00F04176" w:rsidP="00F04176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Корректность (контроль корректности функционирования средств защиты, непрерывности защиты)</w:t>
      </w:r>
    </w:p>
    <w:p w14:paraId="25FF30FC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 Каковы основные положения Европейских критериев безопасности информационных технологий.</w:t>
      </w:r>
    </w:p>
    <w:p w14:paraId="4A0708D1" w14:textId="77777777" w:rsidR="00F04176" w:rsidRDefault="00F04176" w:rsidP="00F04176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Защита информации от несанкционированного доступа с целью обеспечения конфиденциальности</w:t>
      </w:r>
    </w:p>
    <w:p w14:paraId="0AEA0887" w14:textId="77777777" w:rsidR="00F04176" w:rsidRDefault="00F04176" w:rsidP="00F04176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Обеспечение целостности информации посредством защиты от ее несанкционированной модификации или уничтожения</w:t>
      </w:r>
    </w:p>
    <w:p w14:paraId="4F55EB46" w14:textId="77777777" w:rsidR="00F04176" w:rsidRDefault="00F04176" w:rsidP="00F04176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Обеспечение работоспособности систем с помощью противодействия угрозам отказа в обслуживании</w:t>
      </w:r>
    </w:p>
    <w:p w14:paraId="2E2FBA2B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 Чем отличается «информационная система» и «продукт информационных технологий».</w:t>
      </w:r>
    </w:p>
    <w:p w14:paraId="7805C003" w14:textId="14DB60B1" w:rsidR="00F04176" w:rsidRDefault="00F04176" w:rsidP="00F04176">
      <w:pPr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Система – это конкретная аппаратно-программная конфигурация, построенная с определенными целями и функционирующая в известном окружении.</w:t>
      </w:r>
    </w:p>
    <w:p w14:paraId="0FA41C5E" w14:textId="77777777" w:rsidR="00F04176" w:rsidRDefault="00F04176" w:rsidP="00F04176">
      <w:pPr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Продукт – это аппаратно-программный «пакет», который можно купить и по своему усмотрению встроить в ту или иную систему.</w:t>
      </w:r>
    </w:p>
    <w:p w14:paraId="25E0FD92" w14:textId="3F1910F0" w:rsidR="00F04176" w:rsidRDefault="00F04176" w:rsidP="00F04176">
      <w:pPr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Система имеет конкретное окружение, которое можно определить и изучить детально, а продукт должен быть рассчитан на использование в различных условиях.</w:t>
      </w:r>
    </w:p>
    <w:p w14:paraId="436C7F17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7. Что такое профиль защиты.</w:t>
      </w:r>
    </w:p>
    <w:p w14:paraId="34545FE9" w14:textId="77777777" w:rsidR="00F04176" w:rsidRDefault="00F04176" w:rsidP="00F04176">
      <w:pPr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Профиль защиты – это нормативный документ, который регламентирует все аспекты безопасности ИТ-продукта в виде требования к его проектированию, технологии разработки и квалификационному анализу. Основное внимание уделяется требованиям к составу средств защиты и качеству реализации, а также их адекватности предполагаемым угрозам безопасности.</w:t>
      </w:r>
    </w:p>
    <w:p w14:paraId="23F03D38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9. Опишите структуру Общих критериев безопасности информационных технологий.</w:t>
      </w:r>
    </w:p>
    <w:p w14:paraId="52696370" w14:textId="77777777" w:rsidR="00F04176" w:rsidRDefault="00F04176" w:rsidP="00F04176">
      <w:pPr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Общие критерии содержат совокупность предопределенных оценочных уровней в безопасности, составленных из компонентов семейств уверенности в безопасности. Эти уровни предназначены для достижения совместимости с исходными критериями; для обеспечения потребителя пакетами компонентов общего назначения.</w:t>
      </w:r>
    </w:p>
    <w:p w14:paraId="30188E37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10. Опишите технологию применения Общих критериев безопасности информационных технологий.</w:t>
      </w:r>
    </w:p>
    <w:p w14:paraId="65AE4D61" w14:textId="7A2BAC49" w:rsidR="00F04176" w:rsidRDefault="00F04176" w:rsidP="00F04176">
      <w:pPr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Общие критерии регламентируют все стадии разработки, квалификационного анализа и эксплуатации ИТ-продуктов, используя схему из Федеральных критериев. </w:t>
      </w:r>
    </w:p>
    <w:p w14:paraId="6ADB649E" w14:textId="77777777" w:rsidR="00F04176" w:rsidRDefault="00F04176" w:rsidP="00F04176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Разработка и анализ Профиля защиты. Требования, изложенные в Профиле защиты, определяют функциональные возможности ИТ-продуктов по обеспечению безопасности и условия эксплуатации, при соблюдении которых гарантируется соответствие предъявляемым требованиям.</w:t>
      </w:r>
    </w:p>
    <w:p w14:paraId="7DAFEE31" w14:textId="7D7355F4" w:rsidR="00F04176" w:rsidRDefault="00F04176" w:rsidP="00F04176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Разработки и квалификационны</w:t>
      </w:r>
      <w:r w:rsidR="001E7147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анализ ИТ-продуктов. Разработанные ИТ-продукты подвергаются независимому анализу, целью которого является определение степени соответствия характеристик продукта сформулированным в Профиле защиты требованиям и спецификациям.</w:t>
      </w:r>
    </w:p>
    <w:p w14:paraId="6151C41C" w14:textId="77777777" w:rsidR="00F04176" w:rsidRDefault="00F04176" w:rsidP="00F04176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Компоновка и сертификация системы обработки информации в целом. Успешно прошедшие квалификацию уровня безопасности ИТ-продукты интегрируются в систему обработки информации. Полученная в результате система должна удовлетворять заявленным в Профиле защиты требованиям при соблюдении указанных в нем условий эксплуатации.</w:t>
      </w:r>
    </w:p>
    <w:p w14:paraId="18DD5F2F" w14:textId="77777777" w:rsidR="00F04176" w:rsidRDefault="00F04176" w:rsidP="00F0417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11. Каковы тенденции развития международной нормативной базы в области информационной безопасности.</w:t>
      </w:r>
    </w:p>
    <w:p w14:paraId="7F994EF5" w14:textId="77777777" w:rsidR="00F04176" w:rsidRDefault="00F04176" w:rsidP="00F04176">
      <w:pPr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Согласование позиций и целей производителей, потребителей и аналитиков-классификаторов в процессе создания и эксплуатации продуктов информационных технологий.</w:t>
      </w:r>
    </w:p>
    <w:p w14:paraId="32E9E134" w14:textId="77777777" w:rsidR="00716285" w:rsidRPr="00F04176" w:rsidRDefault="00716285" w:rsidP="00F04176">
      <w:pPr>
        <w:jc w:val="both"/>
      </w:pPr>
    </w:p>
    <w:sectPr w:rsidR="00716285" w:rsidRPr="00F04176" w:rsidSect="0071628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6D53" w14:textId="77777777" w:rsidR="004E3210" w:rsidRDefault="004E3210" w:rsidP="00716285">
      <w:r>
        <w:separator/>
      </w:r>
    </w:p>
  </w:endnote>
  <w:endnote w:type="continuationSeparator" w:id="0">
    <w:p w14:paraId="301D5824" w14:textId="77777777" w:rsidR="004E3210" w:rsidRDefault="004E3210" w:rsidP="0071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817C" w14:textId="77777777" w:rsidR="00716285" w:rsidRPr="00716285" w:rsidRDefault="00716285" w:rsidP="00716285">
    <w:pPr>
      <w:pStyle w:val="a5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DE3E" w14:textId="77777777" w:rsidR="00716285" w:rsidRPr="00716285" w:rsidRDefault="00716285" w:rsidP="00716285">
    <w:pPr>
      <w:pStyle w:val="a5"/>
      <w:jc w:val="center"/>
      <w:rPr>
        <w:sz w:val="24"/>
      </w:rPr>
    </w:pPr>
    <w:r w:rsidRPr="00716285">
      <w:rPr>
        <w:sz w:val="24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443C" w14:textId="77777777" w:rsidR="004E3210" w:rsidRDefault="004E3210" w:rsidP="00716285">
      <w:r>
        <w:separator/>
      </w:r>
    </w:p>
  </w:footnote>
  <w:footnote w:type="continuationSeparator" w:id="0">
    <w:p w14:paraId="26AABCCC" w14:textId="77777777" w:rsidR="004E3210" w:rsidRDefault="004E3210" w:rsidP="00716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955"/>
    <w:multiLevelType w:val="hybridMultilevel"/>
    <w:tmpl w:val="17D24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0427E"/>
    <w:multiLevelType w:val="hybridMultilevel"/>
    <w:tmpl w:val="5134C726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4465CC9"/>
    <w:multiLevelType w:val="hybridMultilevel"/>
    <w:tmpl w:val="9C4CA7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C7085C"/>
    <w:multiLevelType w:val="hybridMultilevel"/>
    <w:tmpl w:val="731431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6107A"/>
    <w:multiLevelType w:val="hybridMultilevel"/>
    <w:tmpl w:val="9CF4D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F9A1133"/>
    <w:multiLevelType w:val="hybridMultilevel"/>
    <w:tmpl w:val="65165DB8"/>
    <w:lvl w:ilvl="0" w:tplc="A0B0041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8B3062"/>
    <w:multiLevelType w:val="hybridMultilevel"/>
    <w:tmpl w:val="D536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EB"/>
    <w:rsid w:val="000B44EB"/>
    <w:rsid w:val="000F10D7"/>
    <w:rsid w:val="0011255D"/>
    <w:rsid w:val="001767D1"/>
    <w:rsid w:val="001E7147"/>
    <w:rsid w:val="0022343C"/>
    <w:rsid w:val="004E3210"/>
    <w:rsid w:val="00547E50"/>
    <w:rsid w:val="005C0E16"/>
    <w:rsid w:val="00713548"/>
    <w:rsid w:val="00716285"/>
    <w:rsid w:val="00954E6C"/>
    <w:rsid w:val="00985B01"/>
    <w:rsid w:val="009D693B"/>
    <w:rsid w:val="00A83F7E"/>
    <w:rsid w:val="00AF3104"/>
    <w:rsid w:val="00B21E3D"/>
    <w:rsid w:val="00B52A0D"/>
    <w:rsid w:val="00BA5784"/>
    <w:rsid w:val="00BA77A7"/>
    <w:rsid w:val="00C52A7A"/>
    <w:rsid w:val="00D46965"/>
    <w:rsid w:val="00E13AC4"/>
    <w:rsid w:val="00E86989"/>
    <w:rsid w:val="00F0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6E6B0"/>
  <w15:chartTrackingRefBased/>
  <w15:docId w15:val="{F49E4C1B-A918-4703-931B-CE2CF5D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176"/>
    <w:pPr>
      <w:keepNext/>
      <w:keepLines/>
      <w:spacing w:before="40" w:line="276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28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62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1628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62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7162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a8">
    <w:name w:val="Normal (Web)"/>
    <w:basedOn w:val="a"/>
    <w:uiPriority w:val="99"/>
    <w:semiHidden/>
    <w:unhideWhenUsed/>
    <w:rsid w:val="00F04176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semiHidden/>
    <w:rsid w:val="00F0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3B21B-F30A-4245-8748-68031A30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12</cp:revision>
  <dcterms:created xsi:type="dcterms:W3CDTF">2022-02-11T12:00:00Z</dcterms:created>
  <dcterms:modified xsi:type="dcterms:W3CDTF">2022-02-24T12:21:00Z</dcterms:modified>
</cp:coreProperties>
</file>