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5B6770"/>
          <w:sz w:val="18"/>
          <w:szCs w:val="18"/>
        </w:rPr>
        <w:t xml:space="preserve">PREPARACIÓN FELLOW DE REUMATOLOGÍA · OCTUBRE 2026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7A1F3D"/>
          <w:sz w:val="60"/>
          <w:szCs w:val="60"/>
        </w:rPr>
        <w:t xml:space="preserve">Miopatías inflamatorias idiopáticas</w:t>
      </w:r>
    </w:p>
    <w:p>
      <w:pPr>
        <w:spacing w:after="500"/>
      </w:pPr>
      <w:r>
        <w:rPr>
          <w:rFonts w:ascii="Georgia" w:cs="Georgia" w:eastAsia="Georgia" w:hAnsi="Georgia"/>
          <w:color w:val="1B2733"/>
          <w:sz w:val="26"/>
          <w:szCs w:val="26"/>
        </w:rPr>
        <w:t xml:space="preserve">Revisión integral basada en cinco artículos: clasificación, clínica, paraclínicos y su porqué, autoanticuerpos, diagnóstico diferencial, asociaciones, tratamiento por manifestación y casos clínicos razonados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380"/>
      </w:tblGrid>
      <w:tr>
        <w:trPr>
          <w:tblHeader/>
        </w:trP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Abreviatura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Allenbach Y, Benveniste O. Inflammatory Myopathies. N Engl J Med 2026;394:1925-38. Revisión general: subtipos, patología, fisiopatología y tratamientos.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Allameen NA, Ramos-Lisbona AI, Wedderburn LR, Lundberg IE, Isenberg DA. An update on autoantibodies in the idiopathic inflammatory myopathies. Nat Rev Rheumatol 2025;21:46-62. Autoanticuerpos y métodos de detección.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Selva-O’Callaghan A, Trallero-Araguás E, Gil-Vila A, et al. Treatment Algorithms for Inflammatory Myopathies in Adults: from Guidelines to Clinical Practice. Curr Treat Options Rheum 2025;11:21. Algoritmos terapéuticos por manifestación.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Oldroyd AGS, Lilleker JB, et al. British Society for Rheumatology guideline on management of paediatric, adolescent and adult patients with IIM. Rheumatology 2022;61:1760-8. Guía con grados GRADE.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Larson ST, Wilbur J. Muscle Weakness in Adults: Evaluation and Differential Diagnosis. Am Fam Physician 2020;101:95-108. Abordaje de la debilidad y diagnóstico diferencial.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CÓMO USAR ESTE DOCUMENTO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Cada dato lleva la fuente entre corchetes. Lo marcado como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artículos]</w:t>
            </w:r>
            <w:r>
              <w:rPr>
                <w:sz w:val="19"/>
                <w:szCs w:val="19"/>
              </w:rPr>
              <w:t xml:space="preserve"> es conocimiento estándar que agregué para completar el tema; verifícalo en la fuente primaria antes del examen.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Los casos clínicos (sección 15) son casos de enseñanza construidos para aplicar el contenido; no son pacientes reales.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Abreviaturas: MII = miopatías inflamatorias idiopáticas; DM = dermatomiositis; SAS = síndrome antisintetasa; MNIM = miopatía necrotizante inmunomediada; MCI = miositis por cuerpos de inclusión; EPI = enfermedad pulmonar intersticial; EPI-RP = EPI rápidamente progresiva; MSA = autoanticuerpo específico de miositis; MAA = autoanticuerpo asociado a miositis; IGIV = inmunoglobulina intravenosa; GC = glucocorticoides; JAKi = inhibidor de JAK; CNI = inhibidor de calcineurina; MMF = micofenolato.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7A1F3D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10" w:line="276"/>
      </w:pPr>
      <w:r>
        <w:rPr>
          <w:i/>
          <w:iCs/>
          <w:color w:val="5B6770"/>
          <w:sz w:val="18"/>
          <w:szCs w:val="18"/>
        </w:rPr>
        <w:t xml:space="preserve">(Si el índice aparece vacío, en Word: clic derecho sobre él → Actualizar campo.)</w:t>
      </w:r>
    </w:p>
    <w:p>
      <w:pPr>
        <w:pStyle w:val="Heading1"/>
        <w:pageBreakBefore/>
      </w:pPr>
      <w:r>
        <w:t xml:space="preserve">1. Las ideas que tienes que dominar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Ya no se piensa en "polimiositis y dermatomiositis".</w:t>
      </w:r>
      <w:r>
        <w:t xml:space="preserve"> Hoy hay cinco subgrupos clínico-serológico-patológicos: miositis por cuerpos de inclusión, miopatía necrotizante inmunomediada, síndrome antisintetasa, miositis de superposición y dermatomiositis. La polimiositis pura es un diagnóstico de exclusión y es rara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Dos grupos pronósticos.</w:t>
      </w:r>
      <w:r>
        <w:t xml:space="preserve"> MCI y MNIM son enfermedades sobre todo musculares y el pronóstico es funcional. SAS, superposición y DM son sistémicas (piel, articulaciones, pulmón) y pueden ser mortales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 autoanticuerpo manda.</w:t>
      </w:r>
      <w:r>
        <w:t xml:space="preserve"> Cerca del 70 % de los pacientes tiene un autoanticuerpo detectable (50–70 % según la serie). Los MSA son en general mutuamente excluyentes y definen fenotipo, subtipo, riesgo de cáncer, de EPI y pronóstico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 biopsia muscular sigue siendo el estándar de referencia,</w:t>
      </w:r>
      <w:r>
        <w:t xml:space="preserve"> pero ya no es obligatoria si el cuadro clínico-serológico es claro. Es indispensable si no hay MSA y en toda sospecha de MCI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 ANA en HEp-2 no basta.</w:t>
      </w:r>
      <w:r>
        <w:t xml:space="preserve"> Su sensibilidad para MSA y MAA es baja; hay que pedir un inmunoensayo multiplex (panel de miositis) e interpretarlo con la clínica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Mortalidad del ~10 % en el primer año,</w:t>
      </w:r>
      <w:r>
        <w:t xml:space="preserve"> sobre todo por cáncer y complicaciones respiratorias. Un ~10 % de los adultos tiene cáncer en los 3 años previos o posteriores al diagnóstico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Tratamiento base:</w:t>
      </w:r>
      <w:r>
        <w:t xml:space="preserve"> GC a dosis altas más un inmunosupresor ahorrador desde el inicio. La IGIV es el único tratamiento aprobado para DM con base en un ensayo fase 3 (ProDERM). La MCI no responde a la inmunosupresión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 tratamiento se dirige por manifestación y por fenotipo:</w:t>
      </w:r>
      <w:r>
        <w:t xml:space="preserve"> músculo, piel, EPI (rápida frente a crónica), disfagia, miocarditis, artritis, calcinosis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 ejercicio es seguro y beneficioso</w:t>
      </w:r>
      <w:r>
        <w:t xml:space="preserve"> incluso con enfermedad activa: aeróbico y de resistencia, 3 veces por semana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Heading1"/>
        <w:pageBreakBefore/>
      </w:pPr>
      <w:r>
        <w:t xml:space="preserve">2. Historia, definición y clasificación</w:t>
      </w:r>
    </w:p>
    <w:p>
      <w:pPr>
        <w:pStyle w:val="Heading2"/>
      </w:pPr>
      <w:r>
        <w:t xml:space="preserve">2.1 Línea de tiempo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6600"/>
        <w:gridCol w:w="2180"/>
      </w:tblGrid>
      <w:tr>
        <w:trPr>
          <w:tblHeader/>
        </w:trP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Año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1886 · 1891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Primeras descripciones de "polimiositis" (Wagner) y "dermatomiositis" (Unverricht)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1975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Criterios de Bohan y Peter: separan DM de PM por la piel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1976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Primer MSA: anti-Mi-2, aislado de una paciente con DM ("Mrs. Mi")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1990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 describe el síndrome antisintetasa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1995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Miositis por cuerpos de inclusión como entidad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2004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Miopatía necrotizante inmunomediada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2013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 describe el anti-cN1A en la MCI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2017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Criterios de clasificación EULAR/ACR (solo incluyen anti-Jo-1; en revisión)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1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2023–2026</w:t>
            </w:r>
          </w:p>
        </w:tc>
        <w:tc>
          <w:tcPr>
            <w:tcW w:type="dxa" w:w="6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IP-MS descubre anti-Ly y mejora la detección de anti-OJ; ensayos con anti-IFN, JAKi, TYK2, CAR-T y FcRn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Los cinco subgrupos actuales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900"/>
        <w:gridCol w:w="238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Subgrupo</w:t>
            </w:r>
          </w:p>
        </w:tc>
        <w:tc>
          <w:tcPr>
            <w:tcW w:type="dxa" w:w="39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Anticuerpos</w:t>
            </w:r>
          </w:p>
        </w:tc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enfermedad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Dermatomiositis (DM)</w:t>
            </w:r>
          </w:p>
        </w:tc>
        <w:tc>
          <w:tcPr>
            <w:tcW w:type="dxa" w:w="39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Piel característica ± músculo; firma de interferón tipo I; vasculopatía y atrofia perifascicular. Incluye DM amiopática, DM sine dermatitis y DM juvenil (&lt;15 años)</w:t>
            </w:r>
          </w:p>
        </w:tc>
        <w:tc>
          <w:tcPr>
            <w:tcW w:type="dxa" w:w="2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Mi-2, TIF1γ, NXP2, SAE, MDA5</w:t>
            </w:r>
          </w:p>
        </w:tc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Sistémica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Síndrome antisintetasa (SAS)</w:t>
            </w:r>
          </w:p>
        </w:tc>
        <w:tc>
          <w:tcPr>
            <w:tcW w:type="dxa" w:w="39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Anti-ARS + EPI, miositis, artritis, Raynaud, fiebre, manos de mecánico</w:t>
            </w:r>
          </w:p>
        </w:tc>
        <w:tc>
          <w:tcPr>
            <w:tcW w:type="dxa" w:w="2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Jo-1, PL-7, PL-12, EJ, OJ, KS, Zo, Ha (Jo-1, PL-7 y PL-12 son &gt;90 %)</w:t>
            </w:r>
          </w:p>
        </w:tc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Sistémica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Miopatía necrotizante inmunomediada (MNIM)</w:t>
            </w:r>
          </w:p>
        </w:tc>
        <w:tc>
          <w:tcPr>
            <w:tcW w:type="dxa" w:w="39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Necrosis de fibras con poca inflamación; CK muy alta; progresión rápida</w:t>
            </w:r>
          </w:p>
        </w:tc>
        <w:tc>
          <w:tcPr>
            <w:tcW w:type="dxa" w:w="2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SRP, HMGCR, o seronegativa</w:t>
            </w:r>
          </w:p>
        </w:tc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Predominio muscular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Miositis de superposición</w:t>
            </w:r>
          </w:p>
        </w:tc>
        <w:tc>
          <w:tcPr>
            <w:tcW w:type="dxa" w:w="39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Miositis en el espectro de otra enfermedad del tejido conectivo (ES, LES, EMTC, Sjögren)</w:t>
            </w:r>
          </w:p>
        </w:tc>
        <w:tc>
          <w:tcPr>
            <w:tcW w:type="dxa" w:w="2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PM/Scl, Ku, U1-RNP, Ro52 (MAA)</w:t>
            </w:r>
          </w:p>
        </w:tc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Sistémica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Miositis por cuerpos de inclusión (MCI)</w:t>
            </w:r>
          </w:p>
        </w:tc>
        <w:tc>
          <w:tcPr>
            <w:tcW w:type="dxa" w:w="39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Inflamación por CD8 más degeneración (vacuolas ribeteadas); asimétrica, crónica; refractaria</w:t>
            </w:r>
          </w:p>
        </w:tc>
        <w:tc>
          <w:tcPr>
            <w:tcW w:type="dxa" w:w="2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cN1A (no específico)</w:t>
            </w:r>
          </w:p>
        </w:tc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Predominio muscular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Polimiositis</w:t>
            </w:r>
          </w:p>
        </w:tc>
        <w:tc>
          <w:tcPr>
            <w:tcW w:type="dxa" w:w="39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Diagnóstico de exclusión; muy rara hoy (muchas eran SAS, MNIM o MCI mal clasificadas)</w:t>
            </w:r>
          </w:p>
        </w:tc>
        <w:tc>
          <w:tcPr>
            <w:tcW w:type="dxa" w:w="2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4DC" w:sz="4"/>
              <w:left w:val="single" w:color="A86B00" w:sz="24"/>
              <w:bottom w:val="single" w:color="FFF4DC" w:sz="4"/>
              <w:right w:val="single" w:color="FFF4DC" w:sz="4"/>
            </w:tcBorders>
            <w:shd w:fill="FFF4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86B00"/>
                <w:sz w:val="18"/>
                <w:szCs w:val="18"/>
              </w:rPr>
              <w:t xml:space="preserve">FUERA DEL ALCANCE DE ESTAS REVISIONES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La miopatía inducida por inhibidores de checkpoint inmunitario es un evento adverso inmunomediado propio de la oncología; el NEJM la excluye de su revisión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Los criterios EULAR/ACR 2017 tienen limitaciones: criterios incompletos para MNIM y MCI y omisión de la mayoría de los autoanticuerpos descritos después (solo puntúa anti-Jo-1). Están en revisión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Criterios EULAR/ACR 2017 (estructura)</w:t>
      </w:r>
    </w:p>
    <w:p>
      <w:pPr>
        <w:spacing w:after="110" w:line="276"/>
      </w:pPr>
      <w:r>
        <w:t xml:space="preserve">Las fuentes los citan pero no detallan la puntuación. Se resume aquí porque es pregunta frecuente. </w:t>
      </w:r>
      <w:r>
        <w:rPr>
          <w:b w:val="false"/>
          <w:bCs w:val="false"/>
          <w:color w:val="0E5E6F"/>
          <w:sz w:val="17"/>
          <w:szCs w:val="17"/>
        </w:rPr>
        <w:t xml:space="preserve">[Fuera de los 5 artículos — verificar en Lundberg IE et al. Ann Rheum Dis 2017;76:1955-64]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80"/>
        <w:gridCol w:w="2000"/>
        <w:gridCol w:w="2000"/>
      </w:tblGrid>
      <w:tr>
        <w:trPr>
          <w:tblHeader/>
        </w:trP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Puntos sin biopsia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Puntos con biopsia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Edad de inicio de los síntomas ≥18 y &lt;40 años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Edad de inicio ≥40 años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Debilidad objetiva simétrica, usualmente progresiva, proximal de miembros superiores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Debilidad objetiva simétrica, usualmente progresiva, proximal de miembros inferiores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0.8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Flexores del cuello relativamente más débiles que los extensores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1.9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 las piernas, músculos proximales más débiles que los distales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0.9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Heliotropo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Pápulas de Gottron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2.7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Signo de Gottron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3.7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Disfagia o dismotilidad esofágica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0.6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Anti-Jo-1 positivo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3.9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3.8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CK, LDH, AST o ALT elevadas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Biopsia: infiltrado endomisial que rodea sin invadir fibras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1.7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Biopsia: infiltrado perimisial y/o perivascular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Biopsia: atrofia perifascicular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1.9</w:t>
            </w:r>
          </w:p>
        </w:tc>
      </w:tr>
      <w:tr>
        <w:tc>
          <w:tcPr>
            <w:tcW w:type="dxa" w:w="6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Biopsia: vacuolas ribeteadas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3.1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t xml:space="preserve">Puntos de corte: </w:t>
      </w:r>
      <w:r>
        <w:rPr>
          <w:b/>
          <w:bCs/>
        </w:rPr>
        <w:t xml:space="preserve">MII probable</w:t>
      </w:r>
      <w:r>
        <w:t xml:space="preserve"> ≥5.5 sin biopsia (≥6.7 con biopsia), equivalente a probabilidad ≥55 %; </w:t>
      </w:r>
      <w:r>
        <w:rPr>
          <w:b/>
          <w:bCs/>
        </w:rPr>
        <w:t xml:space="preserve">MII definida</w:t>
      </w:r>
      <w:r>
        <w:t xml:space="preserve"> ≥7.5 sin biopsia (≥8.7 con biopsia), probabilidad ≥90 %. Después se subclasifica (DM, DM amiopática, DM juvenil, PM/MNIM, MCI) con un árbol de decisión. </w:t>
      </w:r>
      <w:r>
        <w:rPr>
          <w:b w:val="false"/>
          <w:bCs w:val="false"/>
          <w:color w:val="0E5E6F"/>
          <w:sz w:val="17"/>
          <w:szCs w:val="17"/>
        </w:rPr>
        <w:t xml:space="preserve">[Fuera de los 5 artículos]</w:t>
      </w:r>
    </w:p>
    <w:p>
      <w:pPr>
        <w:pStyle w:val="Heading1"/>
        <w:pageBreakBefore/>
      </w:pPr>
      <w:r>
        <w:t xml:space="preserve">3. Epidemiología y factores de riesgo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Incidencia</w:t>
      </w:r>
      <w:r>
        <w:t xml:space="preserve"> 0.79 por 100,000 personas-año y </w:t>
      </w:r>
      <w:r>
        <w:rPr>
          <w:b/>
          <w:bCs/>
        </w:rPr>
        <w:t xml:space="preserve">prevalencia</w:t>
      </w:r>
      <w:r>
        <w:t xml:space="preserve"> 14 por 100,000 (meta-análisis), con gran variación por región y por definición de caso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 La BSR cita una incidencia de hasta 19 por 1,000,000 personas-año en adultos y 4 por 1,000,000 en niños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Sexo:</w:t>
      </w:r>
      <w:r>
        <w:t xml:space="preserve"> predominio femenino, </w:t>
      </w:r>
      <w:r>
        <w:rPr>
          <w:b/>
          <w:bCs/>
        </w:rPr>
        <w:t xml:space="preserve">excepto en la MCI</w:t>
      </w:r>
      <w:r>
        <w:t xml:space="preserve"> (más en hombres)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Edad:</w:t>
      </w:r>
      <w:r>
        <w:t xml:space="preserve"> la DM aparece a cualquier edad; antes de los 15 años se llama DM juvenil. MNIM, SAS y superposición son raras en niños. La MCI casi siempre empieza después de los 35 años, con un pico alrededor de los 60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; el anti-cN1A se detecta sobre todo en hombres ≥45 años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Genética:</w:t>
      </w:r>
      <w:r>
        <w:t xml:space="preserve"> la región HLA es la más asociada en los estudios de genoma completo, con patrones distintos por subgrupo. La heredabilidad en gemelos idénticos llega al 24 %, lo que subraya el peso del ambiente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HLA por anticuerpo:</w:t>
      </w:r>
      <w:r>
        <w:t xml:space="preserve"> anti-HMGCR con DRB1*11:01 (y DRB1*07:01); anti-TIF1γ en adultos con DQB1*02:02 (OR 3.31) y en niños con DRB1*03:01 (OR 2.69)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Ambiente:</w:t>
      </w:r>
      <w:r>
        <w:t xml:space="preserve"> infecciones, tabaco, radiación ultravioleta, cáncer y fármacos como las estatinas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Dieta:</w:t>
      </w:r>
      <w:r>
        <w:t xml:space="preserve"> se describen como desencadenantes raros la espirulina y el gluten en la enfermedad celíaca. Las estatinas "naturales" (arroz de levadura roja con lovastatina, ciertos hongos con pravastatina) pueden precipitar o reactivar la MNIM anti-HMGCR. La creatina con ejercicio podría ayudar, pero no se recomienda de rutina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Etnia:</w:t>
      </w:r>
      <w:r>
        <w:t xml:space="preserve"> anti-SRP más frecuente en asiáticos y minorías étnicas; anti-MDA5 &lt;2 % de las MII del adulto en Europa frente a 7–60 % en Asia; más calcinosis en niños negros con DM juvenil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COVID-19:</w:t>
      </w:r>
      <w:r>
        <w:t xml:space="preserve"> durante la pandemia se describió un aumento de autoinmunidad anti-MDA5 (cohorte británica "MIP-C"), con menos EPI que las cohortes históricas. MDA5 es un sensor de ARN viral (familia RIG-I)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Heading1"/>
        <w:pageBreakBefore/>
      </w:pPr>
      <w:r>
        <w:t xml:space="preserve">4. Fisiopatología por subgrupo</w:t>
      </w:r>
    </w:p>
    <w:p>
      <w:pPr>
        <w:spacing w:after="110" w:line="276"/>
      </w:pPr>
      <w:r>
        <w:t xml:space="preserve">La relativa homogeneidad clínica de cada subgrupo refleja mecanismos distintos. La transcriptómica del músculo muestra cuatro firmas moleculares diferentes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300"/>
        <w:gridCol w:w="4280"/>
      </w:tblGrid>
      <w:tr>
        <w:trPr>
          <w:tblHeader/>
        </w:trPr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Subgrupo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Mecanismo principal</w:t>
            </w:r>
          </w:p>
        </w:tc>
        <w:tc>
          <w:tcPr>
            <w:tcW w:type="dxa" w:w="4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 y consecuencia terapéutica</w:t>
            </w:r>
          </w:p>
        </w:tc>
      </w:tr>
      <w:tr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MCI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Inflamación por linfocitos T CD8+ citotóxicos, oligoclonales y diferenciados en fase terminal, en un ambiente de IFN-γ. Se suma degeneración: vacuolas ribeteadas, agregados proteicos, estrés del retículo endoplásmico, fallo de la autofagia y disfunción mitocondrial</w:t>
            </w:r>
          </w:p>
        </w:tc>
        <w:tc>
          <w:tcPr>
            <w:tcW w:type="dxa" w:w="4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modelos de xenoinjerto muestran que la degeneración puede avanzar de forma independiente; eso explica la falta de respuesta a la inmunosupresión. Se ensayan sirolimus (fase 3) y un anti-KLRG1 contra los T efectores terminales</w:t>
            </w:r>
          </w:p>
        </w:tc>
      </w:tr>
      <w:tr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MNIM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Fibras necróticas, infiltrado endomisial de macrófagos, autofagia con patrón p62 granular fino; depósitos de inmunoglobulina y complemento en la membrana</w:t>
            </w:r>
          </w:p>
        </w:tc>
        <w:tc>
          <w:tcPr>
            <w:tcW w:type="dxa" w:w="4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autoanticuerpos parecen patogénicos: la transferencia de suero a ratones reproduce la enfermedad, los anti-HMGCR se internalizan en la fibra e inhiben la enzima, y la pérdida genética de HMGCR causa miopatía. Responde a CAR-T anti-CD19. Racional para IGIV, rituximab, plasmaféresis y bloqueo de FcRn</w:t>
            </w:r>
          </w:p>
        </w:tc>
      </w:tr>
      <w:tr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SAS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Necrosis perifascicular con infiltrados T, nichos de linfocitos B y células plasmáticas; firma inmune distinta de la DM. El antígeno Jo-1 es central, sobre todo en el pulmón</w:t>
            </w:r>
          </w:p>
        </w:tc>
        <w:tc>
          <w:tcPr>
            <w:tcW w:type="dxa" w:w="4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transferencia de anti-Jo-1 o la inmunización con Jo-1 inducen enfermedad en animales. Buena respuesta a rituximab y CAR-T anti-CD19</w:t>
            </w:r>
          </w:p>
        </w:tc>
      </w:tr>
      <w:tr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DM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Interferonopatía adquirida:</w:t>
            </w:r>
            <w:r>
              <w:rPr>
                <w:sz w:val="18"/>
                <w:szCs w:val="18"/>
              </w:rPr>
              <w:t xml:space="preserve"> firma de IFN tipo I (sobre todo IFN-β) en músculo, piel y sangre. Vasculopatía (depósito de C5b-9 en capilares) y atrofia perifascicular</w:t>
            </w:r>
          </w:p>
        </w:tc>
        <w:tc>
          <w:tcPr>
            <w:tcW w:type="dxa" w:w="4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IFN-β es tóxico para el músculo y el endotelio. Todos los anticuerpos de DM apuntan a proteínas de la vía del IFN. Racional para JAKi, TYK2 (brepocitinib), anti-IFN-β (dazukibart) y anti-IFNAR (anifrolumab)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PATOGENICIDAD DE LOS AUTOANTICUERPOS [NRR 2025]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Los títulos de anti-MDA5 bajan con la remisión y suben antes de las recaídas en algunas series; los de anti-SRP y anti-HMGCR se correlacionan con la actividad. Los datos no son uniformes.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Los NETs (trampas extracelulares de neutrófilos) activan las vías de IFN I y II y contribuyen a la EPI, el daño muscular y la vasculopatía. Están aumentados con anti-MDA5 y anti-TIF1γ. Con anti-Jo-1 hay baja actividad de DNasa I, que degrada mal los NETs.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Los autoanticuerpos se internalizan en la fibra (estudio de 2024): anti-Mi-2 altera el complejo NuRD y desreprime más de 100 genes; anti-PM/Scl altera el exosoma de ARN.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Anti-HMGCR y anti-SRP purificados reducen la formación de miotubos y causan atrofia in vitro; la IgG de pacientes produce necrosis en ratones (mediada por complemento).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Abordaje del adulto con debilidad muscular</w:t>
      </w:r>
    </w:p>
    <w:p>
      <w:pPr>
        <w:spacing w:after="110" w:line="276"/>
      </w:pPr>
      <w:r>
        <w:t xml:space="preserve">Este capítulo sigue al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 y es el primer filtro antes de pensar en una miopatía inflamatoria. La debilidad muscular afecta a cerca del 5 % de los adultos ≥60 años en EE. UU.</w:t>
      </w:r>
    </w:p>
    <w:p>
      <w:pPr>
        <w:pStyle w:val="Heading2"/>
      </w:pPr>
      <w:r>
        <w:t xml:space="preserve">5.1 Paso 1: ¿es debilidad verdadera?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Hay que distinguir la </w:t>
      </w:r>
      <w:r>
        <w:rPr>
          <w:b/>
          <w:bCs/>
        </w:rPr>
        <w:t xml:space="preserve">debilidad verdadera</w:t>
      </w:r>
      <w:r>
        <w:t xml:space="preserve"> de la fatiga subjetiva y de la limitación motora por dolor con fuerza normal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</w:t>
      </w:r>
      <w:r>
        <w:rPr>
          <w:b/>
          <w:bCs/>
        </w:rPr>
        <w:t xml:space="preserve">gradúa objetivamente con la escala MRC</w:t>
      </w:r>
      <w:r>
        <w:t xml:space="preserve"> (Medical Research Council), de 0 a 5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Grado MRC</w:t>
            </w:r>
          </w:p>
        </w:tc>
        <w:tc>
          <w:tcPr>
            <w:tcW w:type="dxa" w:w="8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Movimiento contra resistencia completa del examinador</w:t>
            </w:r>
          </w:p>
        </w:tc>
      </w:tr>
      <w:tr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Fuerza reducida, pero vence alguna resistencia</w:t>
            </w:r>
          </w:p>
        </w:tc>
      </w:tr>
      <w:tr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Vence la gravedad, no la resistencia</w:t>
            </w:r>
          </w:p>
        </w:tc>
      </w:tr>
      <w:tr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Movimiento solo sin gravedad</w:t>
            </w:r>
          </w:p>
        </w:tc>
      </w:tr>
      <w:tr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Contracción visible o palpable, sin movimiento</w:t>
            </w:r>
          </w:p>
        </w:tc>
      </w:tr>
      <w:tr>
        <w:tc>
          <w:tcPr>
            <w:tcW w:type="dxa" w:w="1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Ninguna contracción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Paso 2: historia clínica dirigida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orienta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Tiempo de instauración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Aguda (horas a días): vascular, infecciosa, inflamatoria, metabólica, tóxica; evaluar con urgencia. Subaguda (días a semanas): electrolitos, inflamatoria, reumatológica. Gradual: neurológica, genética, metabólica o </w:t>
            </w:r>
            <w:r>
              <w:rPr>
                <w:b/>
                <w:bCs/>
                <w:sz w:val="18"/>
                <w:szCs w:val="18"/>
              </w:rPr>
              <w:t xml:space="preserve">MCI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Distribución proximal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Dificultad para levantarse de una silla, subir escaleras o peinarse. Más típica de las miopatías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Distribución distal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Dificultad para abrir frascos, se le caen los objetos, pie caído. Tóxicos (organofosforados), neuropatía motora hereditaria o </w:t>
            </w:r>
            <w:r>
              <w:rPr>
                <w:b/>
                <w:bCs/>
                <w:sz w:val="18"/>
                <w:szCs w:val="18"/>
              </w:rPr>
              <w:t xml:space="preserve">MCI temprana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Proximal y distal a la vez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MCI o Guillain-Barré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Asimetría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Típicamente neurológica (SNC, compresión o inflamación de nervio). Excepción importante: </w:t>
            </w:r>
            <w:r>
              <w:rPr>
                <w:b/>
                <w:bCs/>
                <w:sz w:val="18"/>
                <w:szCs w:val="18"/>
              </w:rPr>
              <w:t xml:space="preserve">MCI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Síntomas orofaríngeos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Disfagia o disartria: miopatía inflamatoria, enfermedad de motoneurona, miastenia, distrofia, botulismo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Diplopía, ptosis, fatigabilidad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Miastenia gravis (empeora a lo largo del día y con el calor)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Síntomas sensitivos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Origen neuropático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Dolor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Compresión nerviosa, rabdomiólisis, miopatía inflamatoria, neuropatía inflamatoria (Parsonage-Turner), daño por fármacos (estatinas, fluoroquinolonas). Todas las MII pueden doler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Fiebre, artralgias, exantema, Raynaud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Etiología inflamatoria; la fiebre sugiere además infección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Fármacos y tóxicos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Revisión obligatoria: estatinas, GC, colchicina, alcohol, drogas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Historia familiar</w:t>
            </w:r>
          </w:p>
        </w:tc>
        <w:tc>
          <w:tcPr>
            <w:tcW w:type="dxa" w:w="7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Distrofias y causas hereditarias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Paso 3: examen físico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Neurona motora superior:</w:t>
      </w:r>
      <w:r>
        <w:t xml:space="preserve"> espasticidad, hiperreflexia, Babinski, clonus, disartria, incoordinación. </w:t>
      </w:r>
      <w:r>
        <w:rPr>
          <w:b/>
          <w:bCs/>
        </w:rPr>
        <w:t xml:space="preserve">Neurona motora inferior:</w:t>
      </w:r>
      <w:r>
        <w:t xml:space="preserve"> hiporreflexia, hipotonía, atrofia, fasciculaciones (p. ej., voz ronca por atrofia laríngea)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Hiperreflexia:</w:t>
      </w:r>
      <w:r>
        <w:t xml:space="preserve"> lesión de motoneurona superior, hipertiroidismo, hipercalcemia. </w:t>
      </w:r>
      <w:r>
        <w:rPr>
          <w:b/>
          <w:bCs/>
        </w:rPr>
        <w:t xml:space="preserve">Hiporreflexia:</w:t>
      </w:r>
      <w:r>
        <w:t xml:space="preserve"> hipotiroidismo, motoneurona inferior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Hipocalcemia:</w:t>
      </w:r>
      <w:r>
        <w:t xml:space="preserve"> Trousseau positivo hasta en el 94 %; el Chvostek no es sensible ni específico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Miastenia:</w:t>
      </w:r>
      <w:r>
        <w:t xml:space="preserve"> la fuerza empeora con la repetición. </w:t>
      </w:r>
      <w:r>
        <w:rPr>
          <w:b/>
          <w:bCs/>
        </w:rPr>
        <w:t xml:space="preserve">Lambert-Eaton:</w:t>
      </w:r>
      <w:r>
        <w:t xml:space="preserve"> la fuerza y los reflejos mejoran transitoriamente tras contraer repetidamente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Hallazgos extraneurológicos:</w:t>
      </w:r>
      <w:r>
        <w:t xml:space="preserve"> fiebre (inflamatoria o infecciosa), aspecto cushingoide, piel de DM (Gottron, heliotropo, V, chal), arritmias (miopatía inflamatoria, genética, electrolitos), bronceado (Addison)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Heading2"/>
      </w:pPr>
      <w:r>
        <w:t xml:space="preserve">5.4 Algoritmo de decisión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700"/>
        <w:gridCol w:w="3980"/>
      </w:tblGrid>
      <w:tr>
        <w:trPr>
          <w:tblHeader/>
        </w:trP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Pensar en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Estudios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Signos de motoneurona superior, agudo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ACV, infarto medular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Traslado inmediato a urgencias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Motoneurona superior, subagudo o gradual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Masa, compresión, esclerosis múltiple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RM de cerebro o columna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Motoneurona superior + inferior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ELA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EMG/neuroconducción, neurología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Empeora con la repetición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Miastenia gravis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Anti-AChR (80–90 % en la generalizada; 50–55 % en la ocular)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Mejora con la repetición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Lambert-Eaton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Anti-canal de calcio voltaje-dependiente (VGCC); buscar cáncer de pulmón de células pequeñas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Déficit sensitivo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Neuropatía tóxica, alcohólica, diabética, genética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Glucosa, B12, tóxicos, EMG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Asimétrica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Neuropatía compresiva, radiculopatía, Parsonage-Turner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EMG/neuroconducción ± RM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Simétrica CON dolor importante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Fármacos (estatinas, fluoroquinolonas), rabdomiólisis, miopatía inflamatoria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Revisar fármacos, CK, mioglobina, VSG, PCR, ANA → reumatología; biopsia si no hay claridad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Simétrica SIN dolor importante</w:t>
            </w:r>
          </w:p>
        </w:tc>
        <w:tc>
          <w:tcPr>
            <w:tcW w:type="dxa" w:w="3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Fármacos o tóxicos, endocrinopatías (Addison, Cushing, tiroides), electrolitos, distrofias, glucogenosis, lipidosis, mitocondriales, sarcopenia/fragilidad</w:t>
            </w:r>
          </w:p>
        </w:tc>
        <w:tc>
          <w:tcPr>
            <w:tcW w:type="dxa" w:w="39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Panel metabólico, TSH con T4 libre, CK, cortisol si hay sospecha, tóxicos, historia familiar, valorar fragilidad; EMG si no concluye; genética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5.5 Paraclínicos generales de la debilidad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CK:</w:t>
      </w:r>
      <w:r>
        <w:t xml:space="preserve"> inespecífica, pero confirma miopatía y estrecha el diagnóstico diferencial. </w:t>
      </w:r>
      <w:r>
        <w:rPr>
          <w:b/>
          <w:bCs/>
        </w:rPr>
        <w:t xml:space="preserve">No medirla justo después de una EMG:</w:t>
      </w:r>
      <w:r>
        <w:t xml:space="preserve"> puede subir transitoriamente. La mioglobinuria también sugiere miopatía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Electrolitos:</w:t>
      </w:r>
      <w:r>
        <w:t xml:space="preserve"> calcio, potasio, sodio, fosfato y magnesio. La hipopotasemia es frecuente (diuréticos, Gitelman, acidosis tubular, hiperaldosteronismo, tirotoxicosis, dengue)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TSH y cortisol</w:t>
      </w:r>
      <w:r>
        <w:t xml:space="preserve"> cuando la clínica lo sugiere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Infecciones</w:t>
      </w:r>
      <w:r>
        <w:t xml:space="preserve"> si hay sospecha: VIH, Lyme, virus del Nilo occidental, dengue; punción lumbar si se sospecha infección del SNC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EMG</w:t>
      </w:r>
      <w:r>
        <w:t xml:space="preserve"> si el diagnóstico sigue sin aclararse tras la historia, el examen y el laboratorio dirigido. Localiza la lesión (motoneurona, unión neuromuscular o músculo), no es patognomónica y ayuda a elegir el sitio de biopsia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RM o ecografía muscular</w:t>
      </w:r>
      <w:r>
        <w:t xml:space="preserve"> útiles en la miopatía inflamatoria y para guiar la biopsia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Biopsia muscular:</w:t>
      </w:r>
      <w:r>
        <w:t xml:space="preserve"> prueba definitiva. Indicada con debilidad objetiva más CK alta, o EMG o RM anormales. Se elige un músculo con </w:t>
      </w:r>
      <w:r>
        <w:rPr>
          <w:b/>
          <w:bCs/>
        </w:rPr>
        <w:t xml:space="preserve">debilidad leve a moderada</w:t>
      </w:r>
      <w:r>
        <w:t xml:space="preserve">; hay que evitar los muy débiles (fibrosis o grasa, no diagnóstica) y las sarcopenias avanzadas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Heading2"/>
      </w:pPr>
      <w:r>
        <w:t xml:space="preserve">5.6 Fármacos que causan debilidad [AFP 2020]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Fármaco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Comentario</w:t>
            </w:r>
          </w:p>
        </w:tc>
      </w:tr>
      <w:t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Estatinas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Miopatía y rabdomiólisis; mayor riesgo con inhibidores de CYP3A4 (amiodarona, calcioantagonistas, ritonavir, azoles, fluoxetina, tamoxifeno, jugo de toronja)</w:t>
            </w:r>
          </w:p>
        </w:tc>
      </w:tr>
      <w:t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Glucocorticoides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Miopatía no inflamatoria de músculos proximales y posturales; CK normal o baja; atrofia de fibras tipo II</w:t>
            </w:r>
          </w:p>
        </w:tc>
      </w:tr>
      <w:t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Fluoroquinolonas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Tendinopatía, rotura tendinosa, rabdomiólisis</w:t>
            </w:r>
          </w:p>
        </w:tc>
      </w:tr>
      <w:t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Colchicina, vincristina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Antimicrotúbulo</w:t>
            </w:r>
          </w:p>
        </w:tc>
      </w:tr>
      <w:t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Hidroxicloroquina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Miopatía (relevante en reumatología)</w:t>
            </w:r>
          </w:p>
        </w:tc>
      </w:tr>
      <w:t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Antirretrovirales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Zidovudina, estavudina, lamivudina, inhibidores de proteasa</w:t>
            </w:r>
          </w:p>
        </w:tc>
      </w:tr>
      <w:t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Amiodarona, gemfibrozil y fibratos, hidroxiurea, anestésicos locales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DM inducida por fármacos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Interferón alfa, omeprazol, penicilamina, fenitoína, fibratos, silicona (rotura de implante mamario)</w:t>
            </w:r>
          </w:p>
        </w:tc>
      </w:tr>
      <w:tr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Cualquier fármaco que altere calcio o potasio</w:t>
            </w:r>
          </w:p>
        </w:tc>
        <w:tc>
          <w:tcPr>
            <w:tcW w:type="dxa" w:w="6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Manifestaciones clínicas</w:t>
      </w:r>
    </w:p>
    <w:p>
      <w:pPr>
        <w:pStyle w:val="Heading2"/>
      </w:pPr>
      <w:r>
        <w:t xml:space="preserve">6.1 Compromiso muscular por subgrupo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100"/>
        <w:gridCol w:w="2100"/>
        <w:gridCol w:w="2000"/>
        <w:gridCol w:w="2180"/>
      </w:tblGrid>
      <w:tr>
        <w:trPr>
          <w:tblHeader/>
        </w:trP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MCI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MNIM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SAS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DM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Instauración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Lenta, años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Rápida en la mayoría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Subaguda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Aguda o subaguda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Topografía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Asimétrica; cuádriceps y flexores profundos de los dedos</w:t>
            </w:r>
            <w:r>
              <w:rPr>
                <w:sz w:val="18"/>
                <w:szCs w:val="18"/>
              </w:rPr>
              <w:t xml:space="preserve"> (casi patognomónica); también dorsiflexores del tobillo, cara y faringe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Proximal, predominio </w:t>
            </w:r>
            <w:r>
              <w:rPr>
                <w:b/>
                <w:bCs/>
                <w:sz w:val="18"/>
                <w:szCs w:val="18"/>
              </w:rPr>
              <w:t xml:space="preserve">lumbopélvico</w:t>
            </w:r>
            <w:r>
              <w:rPr>
                <w:sz w:val="18"/>
                <w:szCs w:val="18"/>
              </w:rPr>
              <w:t xml:space="preserve">; debilidad a menudo profunda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Proximal simétrica, moderada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Proximal simétrica, predominio </w:t>
            </w:r>
            <w:r>
              <w:rPr>
                <w:b/>
                <w:bCs/>
                <w:sz w:val="18"/>
                <w:szCs w:val="18"/>
              </w:rPr>
              <w:t xml:space="preserve">escapular</w:t>
            </w:r>
            <w:r>
              <w:rPr>
                <w:sz w:val="18"/>
                <w:szCs w:val="18"/>
              </w:rPr>
              <w:t xml:space="preserve"> (deltoides primero)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CK (veces el límite superior)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2–4× (normal a moderada)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20–30×</w:t>
            </w:r>
            <w:r>
              <w:rPr>
                <w:sz w:val="18"/>
                <w:szCs w:val="18"/>
              </w:rPr>
              <w:t xml:space="preserve">, a veces &gt;50×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10–20×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1–10×; puede ser normal y </w:t>
            </w:r>
            <w:r>
              <w:rPr>
                <w:b/>
                <w:bCs/>
                <w:sz w:val="18"/>
                <w:szCs w:val="18"/>
              </w:rPr>
              <w:t xml:space="preserve">no se correlaciona</w:t>
            </w:r>
            <w:r>
              <w:rPr>
                <w:sz w:val="18"/>
                <w:szCs w:val="18"/>
              </w:rPr>
              <w:t xml:space="preserve"> con la debilidad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RM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Grasa en cuádriceps (respeta el recto femoral) y flexores de dedos; signo de la "fascia ondulante"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Edema T2 pelvifemoral y lumbar; reemplazo graso T1 si el tratamiento se retrasa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Edema muscular y </w:t>
            </w:r>
            <w:r>
              <w:rPr>
                <w:b/>
                <w:bCs/>
                <w:sz w:val="18"/>
                <w:szCs w:val="18"/>
              </w:rPr>
              <w:t xml:space="preserve">de fascia</w:t>
            </w:r>
            <w:r>
              <w:rPr>
                <w:sz w:val="18"/>
                <w:szCs w:val="18"/>
              </w:rPr>
              <w:t xml:space="preserve"> en STIR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Edema muscular y </w:t>
            </w:r>
            <w:r>
              <w:rPr>
                <w:b/>
                <w:bCs/>
                <w:sz w:val="18"/>
                <w:szCs w:val="18"/>
              </w:rPr>
              <w:t xml:space="preserve">subcutáneo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Biopsia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Inflamación endomisial densa; fibras vacuoladas o "tunelizadas" rodeadas de linfocitos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Necrosis aleatoria en distintas fases, inflamación mínima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Necrosis perifascicular, infiltrado perimisial y perivascular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Atrofia perifascicular; vasculopatía con C5b-9 endocapilar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Extramuscular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apreciable (disfagia frecuente)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apreciable (SRP: corazón, pulmón leve)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Dominante: EPI, artritis, Raynaud, manos de mecánico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Piel; EPI en MDA5; cáncer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a GC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Mala; la inmunosupresión puede empeorar</w:t>
            </w:r>
          </w:p>
        </w:tc>
        <w:tc>
          <w:tcPr>
            <w:tcW w:type="dxa" w:w="2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Parcial; recaídas; requiere combinación</w:t>
            </w:r>
          </w:p>
        </w:tc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Buena en lo motor</w:t>
            </w:r>
          </w:p>
        </w:tc>
        <w:tc>
          <w:tcPr>
            <w:tcW w:type="dxa" w:w="2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Buena en lo motor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rPr>
          <w:color w:val="5B6770"/>
          <w:sz w:val="18"/>
          <w:szCs w:val="18"/>
        </w:rPr>
        <w:t xml:space="preserve">Fuentes: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rPr>
          <w:color w:val="5B6770"/>
          <w:sz w:val="18"/>
          <w:szCs w:val="18"/>
        </w:rPr>
        <w:t xml:space="preserve"> (Figura 1 y texto). En el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rPr>
          <w:color w:val="5B6770"/>
          <w:sz w:val="18"/>
          <w:szCs w:val="18"/>
        </w:rPr>
        <w:t xml:space="preserve">, la CK de la DM y la PM figura como "&gt;10×" y la de la miositis necrotizante como "puede superar 50×".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3F1F2" w:sz="4"/>
              <w:left w:val="single" w:color="0E6E74" w:sz="24"/>
              <w:bottom w:val="single" w:color="E3F1F2" w:sz="4"/>
              <w:right w:val="single" w:color="E3F1F2" w:sz="4"/>
            </w:tcBorders>
            <w:shd w:fill="E3F1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E74"/>
                <w:sz w:val="18"/>
                <w:szCs w:val="18"/>
              </w:rPr>
              <w:t xml:space="preserve">DATOS NUMÉRICOS CLAVE DEL MÚSCULO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b/>
                <w:bCs/>
                <w:sz w:val="19"/>
                <w:szCs w:val="19"/>
              </w:rPr>
              <w:t xml:space="preserve">~1/3 de los SAS</w:t>
            </w:r>
            <w:r>
              <w:rPr>
                <w:sz w:val="19"/>
                <w:szCs w:val="19"/>
              </w:rPr>
              <w:t xml:space="preserve"> no aparece miositis, aunque sí otros órganos, según el anticuerpo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≥1/3 de las DM</w:t>
            </w:r>
            <w:r>
              <w:rPr>
                <w:sz w:val="19"/>
                <w:szCs w:val="19"/>
              </w:rPr>
              <w:t xml:space="preserve"> tienen debilidad leve o ausente (DM amiopática)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En la </w:t>
            </w:r>
            <w:r>
              <w:rPr>
                <w:b/>
                <w:bCs/>
                <w:sz w:val="19"/>
                <w:szCs w:val="19"/>
              </w:rPr>
              <w:t xml:space="preserve">MCI</w:t>
            </w:r>
            <w:r>
              <w:rPr>
                <w:sz w:val="19"/>
                <w:szCs w:val="19"/>
              </w:rPr>
              <w:t xml:space="preserve"> el paciente suele necesitar ayuda para caminar a los ~10 años del diagnóstico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; disfagia hasta en el 80 %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La MNIM y la MCI producen el mayor daño muscular irreversible (reemplazo fibroadiposo)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Piel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300"/>
        <w:gridCol w:w="3180"/>
      </w:tblGrid>
      <w:tr>
        <w:trPr>
          <w:tblHeader/>
        </w:trP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Signo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Heliotropo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Eritema violáceo de los párpados superiores y la región periorbitaria, a menudo con edema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Típico de DM; criterio de clasificación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Pápulas de Gottron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Pápulas violáceas descamativas sobre MCF e IFP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Patognomónicas de DM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Signo de Gottron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Máculas o placas eritematosas en codos y rodillas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Menos específico, sugestivo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Eritema periungueal, eritema de MCF e IFP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Alteraciones capilares periungueales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DM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Signo de la V y signo del chal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Eritema en el escote y en la espalda alta y hombros; eritema malar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Fotodistribuido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Signo de la pistolera</w:t>
            </w:r>
            <w:r>
              <w:rPr>
                <w:sz w:val="18"/>
                <w:szCs w:val="18"/>
              </w:rPr>
              <w:t xml:space="preserve"> (holster)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Cara lateral de los muslos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Zona no fotoexpuesta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Cuero cabelludo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Dermatitis con alopecia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DM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Manos de mecánico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Hiperqueratosis fisurada de la punta y los bordes de los dedos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SAS; también DM anti-MDA5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Raynaud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DM, SAS, superposición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Úlceras cutáneas y pápulas palmares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Vasculopatía grave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DM anti-MDA5</w:t>
            </w:r>
            <w:r>
              <w:rPr>
                <w:sz w:val="18"/>
                <w:szCs w:val="18"/>
              </w:rPr>
              <w:t xml:space="preserve">; la úlcera predice EPI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Calcinosis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Calcificación distrófica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DM juvenil, </w:t>
            </w:r>
            <w:r>
              <w:rPr>
                <w:b/>
                <w:bCs/>
                <w:sz w:val="18"/>
                <w:szCs w:val="18"/>
              </w:rPr>
              <w:t xml:space="preserve">anti-NXP2</w:t>
            </w:r>
            <w:r>
              <w:rPr>
                <w:sz w:val="18"/>
                <w:szCs w:val="18"/>
              </w:rPr>
              <w:t xml:space="preserve">; secuela de inflamación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Paniculitis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Nódulos subcutáneos rojos y dolorosos en brazos y piernas; puede dejar lipoatrofia o calcinosis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Anti-MDA5, anti-SAE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Lesiones psoriasiformes, poiquilodermia, placa palatina ovoide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Anti-TIF1γ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Exantema en "alas de ángel"</w:t>
            </w:r>
            <w:r>
              <w:rPr>
                <w:sz w:val="18"/>
                <w:szCs w:val="18"/>
              </w:rPr>
              <w:t xml:space="preserve"> en la espalda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Anti-SAE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Edema subcutáneo</w:t>
            </w:r>
          </w:p>
        </w:tc>
        <w:tc>
          <w:tcPr>
            <w:tcW w:type="dxa" w:w="4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Anti-NXP2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rPr>
          <w:b/>
          <w:bCs/>
        </w:rPr>
        <w:t xml:space="preserve">DM sine dermatitis:</w:t>
      </w:r>
      <w:r>
        <w:t xml:space="preserve"> ~8 % de las DM no tiene piel; a menudo son anti-NXP2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 </w:t>
      </w:r>
      <w:r>
        <w:rPr>
          <w:b/>
          <w:bCs/>
        </w:rPr>
        <w:t xml:space="preserve">DM amiopática:</w:t>
      </w:r>
      <w:r>
        <w:t xml:space="preserve"> piel típica con poca o ninguna debilidad. </w:t>
      </w:r>
      <w:r>
        <w:rPr>
          <w:b/>
          <w:bCs/>
        </w:rPr>
        <w:t xml:space="preserve">La piel de la DM es más pruriginosa que la del LES</w:t>
      </w:r>
      <w:r>
        <w:t xml:space="preserve"> y la histología de ambas puede ser similar (dermatitis de interfase). </w:t>
      </w:r>
      <w:r>
        <w:rPr>
          <w:b w:val="false"/>
          <w:bCs w:val="false"/>
          <w:color w:val="0E5E6F"/>
          <w:sz w:val="17"/>
          <w:szCs w:val="17"/>
        </w:rPr>
        <w:t xml:space="preserve">[Fuera de los 5 artículos: el prurito como diferenciador]</w:t>
      </w:r>
    </w:p>
    <w:p>
      <w:pPr>
        <w:pStyle w:val="Heading2"/>
      </w:pPr>
      <w:r>
        <w:t xml:space="preserve">6.3 Frecuencia del compromiso extramuscular (todas las MII) [NEJM 2026]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200"/>
        <w:gridCol w:w="5280"/>
      </w:tblGrid>
      <w:tr>
        <w:trPr>
          <w:tblHeader/>
        </w:trP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Órgano</w:t>
            </w:r>
          </w:p>
        </w:tc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 global</w:t>
            </w:r>
          </w:p>
        </w:tc>
        <w:tc>
          <w:tcPr>
            <w:tcW w:type="dxa" w:w="5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Más frecuente en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Piel</w:t>
            </w:r>
          </w:p>
        </w:tc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40 %</w:t>
            </w:r>
          </w:p>
        </w:tc>
        <w:tc>
          <w:tcPr>
            <w:tcW w:type="dxa" w:w="5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DM (~100 %), SAS (~40 %)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Pulmón (EPI)</w:t>
            </w:r>
          </w:p>
        </w:tc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40 %</w:t>
            </w:r>
          </w:p>
        </w:tc>
        <w:tc>
          <w:tcPr>
            <w:tcW w:type="dxa" w:w="5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SAS (&gt;80–90 %)</w:t>
            </w:r>
            <w:r>
              <w:rPr>
                <w:sz w:val="18"/>
                <w:szCs w:val="18"/>
              </w:rPr>
              <w:t xml:space="preserve">, DM anti-MDA5, superposición; MNIM menos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Digestivo (disfagia)</w:t>
            </w:r>
          </w:p>
        </w:tc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30 %</w:t>
            </w:r>
          </w:p>
        </w:tc>
        <w:tc>
          <w:tcPr>
            <w:tcW w:type="dxa" w:w="5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MCI (la más alta), MNIM, DM, SAS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Articular</w:t>
            </w:r>
          </w:p>
        </w:tc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20 %</w:t>
            </w:r>
          </w:p>
        </w:tc>
        <w:tc>
          <w:tcPr>
            <w:tcW w:type="dxa" w:w="5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SAS (~70 %), DM (anti-MDA5), superposición; artritis no destructiva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Oncológico</w:t>
            </w:r>
          </w:p>
        </w:tc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15 %</w:t>
            </w:r>
          </w:p>
        </w:tc>
        <w:tc>
          <w:tcPr>
            <w:tcW w:type="dxa" w:w="5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DM (~30 %), MNIM seronegativa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Cardíaco sintomático</w:t>
            </w:r>
          </w:p>
        </w:tc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5 %</w:t>
            </w:r>
          </w:p>
        </w:tc>
        <w:tc>
          <w:tcPr>
            <w:tcW w:type="dxa" w:w="52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SAS, superposición, MNIM (anti-SRP)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 Pulmón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EPI afecta a </w:t>
      </w:r>
      <w:r>
        <w:rPr>
          <w:b/>
          <w:bCs/>
        </w:rPr>
        <w:t xml:space="preserve">&gt;80 %</w:t>
      </w:r>
      <w:r>
        <w:t xml:space="preserve"> de los pacientes con SAS, DM anti-MDA5 y algunas superposiciones, y puede ser la manifestación inicial o la única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Patrones: neumonía intersticial no específica (NINE), neumonía organizada (NO) y, menos, neumonía intersticial usual (NIU). Con anti-MDA5 predomina la NO; con anti-SAE, NO; con anti-PM/Scl, NINE o NO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 anti-Ro52 aislado y EPI no rápida predomina la NINE; los que hacen EPI rápidamente progresiva tienen más patrón de NO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Las causas de muerte más frecuentes en las MII son la </w:t>
      </w:r>
      <w:r>
        <w:rPr>
          <w:b/>
          <w:bCs/>
        </w:rPr>
        <w:t xml:space="preserve">fibrosis pulmonar y la hipertensión pulmonar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Insuficiencia ventilatoria por diafragma</w:t>
      </w:r>
      <w:r>
        <w:t xml:space="preserve"> en ~5 %: hipercapnia, CVF &lt;50 % sin EPI, o caída de la CVF &gt;20 % del sentado al supino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Heading2"/>
      </w:pPr>
      <w:r>
        <w:t xml:space="preserve">6.5 Disfagia: dos mecanismos distintos [CTOR 2025]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700"/>
        <w:gridCol w:w="270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Músculo</w:t>
            </w:r>
          </w:p>
        </w:tc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Fenotipos</w:t>
            </w:r>
          </w:p>
        </w:tc>
        <w:tc>
          <w:tcPr>
            <w:tcW w:type="dxa" w:w="2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Esofágica</w:t>
            </w:r>
          </w:p>
        </w:tc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Liso (esófago), tipo esclerosis sistémica</w:t>
            </w:r>
          </w:p>
        </w:tc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SAS, escleromiositis;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en MNIM</w:t>
            </w:r>
          </w:p>
        </w:tc>
        <w:tc>
          <w:tcPr>
            <w:tcW w:type="dxa" w:w="2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Reflujo, dismotilidad</w:t>
            </w:r>
          </w:p>
        </w:tc>
      </w:tr>
      <w:tr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Orofaríngea</w:t>
            </w:r>
            <w:r>
              <w:rPr>
                <w:sz w:val="18"/>
                <w:szCs w:val="18"/>
              </w:rPr>
              <w:t xml:space="preserve"> (cricofaríngeo)</w:t>
            </w:r>
          </w:p>
        </w:tc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Estriado, inicia la deglución</w:t>
            </w:r>
          </w:p>
        </w:tc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Frecuente en todas; disfagia muy frecuente en MCI</w:t>
            </w:r>
          </w:p>
        </w:tc>
        <w:tc>
          <w:tcPr>
            <w:tcW w:type="dxa" w:w="2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Suele ser leve y responder a la inmunosupresión; en la grave hacen falta IGIV y sonda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t xml:space="preserve">La disfagia bulbofaríngea es criterio de gravedad por el riesgo de aspiración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 El riesgo aumenta con anti-NXP2 y con malignidad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 La disfagia no siempre se predice por la debilidad generalizada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Heading2"/>
      </w:pPr>
      <w:r>
        <w:t xml:space="preserve">6.6 Corazón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miocarditis puede ser silente durante años y aumenta la mortalidad por arritmias, disfunción sistólica o insuficiencia cardíaca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Factores de riesgo: </w:t>
      </w:r>
      <w:r>
        <w:rPr>
          <w:b/>
          <w:bCs/>
        </w:rPr>
        <w:t xml:space="preserve">anti-SRP, antimitocondriales (AMA), anti-MDA5, antisintetasa</w:t>
      </w:r>
      <w:r>
        <w:t xml:space="preserve">; también FHL1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Formas graves en SAS, superposición y MNIM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IIM aumenta la HTA, la diabetes, la dislipidemia, la obesidad y la enfermedad coronaria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Heading2"/>
      </w:pPr>
      <w:r>
        <w:t xml:space="preserve">6.7 Articulaciones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Poliartritis </w:t>
      </w:r>
      <w:r>
        <w:rPr>
          <w:b/>
          <w:bCs/>
        </w:rPr>
        <w:t xml:space="preserve">simétrica, no erosiva</w:t>
      </w:r>
      <w:r>
        <w:t xml:space="preserve"> de grandes articulaciones y de MCF, IFP y pies; a veces oligoartritis. En el SAS puede preceder a la EPI y a la miositis y confundirse con </w:t>
      </w:r>
      <w:r>
        <w:rPr>
          <w:b/>
          <w:bCs/>
        </w:rPr>
        <w:t xml:space="preserve">artritis reumatoide seronegativa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Pedir FR y anti-CCP: la superposición MII–AR está bien documentada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 SAS y superposición, el compromiso articular suele ser no destructivo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Heading2"/>
      </w:pPr>
      <w:r>
        <w:t xml:space="preserve">6.8 Otros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Vasculopatía digestiva</w:t>
      </w:r>
      <w:r>
        <w:t xml:space="preserve"> con anti-NXP2: dolor abdominal y melena hacia los ~10 meses; </w:t>
      </w:r>
      <w:r>
        <w:rPr>
          <w:b/>
          <w:bCs/>
        </w:rPr>
        <w:t xml:space="preserve">perforación en el 80 %</w:t>
      </w:r>
      <w:r>
        <w:t xml:space="preserve"> de una serie china, entre 2 semanas y 3 meses tras el inicio. Se usó vedolizumab, infliximab, rituximab y JAKi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Fiebre</w:t>
      </w:r>
      <w:r>
        <w:t xml:space="preserve"> persistente inexplicada en el SAS (criterio) y con anti-OJ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Calcinosis</w:t>
      </w:r>
      <w:r>
        <w:t xml:space="preserve"> en la DM juvenil (sobre todo NXP2; riesgo mayor con inicio más temprano, retraso diagnóstico, enfermedad grave y prolongada)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Camptocormia</w:t>
      </w:r>
      <w:r>
        <w:t xml:space="preserve"> ("síndrome de espalda doblada") con anti-Ku; </w:t>
      </w:r>
      <w:r>
        <w:rPr>
          <w:b/>
          <w:bCs/>
        </w:rPr>
        <w:t xml:space="preserve">hiperlordosis por músculos paraespinales</w:t>
      </w:r>
      <w:r>
        <w:t xml:space="preserve"> con AMA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Heading1"/>
        <w:pageBreakBefore/>
      </w:pPr>
      <w:r>
        <w:t xml:space="preserve">7. Paraclínicos: qué pedir, por qué y cómo interpretarlo</w:t>
      </w:r>
    </w:p>
    <w:p>
      <w:pPr>
        <w:spacing w:after="110" w:line="276"/>
      </w:pPr>
      <w:r>
        <w:t xml:space="preserve">Esta sección es la que más se pregunta: para cada estudio, la razón clínica que lo justifica.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300"/>
        <w:gridCol w:w="4580"/>
      </w:tblGrid>
      <w:tr>
        <w:trPr>
          <w:tblHeader/>
        </w:trP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 se pide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interpretarlo y trampas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CK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Confirma miopatía, orienta al subtipo y sirve de seguimiento de la actividad muscular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Muy alta: MNIM (20–30×). Normal o leve: MCI, DM (no se correlaciona con la fuerza). No medir justo después de una EMG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Aldolasa, LDH, AST, ALT, mioglobina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Otras enzimas musculares; las transaminasas elevadas de origen muscular entran en los criterios 2017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AST/ALT altas pueden ser musculares y no hepáticas. En la DM anti-MDA5 hay alteración hepática </w:t>
            </w:r>
            <w:r>
              <w:rPr>
                <w:b/>
                <w:bCs/>
                <w:sz w:val="18"/>
                <w:szCs w:val="18"/>
              </w:rPr>
              <w:t xml:space="preserve">sin</w:t>
            </w:r>
            <w:r>
              <w:rPr>
                <w:sz w:val="18"/>
                <w:szCs w:val="18"/>
              </w:rPr>
              <w:t xml:space="preserve"> subida de enzimas musculares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artículos: medir GGT para distinguir el origen hepático; la aldolasa puede elevarse aislada en miopatías con compromiso perimisial]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Troponina I (no la T)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y seguimiento de miocarditis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troponina T puede liberarse desde músculo esquelético en regeneración y dar falsos positivos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8"/>
                <w:szCs w:val="18"/>
              </w:rPr>
              <w:t xml:space="preserve">. Usar troponina I ultrasensible y NT-proBNP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TSH, electrolitos (K, Ca, P, Mg), cortisol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Excluir miopatía endocrina y metabólica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Hipotiroidismo: CK alta y debilidad proximal; Cushing: CK normal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ANA en HEp-2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de autoinmunidad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Positivo en ~80 % de DM/PM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artículos: BMJ 2025, revisión de FOD]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No sirve para detectar MSA</w:t>
            </w:r>
            <w:r>
              <w:rPr>
                <w:sz w:val="18"/>
                <w:szCs w:val="18"/>
              </w:rPr>
              <w:t xml:space="preserve">: baja sensibilidad; hace falta el panel de miositis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Panel de miositis (MSA y MAA)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Diagnóstico, subtipo, riesgo de cáncer, de EPI y pronóstico; orienta el tratamiento. </w:t>
            </w:r>
            <w:r>
              <w:rPr>
                <w:b/>
                <w:bCs/>
                <w:sz w:val="18"/>
                <w:szCs w:val="18"/>
              </w:rPr>
              <w:t xml:space="preserve">Recomendación fuerte de la BSR (1B)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Interpretar con la clínica. Títulos: la BSR dice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usarlos para monitorear; la NRR describe correlación de MDA5, SRP y HMGCR con la actividad. Ver 7.1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FR y anti-CCP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Artritis: superposición con AR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Ferritina, KL-6, linfocitos, cociente neutrófilo/linfocito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Pronóstico en DM anti-MDA5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Ferritina alta, KL-6 alto, linfopenia y un cociente neutrófilo/linfocito alto predicen EPI grave y muerte. En estudio: KRT19, IFN-β, EIF2AK2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EMG con neuroconducción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Confirmar miopatía, excluir neuropatía y unión neuromuscular; elegir el sitio de biopsia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Unidades motoras miopáticas: cortas, de baja amplitud, polifásicas; fibrilaciones en la enfermedad activa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RM muscular (T2/STIR y T1)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Actividad (edema en STIR) frente a daño (grasa en T1); patrón por subtipo; guía la biopsia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MCI: cuádriceps y flexores de dedos. MNIM: pelvifemoral. SAS: fascia. DM: subcutáneo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Biopsia muscular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Estándar de referencia; obligatoria si no hay MSA o si se sospecha MCI; excluye distrofias e infecciones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Patrón por subtipo (tabla 6.1). Las distrofias (disferlinopatía, FSHD) pueden tener inflamación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Biopsia de piel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DM sin MSA, sobre todo amiopática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Vasculopatía y dermatitis de interfase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Rx de tórax, pruebas funcionales con DLCO, TACAR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de EPI en alto riesgo (SAS, anti-ARS, MDA5, escleromiositis)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Recomendación fuerte de la BSR (1B). En niños: pruebas funcionales con DLCO de rutina. La frecuencia del tamizaje no está definida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ECG, ecocardiograma, RM cardíaca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de miocarditis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Pirámide: (1) clínica, troponina I, NT-proBNP, ECG, ecocardiograma → (2) RM cardíaca (estándar no invasivo), SPECT, PET → (3) biopsia endomiocárdica (estándar invasivo; si hay duda o sospecha viral)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Videofluoroscopia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Disfagia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Estándar para la disfagia cricofaríngea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Gases arteriales y CVF sentado/supino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Sospecha de falla diafragmática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Hipercapnia, CVF &lt;50 % sin EPI, caída &gt;20 % en supino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Tamizaje de cáncer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Riesgo del 10 % en ±3 años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TC de tórax, abdomen y pelvis; marcadores tumorales y PET/CT en casos seleccionados; mamografía y examen ginecológico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IGRA, VHB, vacunas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Antes de inmunosuprimir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TPMT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Antes de azatioprina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Densitometría y riesgo de fractura</w:t>
            </w:r>
          </w:p>
        </w:tc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Salud ósea en todos los adultos, con o sin GC (BSR 1B)</w:t>
            </w:r>
          </w:p>
        </w:tc>
        <w:tc>
          <w:tcPr>
            <w:tcW w:type="dxa" w:w="45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7.1 Cómo se detectan los autoanticuerpos [NRR 2025]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Ventajas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Limitaciones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Inmunoprecipitación</w:t>
            </w:r>
          </w:p>
        </w:tc>
        <w:tc>
          <w:tcPr>
            <w:tcW w:type="dxa" w:w="3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Estándar de oro; identifica proteína y ARN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Laboriosa; interpretación experta (MDA5, NXP2 y TIF1γ migran similar, ~140 kDa); no es de rutina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ELISA</w:t>
            </w:r>
          </w:p>
        </w:tc>
        <w:tc>
          <w:tcPr>
            <w:tcW w:type="dxa" w:w="3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Muy sensible; cuantifica títulos. Frente a la inmunoprecipitación: anti-ARS 97.1 % de sensibilidad y 99.8 % de especificidad; anti-MDA5 98.2 % y 100 %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Falsos positivos por proteína mal purificada, paraproteínas o hipergammaglobulinemia. Es el método más usado en el mundo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Inmunoblot en línea (LIA) y dot blot</w:t>
            </w:r>
          </w:p>
        </w:tc>
        <w:tc>
          <w:tcPr>
            <w:tcW w:type="dxa" w:w="3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Accesible, multiplex, automatizable, semicuantitativo (EUROLINE es el más usado)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Baja especificidad: hasta un 22 % de sanos con algún positivo</w:t>
            </w:r>
            <w:r>
              <w:rPr>
                <w:sz w:val="18"/>
                <w:szCs w:val="18"/>
              </w:rPr>
              <w:t xml:space="preserve">; múltiples positivos; sin estandarización. </w:t>
            </w:r>
            <w:r>
              <w:rPr>
                <w:b/>
                <w:bCs/>
                <w:sz w:val="18"/>
                <w:szCs w:val="18"/>
              </w:rPr>
              <w:t xml:space="preserve">Anti-TIF1γ: 40 % de falsos negativos con LIA y 76 % con dot blot</w:t>
            </w:r>
            <w:r>
              <w:rPr>
                <w:sz w:val="18"/>
                <w:szCs w:val="18"/>
              </w:rPr>
              <w:t xml:space="preserve"> (epítopo conformacional). </w:t>
            </w:r>
            <w:r>
              <w:rPr>
                <w:b/>
                <w:bCs/>
                <w:sz w:val="18"/>
                <w:szCs w:val="18"/>
              </w:rPr>
              <w:t xml:space="preserve">Anti-OJ: 0 de 25 detectados por LIA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PMAT</w:t>
            </w:r>
            <w:r>
              <w:rPr>
                <w:sz w:val="18"/>
                <w:szCs w:val="18"/>
              </w:rPr>
              <w:t xml:space="preserve"> (partículas)</w:t>
            </w:r>
          </w:p>
        </w:tc>
        <w:tc>
          <w:tcPr>
            <w:tcW w:type="dxa" w:w="3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Buena concordancia con la inmunoprecipitación (NXP2, TIF1γ, Mi-2)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Pocas validaciones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IP con espectrometría de masas</w:t>
            </w:r>
          </w:p>
        </w:tc>
        <w:tc>
          <w:tcPr>
            <w:tcW w:type="dxa" w:w="3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Antígenos complejos (OJ); descubrió anti-Ly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Nueva (2023)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BE9EC" w:sz="4"/>
              <w:left w:val="single" w:color="B23A48" w:sz="24"/>
              <w:bottom w:val="single" w:color="FBE9EC" w:sz="4"/>
              <w:right w:val="single" w:color="FBE9EC" w:sz="4"/>
            </w:tcBorders>
            <w:shd w:fill="FBE9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8"/>
                <w:szCs w:val="18"/>
              </w:rPr>
              <w:t xml:space="preserve">INTERPRETACIÓN DEL PANEL: ERRORES FRECUENTES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El </w:t>
            </w:r>
            <w:r>
              <w:rPr>
                <w:b/>
                <w:bCs/>
                <w:sz w:val="19"/>
                <w:szCs w:val="19"/>
              </w:rPr>
              <w:t xml:space="preserve">valor predictivo positivo depende de la probabilidad pretest</w:t>
            </w:r>
            <w:r>
              <w:rPr>
                <w:sz w:val="19"/>
                <w:szCs w:val="19"/>
              </w:rPr>
              <w:t xml:space="preserve">: 63 % en pacientes con sospecha de MII, pero 16.7 % en una cohorte neozelandesa con baja prevalencia (solo el 5 % de las solicitudes fueron verdaderos positivos)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Calidad del ensayo por anticuerpo (taller ENMC):</w:t>
            </w:r>
            <w:r>
              <w:rPr>
                <w:sz w:val="19"/>
                <w:szCs w:val="19"/>
              </w:rPr>
              <w:t xml:space="preserve"> aceptable para HMGCR, SRP, Jo-1, PL-7, PL-12, KS, NXP2, Mi-2, MDA5, PM/Scl, Ku y RNP. Con limitaciones para EJ, Zo, Ha, TIF1γ, SAE y cN1A. </w:t>
            </w:r>
            <w:r>
              <w:rPr>
                <w:b/>
                <w:bCs/>
                <w:sz w:val="19"/>
                <w:szCs w:val="19"/>
              </w:rPr>
              <w:t xml:space="preserve">Problemas serios para OJ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Un MSA en baja intensidad sin fenotipo compatible es probablemente un falso positivo: repetir con un método de referencia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Los autoanticuerpos pueden </w:t>
            </w:r>
            <w:r>
              <w:rPr>
                <w:b/>
                <w:bCs/>
                <w:sz w:val="19"/>
                <w:szCs w:val="19"/>
              </w:rPr>
              <w:t xml:space="preserve">preceder</w:t>
            </w:r>
            <w:r>
              <w:rPr>
                <w:sz w:val="19"/>
                <w:szCs w:val="19"/>
              </w:rPr>
              <w:t xml:space="preserve"> al diagnóstico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Algunos anticuerpos antisintetasa (Ly/cisteinil, lisil, glutaminil, triptofanil, seril, arginil, metionil, valil) aún no se detectan de rutina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8. Autoanticuerpos uno por uno</w:t>
      </w:r>
    </w:p>
    <w:p>
      <w:pPr>
        <w:pStyle w:val="Heading2"/>
      </w:pPr>
      <w:r>
        <w:t xml:space="preserve">8.1 Específicos de dermatomiositis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1500"/>
        <w:gridCol w:w="2250"/>
        <w:gridCol w:w="1450"/>
        <w:gridCol w:w="1450"/>
        <w:gridCol w:w="1880"/>
      </w:tblGrid>
      <w:tr>
        <w:trPr>
          <w:tblHeader/>
        </w:trPr>
        <w:tc>
          <w:tcPr>
            <w:tcW w:type="dxa" w:w="15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Anticuerpo (antígeno)</w:t>
            </w:r>
          </w:p>
        </w:tc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22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Fenotipo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Cáncer</w:t>
            </w:r>
          </w:p>
        </w:tc>
        <w:tc>
          <w:tcPr>
            <w:tcW w:type="dxa" w:w="1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Pronóstico y tratamiento</w:t>
            </w:r>
          </w:p>
        </w:tc>
      </w:tr>
      <w:tr>
        <w:tc>
          <w:tcPr>
            <w:tcW w:type="dxa" w:w="15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Mi-2</w:t>
            </w:r>
            <w:r>
              <w:rPr>
                <w:sz w:val="18"/>
                <w:szCs w:val="18"/>
              </w:rPr>
              <w:t xml:space="preserve"> (helicasa del complejo NuRD)</w:t>
            </w:r>
          </w:p>
        </w:tc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2–38 % de la DM del adulto; 4–10 % de la juvenil</w:t>
            </w:r>
          </w:p>
        </w:tc>
        <w:tc>
          <w:tcPr>
            <w:tcW w:type="dxa" w:w="22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DM clásica, piel fotodistribuida florida, </w:t>
            </w:r>
            <w:r>
              <w:rPr>
                <w:b/>
                <w:bCs/>
                <w:sz w:val="18"/>
                <w:szCs w:val="18"/>
              </w:rPr>
              <w:t xml:space="preserve">CK alta</w:t>
            </w:r>
            <w:r>
              <w:rPr>
                <w:sz w:val="18"/>
                <w:szCs w:val="18"/>
              </w:rPr>
              <w:t xml:space="preserve">, debilidad marcada, artritis, Raynaud; biopsia con mucha necrosis y complemento en la membrana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Intermedio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o bajo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  <w:tc>
          <w:tcPr>
            <w:tcW w:type="dxa" w:w="1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Buena respuesta</w:t>
            </w:r>
            <w:r>
              <w:rPr>
                <w:sz w:val="18"/>
                <w:szCs w:val="18"/>
              </w:rPr>
              <w:t xml:space="preserve"> a GC; los títulos se correlacionan con la CK y la fuerza</w:t>
            </w:r>
          </w:p>
        </w:tc>
      </w:tr>
      <w:tr>
        <w:tc>
          <w:tcPr>
            <w:tcW w:type="dxa" w:w="15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TIF1γ</w:t>
            </w:r>
            <w:r>
              <w:rPr>
                <w:sz w:val="18"/>
                <w:szCs w:val="18"/>
              </w:rPr>
              <w:t xml:space="preserve"> (p155/140)</w:t>
            </w:r>
          </w:p>
        </w:tc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MSA más frecuente en la DM juvenil (17–35 %, ~6–7 años)</w:t>
            </w:r>
          </w:p>
        </w:tc>
        <w:tc>
          <w:tcPr>
            <w:tcW w:type="dxa" w:w="22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Piel grave (psoriasiforme, poiquilodermia, placa palatina, úlceras); músculo leve; </w:t>
            </w:r>
            <w:r>
              <w:rPr>
                <w:b/>
                <w:bCs/>
                <w:sz w:val="18"/>
                <w:szCs w:val="18"/>
              </w:rPr>
              <w:t xml:space="preserve">disfagia</w:t>
            </w:r>
            <w:r>
              <w:rPr>
                <w:sz w:val="18"/>
                <w:szCs w:val="18"/>
              </w:rPr>
              <w:t xml:space="preserve"> frecuente y grave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Rara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ALTO en adultos: 50–84 % desarrolla cáncer</w:t>
            </w:r>
            <w:r>
              <w:rPr>
                <w:sz w:val="18"/>
                <w:szCs w:val="18"/>
              </w:rPr>
              <w:t xml:space="preserve">; subtipo IgG2. </w:t>
            </w:r>
            <w:r>
              <w:rPr>
                <w:b/>
                <w:bCs/>
                <w:sz w:val="18"/>
                <w:szCs w:val="18"/>
              </w:rPr>
              <w:t xml:space="preserve">No en niños</w:t>
            </w:r>
          </w:p>
        </w:tc>
        <w:tc>
          <w:tcPr>
            <w:tcW w:type="dxa" w:w="1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intensivo si ≥40 años. </w:t>
            </w:r>
            <w:r>
              <w:rPr>
                <w:b/>
                <w:bCs/>
                <w:sz w:val="18"/>
                <w:szCs w:val="18"/>
              </w:rPr>
              <w:t xml:space="preserve">Anti-CCAR1 o anti-Sp4 asociados reducen el riesgo</w:t>
            </w:r>
          </w:p>
        </w:tc>
      </w:tr>
      <w:tr>
        <w:tc>
          <w:tcPr>
            <w:tcW w:type="dxa" w:w="15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NXP2</w:t>
            </w:r>
            <w:r>
              <w:rPr>
                <w:sz w:val="18"/>
                <w:szCs w:val="18"/>
              </w:rPr>
              <w:t xml:space="preserve"> (MORC3)</w:t>
            </w:r>
          </w:p>
        </w:tc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Frecuente en la juvenil</w:t>
            </w:r>
          </w:p>
        </w:tc>
        <w:tc>
          <w:tcPr>
            <w:tcW w:type="dxa" w:w="22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Calcinosis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edema subcutáneo</w:t>
            </w:r>
            <w:r>
              <w:rPr>
                <w:sz w:val="18"/>
                <w:szCs w:val="18"/>
              </w:rPr>
              <w:t xml:space="preserve">, debilidad grave con disfagia y disfonia, </w:t>
            </w:r>
            <w:r>
              <w:rPr>
                <w:b/>
                <w:bCs/>
                <w:sz w:val="18"/>
                <w:szCs w:val="18"/>
              </w:rPr>
              <w:t xml:space="preserve">vasculopatía intestinal</w:t>
            </w:r>
            <w:r>
              <w:rPr>
                <w:sz w:val="18"/>
                <w:szCs w:val="18"/>
              </w:rPr>
              <w:t xml:space="preserve"> con perforación; DM sine dermatitis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Alto en adultos</w:t>
            </w:r>
            <w:r>
              <w:rPr>
                <w:sz w:val="18"/>
                <w:szCs w:val="18"/>
              </w:rPr>
              <w:t xml:space="preserve">; no en niños</w:t>
            </w:r>
          </w:p>
        </w:tc>
        <w:tc>
          <w:tcPr>
            <w:tcW w:type="dxa" w:w="1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Refractaria en niños; tamizaje de cáncer en adultos</w:t>
            </w:r>
          </w:p>
        </w:tc>
      </w:tr>
      <w:tr>
        <w:tc>
          <w:tcPr>
            <w:tcW w:type="dxa" w:w="15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SAE</w:t>
            </w:r>
          </w:p>
        </w:tc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&lt;1–8 %</w:t>
            </w:r>
          </w:p>
        </w:tc>
        <w:tc>
          <w:tcPr>
            <w:tcW w:type="dxa" w:w="22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Piel extensa que </w:t>
            </w:r>
            <w:r>
              <w:rPr>
                <w:b/>
                <w:bCs/>
                <w:sz w:val="18"/>
                <w:szCs w:val="18"/>
              </w:rPr>
              <w:t xml:space="preserve">precede</w:t>
            </w:r>
            <w:r>
              <w:rPr>
                <w:sz w:val="18"/>
                <w:szCs w:val="18"/>
              </w:rPr>
              <w:t xml:space="preserve"> al músculo; músculo leve; </w:t>
            </w:r>
            <w:r>
              <w:rPr>
                <w:b/>
                <w:bCs/>
                <w:sz w:val="18"/>
                <w:szCs w:val="18"/>
              </w:rPr>
              <w:t xml:space="preserve">disfagia</w:t>
            </w:r>
            <w:r>
              <w:rPr>
                <w:sz w:val="18"/>
                <w:szCs w:val="18"/>
              </w:rPr>
              <w:t xml:space="preserve">; "alas de ángel"; paniculitis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Sí, NO (más en Asia); no empeora el pronóstico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Intermedio</w:t>
            </w:r>
          </w:p>
        </w:tc>
        <w:tc>
          <w:tcPr>
            <w:tcW w:type="dxa" w:w="1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Piel difícil de tratar</w:t>
            </w:r>
          </w:p>
        </w:tc>
      </w:tr>
      <w:tr>
        <w:tc>
          <w:tcPr>
            <w:tcW w:type="dxa" w:w="15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MDA5</w:t>
            </w:r>
            <w:r>
              <w:rPr>
                <w:sz w:val="18"/>
                <w:szCs w:val="18"/>
              </w:rPr>
              <w:t xml:space="preserve"> (CADM-140)</w:t>
            </w:r>
          </w:p>
        </w:tc>
        <w:tc>
          <w:tcPr>
            <w:tcW w:type="dxa" w:w="15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&lt;2 % en Europa; 7–60 % en Asia; juvenil 6–13 % (Europa) y 28 % (Asia)</w:t>
            </w:r>
          </w:p>
        </w:tc>
        <w:tc>
          <w:tcPr>
            <w:tcW w:type="dxa" w:w="22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Amiopática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úlceras cutáneas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pápulas palmares</w:t>
            </w:r>
            <w:r>
              <w:rPr>
                <w:sz w:val="18"/>
                <w:szCs w:val="18"/>
              </w:rPr>
              <w:t xml:space="preserve">, manos de mecánico, artritis, alopecia, paniculitis; hepatitis sin CK alta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EPI-RP</w:t>
            </w:r>
            <w:r>
              <w:rPr>
                <w:sz w:val="18"/>
                <w:szCs w:val="18"/>
              </w:rPr>
              <w:t xml:space="preserve">: Asia del Este EPI 82–100 % y EPI-RP 39–100 %; Occidente EPI 38–73 % y EPI-RP 20–57 %</w:t>
            </w:r>
          </w:p>
        </w:tc>
        <w:tc>
          <w:tcPr>
            <w:tcW w:type="dxa" w:w="145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Intermedio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; controvertido (7.6 % en Francia; sin asociación en Asia)</w:t>
            </w:r>
          </w:p>
        </w:tc>
        <w:tc>
          <w:tcPr>
            <w:tcW w:type="dxa" w:w="1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Mortalidad &gt;50 % con EPI-RP</w:t>
            </w:r>
            <w:r>
              <w:rPr>
                <w:sz w:val="18"/>
                <w:szCs w:val="18"/>
              </w:rPr>
              <w:t xml:space="preserve"> (~30 % la desarrolla). Ferritina, KL-6, linfopenia y </w:t>
            </w:r>
            <w:r>
              <w:rPr>
                <w:b/>
                <w:bCs/>
                <w:sz w:val="18"/>
                <w:szCs w:val="18"/>
              </w:rPr>
              <w:t xml:space="preserve">Ro52 (hasta 75 %)</w:t>
            </w:r>
            <w:r>
              <w:rPr>
                <w:sz w:val="18"/>
                <w:szCs w:val="18"/>
              </w:rPr>
              <w:t xml:space="preserve"> empeoran. Tratamiento triple temprano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BE9EC" w:sz="4"/>
              <w:left w:val="single" w:color="B23A48" w:sz="24"/>
              <w:bottom w:val="single" w:color="FBE9EC" w:sz="4"/>
              <w:right w:val="single" w:color="FBE9EC" w:sz="4"/>
            </w:tcBorders>
            <w:shd w:fill="FBE9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8"/>
                <w:szCs w:val="18"/>
              </w:rPr>
              <w:t xml:space="preserve">TRES FENOTIPOS DE LA DM ANTI-MDA5 [NRR 2025]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EPI-RP con manos de mecánico:</w:t>
            </w:r>
            <w:r>
              <w:rPr>
                <w:sz w:val="19"/>
                <w:szCs w:val="19"/>
              </w:rPr>
              <w:t xml:space="preserve"> la mayor mortalidad.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Dermato-reumatológico puro:</w:t>
            </w:r>
            <w:r>
              <w:rPr>
                <w:sz w:val="19"/>
                <w:szCs w:val="19"/>
              </w:rPr>
              <w:t xml:space="preserve"> piel con artritis o artralgias; el mejor pronóstico.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Vasculopático:</w:t>
            </w:r>
            <w:r>
              <w:rPr>
                <w:sz w:val="19"/>
                <w:szCs w:val="19"/>
              </w:rPr>
              <w:t xml:space="preserve"> necrosis digital, calcinosis, Raynaud y más miositis; pronóstico intermedio.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La mayoría de las muertes ocurre muy temprano. La progresión tiende a frenarse después de 6 meses y las recaídas son raras, aunque se han descrito recaídas cutáneas o respiratorias años después.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Específicos de MNIM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Anticuerpo</w:t>
            </w:r>
          </w:p>
        </w:tc>
        <w:tc>
          <w:tcPr>
            <w:tcW w:type="dxa" w:w="4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Fenotipo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Claves</w:t>
            </w:r>
          </w:p>
        </w:tc>
      </w:tr>
      <w:tr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SRP</w:t>
            </w:r>
            <w:r>
              <w:rPr>
                <w:sz w:val="18"/>
                <w:szCs w:val="18"/>
              </w:rPr>
              <w:t xml:space="preserve"> (partícula de reconocimiento de señal)</w:t>
            </w:r>
          </w:p>
        </w:tc>
        <w:tc>
          <w:tcPr>
            <w:tcW w:type="dxa" w:w="4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Debilidad </w:t>
            </w:r>
            <w:r>
              <w:rPr>
                <w:b/>
                <w:bCs/>
                <w:sz w:val="18"/>
                <w:szCs w:val="18"/>
              </w:rPr>
              <w:t xml:space="preserve">grave y rápida</w:t>
            </w:r>
            <w:r>
              <w:rPr>
                <w:sz w:val="18"/>
                <w:szCs w:val="18"/>
              </w:rPr>
              <w:t xml:space="preserve">, disfagia, </w:t>
            </w:r>
            <w:r>
              <w:rPr>
                <w:b/>
                <w:bCs/>
                <w:sz w:val="18"/>
                <w:szCs w:val="18"/>
              </w:rPr>
              <w:t xml:space="preserve">compromiso cardíaco</w:t>
            </w:r>
            <w:r>
              <w:rPr>
                <w:sz w:val="18"/>
                <w:szCs w:val="18"/>
              </w:rPr>
              <w:t xml:space="preserve"> (ritmo, conducción, insuficiencia); EPI leve frecuente; más inflamación que en HMGCR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Más en Asia y minorías étnicas; en niños (1.6–4 %) es igual de grave. Peor que HMGCR. </w:t>
            </w:r>
            <w:r>
              <w:rPr>
                <w:b/>
                <w:bCs/>
                <w:sz w:val="18"/>
                <w:szCs w:val="18"/>
              </w:rPr>
              <w:t xml:space="preserve">Rituximab</w:t>
            </w:r>
            <w:r>
              <w:rPr>
                <w:sz w:val="18"/>
                <w:szCs w:val="18"/>
              </w:rPr>
              <w:t xml:space="preserve"> útil. Riesgo de cáncer bajo</w:t>
            </w:r>
          </w:p>
        </w:tc>
      </w:tr>
      <w:tr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HMGCR</w:t>
            </w:r>
          </w:p>
        </w:tc>
        <w:tc>
          <w:tcPr>
            <w:tcW w:type="dxa" w:w="4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Debilidad grave, casi solo muscular; en niños puede haber piel (exantema tipo DM, pápulas pruriginosas fotosensibles)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Exposición a estatinas</w:t>
            </w:r>
            <w:r>
              <w:rPr>
                <w:sz w:val="18"/>
                <w:szCs w:val="18"/>
              </w:rPr>
              <w:t xml:space="preserve"> (factor raro pero clave; también estatinas dietéticas). HLA-DRB1*11:01. </w:t>
            </w:r>
            <w:r>
              <w:rPr>
                <w:b/>
                <w:bCs/>
                <w:sz w:val="18"/>
                <w:szCs w:val="18"/>
              </w:rPr>
              <w:t xml:space="preserve">Los jóvenes (≤53 años) sin estatinas</w:t>
            </w:r>
            <w:r>
              <w:rPr>
                <w:sz w:val="18"/>
                <w:szCs w:val="18"/>
              </w:rPr>
              <w:t xml:space="preserve"> tienen peor pronóstico y más refractariedad que los mayores (≥61) expuestos. En Asia hay menos exposición a estatinas. </w:t>
            </w:r>
            <w:r>
              <w:rPr>
                <w:b/>
                <w:bCs/>
                <w:sz w:val="18"/>
                <w:szCs w:val="18"/>
              </w:rPr>
              <w:t xml:space="preserve">IGIV</w:t>
            </w:r>
            <w:r>
              <w:rPr>
                <w:sz w:val="18"/>
                <w:szCs w:val="18"/>
              </w:rPr>
              <w:t xml:space="preserve"> útil. Riesgo de cáncer intermedio o controvertido</w:t>
            </w:r>
          </w:p>
        </w:tc>
      </w:tr>
      <w:tr>
        <w:tc>
          <w:tcPr>
            <w:tcW w:type="dxa" w:w="2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Seronegativa</w:t>
            </w:r>
          </w:p>
        </w:tc>
        <w:tc>
          <w:tcPr>
            <w:tcW w:type="dxa" w:w="4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Igual clínica, sin anticuerpo</w:t>
            </w:r>
          </w:p>
        </w:tc>
        <w:tc>
          <w:tcPr>
            <w:tcW w:type="dxa" w:w="4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Riesgo de cáncer ALTO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. En &lt;30 años, descartar miopatía genética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Antisintetasa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000"/>
        <w:gridCol w:w="2480"/>
      </w:tblGrid>
      <w:tr>
        <w:trPr>
          <w:tblHeader/>
        </w:trP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Anticuerpo (ARN de transferencia sintetasa)</w:t>
            </w:r>
          </w:p>
        </w:tc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Fenotipo</w:t>
            </w:r>
          </w:p>
        </w:tc>
        <w:tc>
          <w:tcPr>
            <w:tcW w:type="dxa" w:w="2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Pronóstico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Jo-1</w:t>
            </w:r>
            <w:r>
              <w:rPr>
                <w:sz w:val="18"/>
                <w:szCs w:val="18"/>
              </w:rPr>
              <w:t xml:space="preserve"> (histidil)</w:t>
            </w:r>
          </w:p>
        </w:tc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más frecuente; fenotipo clásico (miositis, artritis, EPI). El Raynaud es temprano y puede preceder a la miositis</w:t>
            </w:r>
          </w:p>
        </w:tc>
        <w:tc>
          <w:tcPr>
            <w:tcW w:type="dxa" w:w="2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Supervivencia a 10 años del 70 %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PL-7</w:t>
            </w:r>
            <w:r>
              <w:rPr>
                <w:sz w:val="18"/>
                <w:szCs w:val="18"/>
              </w:rPr>
              <w:t xml:space="preserve"> (treonil)</w:t>
            </w:r>
          </w:p>
        </w:tc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EPI más grave y precoz; miositis más leve; EPI sin miositis</w:t>
            </w:r>
          </w:p>
        </w:tc>
        <w:tc>
          <w:tcPr>
            <w:tcW w:type="dxa" w:w="2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Peor (EPI)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PL-12</w:t>
            </w:r>
            <w:r>
              <w:rPr>
                <w:sz w:val="18"/>
                <w:szCs w:val="18"/>
              </w:rPr>
              <w:t xml:space="preserve"> (alanil)</w:t>
            </w:r>
          </w:p>
        </w:tc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Igual que PL-7: EPI predominante, menos recaídas musculares</w:t>
            </w:r>
          </w:p>
        </w:tc>
        <w:tc>
          <w:tcPr>
            <w:tcW w:type="dxa" w:w="2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Peor (EPI)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EJ</w:t>
            </w:r>
            <w:r>
              <w:rPr>
                <w:sz w:val="18"/>
                <w:szCs w:val="18"/>
              </w:rPr>
              <w:t xml:space="preserve"> (glicil)</w:t>
            </w:r>
          </w:p>
        </w:tc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SAS con EPI</w:t>
            </w:r>
          </w:p>
        </w:tc>
        <w:tc>
          <w:tcPr>
            <w:tcW w:type="dxa" w:w="2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Ensayo con limitaciones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OJ</w:t>
            </w:r>
            <w:r>
              <w:rPr>
                <w:sz w:val="18"/>
                <w:szCs w:val="18"/>
              </w:rPr>
              <w:t xml:space="preserve"> (isoleucil; complejo multienzimático)</w:t>
            </w:r>
          </w:p>
        </w:tc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EPI frecuente como manifestación primaria, artritis y fiebre; a veces miositis grave; buena respuesta a GC</w:t>
            </w:r>
          </w:p>
        </w:tc>
        <w:tc>
          <w:tcPr>
            <w:tcW w:type="dxa" w:w="2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Casi no se detecta por LIA</w:t>
            </w:r>
            <w:r>
              <w:rPr>
                <w:sz w:val="18"/>
                <w:szCs w:val="18"/>
              </w:rPr>
              <w:t xml:space="preserve">; requiere inmunoprecipitación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KS</w:t>
            </w:r>
            <w:r>
              <w:rPr>
                <w:sz w:val="18"/>
                <w:szCs w:val="18"/>
              </w:rPr>
              <w:t xml:space="preserve"> (asparaginil)</w:t>
            </w:r>
          </w:p>
        </w:tc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Frecuente amiopatía; </w:t>
            </w:r>
            <w:r>
              <w:rPr>
                <w:b/>
                <w:bCs/>
                <w:sz w:val="18"/>
                <w:szCs w:val="18"/>
              </w:rPr>
              <w:t xml:space="preserve">síndrome seco</w:t>
            </w:r>
            <w:r>
              <w:rPr>
                <w:sz w:val="18"/>
                <w:szCs w:val="18"/>
              </w:rPr>
              <w:t xml:space="preserve">; artritis</w:t>
            </w:r>
          </w:p>
        </w:tc>
        <w:tc>
          <w:tcPr>
            <w:tcW w:type="dxa" w:w="2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Zo</w:t>
            </w:r>
            <w:r>
              <w:rPr>
                <w:sz w:val="18"/>
                <w:szCs w:val="18"/>
              </w:rPr>
              <w:t xml:space="preserve"> (fenilalanil)</w:t>
            </w:r>
          </w:p>
        </w:tc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Fenotipo clásico</w:t>
            </w:r>
          </w:p>
        </w:tc>
        <w:tc>
          <w:tcPr>
            <w:tcW w:type="dxa" w:w="2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Ha/YRS</w:t>
            </w:r>
            <w:r>
              <w:rPr>
                <w:sz w:val="18"/>
                <w:szCs w:val="18"/>
              </w:rPr>
              <w:t xml:space="preserve"> (tirosil)</w:t>
            </w:r>
          </w:p>
        </w:tc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Predominio muscular; piel frecuente; EPI infrecuente</w:t>
            </w:r>
          </w:p>
        </w:tc>
        <w:tc>
          <w:tcPr>
            <w:tcW w:type="dxa" w:w="2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rPr>
          <w:b/>
          <w:bCs/>
        </w:rPr>
        <w:t xml:space="preserve">No Jo-1 en conjunto: supervivencia a 10 años del 47 %</w:t>
      </w:r>
      <w:r>
        <w:t xml:space="preserve"> frente al 70 % con Jo-1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 Riesgo de cáncer bajo en el SAS. La EPI está presente de forma constante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 Endotipos propuestos por agrupamiento no supervisado: EPI-RP, similar a DM y artrítico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3F1F2" w:sz="4"/>
              <w:left w:val="single" w:color="0E6E74" w:sz="24"/>
              <w:bottom w:val="single" w:color="E3F1F2" w:sz="4"/>
              <w:right w:val="single" w:color="E3F1F2" w:sz="4"/>
            </w:tcBorders>
            <w:shd w:fill="E3F1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E74"/>
                <w:sz w:val="18"/>
                <w:szCs w:val="18"/>
              </w:rPr>
              <w:t xml:space="preserve">DEFINICIÓN OPERATIVA DE SAS [NRR 2025]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Un anticuerpo anti-ARS más uno o más de: EPI, miositis, artritis inflamatoria, Raynaud, fiebre persistente inexplicada o manos de mecánico. Las manifestaciones pueden aparecer en momentos distintos; la EPI puede ser la primera.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Existen criterios de clasificación del SAS (CLASS, ACR/EULAR) mencionados como "robustos"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artículos: revisar los criterios ACR/EULAR del SAS 2025]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8.4 MCI</w:t>
      </w:r>
    </w:p>
    <w:p>
      <w:pPr>
        <w:spacing w:after="110" w:line="276"/>
      </w:pPr>
      <w:r>
        <w:rPr>
          <w:b/>
          <w:bCs/>
        </w:rPr>
        <w:t xml:space="preserve">Anti-cN1A (NT5C1A):</w:t>
      </w:r>
      <w:r>
        <w:t xml:space="preserve"> sensibilidad del 33–89 % para MCI; no es específico: hasta el </w:t>
      </w:r>
      <w:r>
        <w:rPr>
          <w:b/>
          <w:bCs/>
        </w:rPr>
        <w:t xml:space="preserve">36.4 % en Sjögren y el 20.5 % en LES</w:t>
      </w:r>
      <w:r>
        <w:t xml:space="preserve">, y en sujetos sin compromiso muscular. Es un apoyo, no el diagnóstico. Se asocia a peor pronóstico que la MCI seronegativa. El diagnóstico sigue siendo clínico más EMG más biopsia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Heading2"/>
      </w:pPr>
      <w:r>
        <w:t xml:space="preserve">8.5 Asociados a miositis (MAA)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800"/>
        <w:gridCol w:w="5480"/>
      </w:tblGrid>
      <w:tr>
        <w:trPr>
          <w:tblHeader/>
        </w:trP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Anticuerpo</w:t>
            </w:r>
          </w:p>
        </w:tc>
        <w:tc>
          <w:tcPr>
            <w:tcW w:type="dxa" w:w="2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Asociación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Detalles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Ro52 (TRIM21)</w:t>
            </w:r>
          </w:p>
        </w:tc>
        <w:tc>
          <w:tcPr>
            <w:tcW w:type="dxa" w:w="2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SAS (40–60 %), EPI, disfagia; ~1/3 de todas las MII; 6–14 % en la juvenil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 el SAS aparece </w:t>
            </w:r>
            <w:r>
              <w:rPr>
                <w:b/>
                <w:bCs/>
                <w:sz w:val="18"/>
                <w:szCs w:val="18"/>
              </w:rPr>
              <w:t xml:space="preserve">aislado, sin Ro60</w:t>
            </w:r>
            <w:r>
              <w:rPr>
                <w:sz w:val="18"/>
                <w:szCs w:val="18"/>
              </w:rPr>
              <w:t xml:space="preserve">. Con Jo-1 (cohortes blancas) o PL-7, PL-12 y EJ (cohortes asiáticas). </w:t>
            </w:r>
            <w:r>
              <w:rPr>
                <w:b/>
                <w:bCs/>
                <w:sz w:val="18"/>
                <w:szCs w:val="18"/>
              </w:rPr>
              <w:t xml:space="preserve">Peor pronóstico pulmonar en todos los fenotipos</w:t>
            </w:r>
            <w:r>
              <w:rPr>
                <w:sz w:val="18"/>
                <w:szCs w:val="18"/>
              </w:rPr>
              <w:t xml:space="preserve">. En la juvenil: EPI del 46 % frente al 4 %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PM/Scl-75 y PM/Scl-100</w:t>
            </w:r>
          </w:p>
        </w:tc>
        <w:tc>
          <w:tcPr>
            <w:tcW w:type="dxa" w:w="2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Superposición ES–miositis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Artritis, Raynaud, disfagia, reflujo, EPI (NINE/NO), manos hinchadas, esclerodactilia, telangiectasias, calcinosis, Gottron, manos de mecánico, síndrome seco; riñón &lt;25 %. </w:t>
            </w:r>
            <w:r>
              <w:rPr>
                <w:b/>
                <w:bCs/>
                <w:sz w:val="18"/>
                <w:szCs w:val="18"/>
              </w:rPr>
              <w:t xml:space="preserve">Buen pronóstico a largo plazo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Ku</w:t>
            </w:r>
          </w:p>
        </w:tc>
        <w:tc>
          <w:tcPr>
            <w:tcW w:type="dxa" w:w="2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9–19 % de las superposiciones (MII–ES)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Mialgia, debilidad, disfagia, Raynaud, EPI; </w:t>
            </w:r>
            <w:r>
              <w:rPr>
                <w:b/>
                <w:bCs/>
                <w:sz w:val="18"/>
                <w:szCs w:val="18"/>
              </w:rPr>
              <w:t xml:space="preserve">mala respuesta a GC</w:t>
            </w:r>
            <w:r>
              <w:rPr>
                <w:sz w:val="18"/>
                <w:szCs w:val="18"/>
              </w:rPr>
              <w:t xml:space="preserve">; camptocormia. Dos grupos: tipo ES (distal, CK alta, esclerodactilia) o tipo LES (citopenias, riñón, anti-dsDNA); glomerulonefritis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U1-RNP</w:t>
            </w:r>
          </w:p>
        </w:tc>
        <w:tc>
          <w:tcPr>
            <w:tcW w:type="dxa" w:w="2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EMTC, superposición con LES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EPI hasta el 60 % (leve), artritis, disfagia, Raynaud, miopatía necrotizante, hipertensión pulmonar, glomerulonefritis, pericarditis, esclerodactilia, fiebre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RuvBL1 y RuvBL2</w:t>
            </w:r>
          </w:p>
        </w:tc>
        <w:tc>
          <w:tcPr>
            <w:tcW w:type="dxa" w:w="2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 difusa rápida, miositis y EPI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Hombres mayores (Japón); no están en los paneles comerciales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SMN</w:t>
            </w:r>
          </w:p>
        </w:tc>
        <w:tc>
          <w:tcPr>
            <w:tcW w:type="dxa" w:w="2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Escleromiositis, EMTC (59 % de 66 pacientes)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 títulos altos: </w:t>
            </w:r>
            <w:r>
              <w:rPr>
                <w:b/>
                <w:bCs/>
                <w:sz w:val="18"/>
                <w:szCs w:val="18"/>
              </w:rPr>
              <w:t xml:space="preserve">miocarditis</w:t>
            </w:r>
            <w:r>
              <w:rPr>
                <w:sz w:val="18"/>
                <w:szCs w:val="18"/>
              </w:rPr>
              <w:t xml:space="preserve">, cicatrices puntiformes digitales, sobrecrecimiento bacteriano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FHL1</w:t>
            </w:r>
          </w:p>
        </w:tc>
        <w:tc>
          <w:tcPr>
            <w:tcW w:type="dxa" w:w="2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14–25 % de los adultos; 10.9 % de los juveniles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Inicialmente miositis grave con disfagia (no replicado); mejor considerarlo MAA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8.6 Anticuerpos nuevos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Anticuerpo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CCAR1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 ≥1/3 de los anti-TIF1γ; </w:t>
            </w:r>
            <w:r>
              <w:rPr>
                <w:b/>
                <w:bCs/>
                <w:sz w:val="18"/>
                <w:szCs w:val="18"/>
              </w:rPr>
              <w:t xml:space="preserve">reduce el riesgo de cáncer al nivel de la población general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Sp4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Casi siempre junto a TIF1γ; más Raynaud y piel, menos músculo, </w:t>
            </w:r>
            <w:r>
              <w:rPr>
                <w:b/>
                <w:bCs/>
                <w:sz w:val="18"/>
                <w:szCs w:val="18"/>
              </w:rPr>
              <w:t xml:space="preserve">menos cáncer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Cortactina (CTTN)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Más disfagia; títulos altos con EPI; también en ES y LES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Antimitocondriales (AMA)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2–20 % de las MII (más en Asia del Este); asociados a colangitis biliar primaria; </w:t>
            </w:r>
            <w:r>
              <w:rPr>
                <w:b/>
                <w:bCs/>
                <w:sz w:val="18"/>
                <w:szCs w:val="18"/>
              </w:rPr>
              <w:t xml:space="preserve">músculos paraespinales</w:t>
            </w:r>
            <w:r>
              <w:rPr>
                <w:sz w:val="18"/>
                <w:szCs w:val="18"/>
              </w:rPr>
              <w:t xml:space="preserve"> (postura lordótica), aductor mayor, semimembranoso; </w:t>
            </w:r>
            <w:r>
              <w:rPr>
                <w:b/>
                <w:bCs/>
                <w:sz w:val="18"/>
                <w:szCs w:val="18"/>
              </w:rPr>
              <w:t xml:space="preserve">miocardiopatía</w:t>
            </w:r>
            <w:r>
              <w:rPr>
                <w:sz w:val="18"/>
                <w:szCs w:val="18"/>
              </w:rPr>
              <w:t xml:space="preserve"> e insuficiencia respiratoria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eIF3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0.44 %; tipo polimiositis; buen pronóstico, sin cáncer ni EPI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8.7 Mapa rápido: anticuerpo → órgano [NRR 2025, Figura 1]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Manifestación</w:t>
            </w:r>
          </w:p>
        </w:tc>
        <w:tc>
          <w:tcPr>
            <w:tcW w:type="dxa" w:w="6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Anticuerpos asociados</w:t>
            </w:r>
          </w:p>
        </w:tc>
      </w:tr>
      <w:tr>
        <w:tc>
          <w:tcPr>
            <w:tcW w:type="dxa" w:w="3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EPI</w:t>
            </w:r>
          </w:p>
        </w:tc>
        <w:tc>
          <w:tcPr>
            <w:tcW w:type="dxa" w:w="6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Anti-ARS, MDA5, PM/Scl, Ro52, SAE, SRP, U1-RNP, Ku, RuvBL1/2</w:t>
            </w:r>
          </w:p>
        </w:tc>
      </w:tr>
      <w:tr>
        <w:tc>
          <w:tcPr>
            <w:tcW w:type="dxa" w:w="3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Corazón (arritmias, conducción, pericarditis, miocardiopatía)</w:t>
            </w:r>
          </w:p>
        </w:tc>
        <w:tc>
          <w:tcPr>
            <w:tcW w:type="dxa" w:w="6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SRP, HMGCR, MDA5, FHL1, AMA</w:t>
            </w:r>
          </w:p>
        </w:tc>
      </w:tr>
      <w:tr>
        <w:tc>
          <w:tcPr>
            <w:tcW w:type="dxa" w:w="3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Raynaud</w:t>
            </w:r>
          </w:p>
        </w:tc>
        <w:tc>
          <w:tcPr>
            <w:tcW w:type="dxa" w:w="6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Anti-ARS, MDA5, Mi-2, PM/Scl, U1-RNP, Ku, Sp4</w:t>
            </w:r>
          </w:p>
        </w:tc>
      </w:tr>
      <w:tr>
        <w:tc>
          <w:tcPr>
            <w:tcW w:type="dxa" w:w="3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Disfagia, vasculitis o perforación digestiva</w:t>
            </w:r>
          </w:p>
        </w:tc>
        <w:tc>
          <w:tcPr>
            <w:tcW w:type="dxa" w:w="6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TIF1, NXP2, SAE, SRP, MDA5, U1-RNP, Ku, RuvBL1/2, SMN, FHL1</w:t>
            </w:r>
          </w:p>
        </w:tc>
      </w:tr>
      <w:tr>
        <w:tc>
          <w:tcPr>
            <w:tcW w:type="dxa" w:w="3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Debilidad muscular</w:t>
            </w:r>
          </w:p>
        </w:tc>
        <w:tc>
          <w:tcPr>
            <w:tcW w:type="dxa" w:w="6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Anti-ARS, TIF1, NXP2, Mi-2, HMGCR, SRP, PM/Scl, Ku, cN1A, RuvBL1/2, FHL1, AMA</w:t>
            </w:r>
          </w:p>
        </w:tc>
      </w:tr>
      <w:tr>
        <w:tc>
          <w:tcPr>
            <w:tcW w:type="dxa" w:w="3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Artritis</w:t>
            </w:r>
          </w:p>
        </w:tc>
        <w:tc>
          <w:tcPr>
            <w:tcW w:type="dxa" w:w="6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Anti-ARS, MDA5, NXP2, Mi-2, SRP, PM/Scl, U1-RNP, Ku</w:t>
            </w:r>
          </w:p>
        </w:tc>
      </w:tr>
      <w:tr>
        <w:tc>
          <w:tcPr>
            <w:tcW w:type="dxa" w:w="3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Exantema</w:t>
            </w:r>
          </w:p>
        </w:tc>
        <w:tc>
          <w:tcPr>
            <w:tcW w:type="dxa" w:w="6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TIF1, NXP2, Mi-2, SAE, MDA5, anti-ARS, PM/Scl, Sp4, HMGCR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9. Cómo se hace el diagnóstico</w:t>
      </w:r>
    </w:p>
    <w:p>
      <w:pPr>
        <w:pStyle w:val="Heading2"/>
      </w:pPr>
      <w:r>
        <w:t xml:space="preserve">9.1 Razonamiento en cinco pasos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Paso 1: confirmar la miopatía.</w:t>
      </w:r>
      <w:r>
        <w:t xml:space="preserve"> Debilidad objetiva (MRC), CK y otras enzimas, excluir lo neurológico (sección 5)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Paso 2: excluir mimetizadores tratables.</w:t>
      </w:r>
      <w:r>
        <w:t xml:space="preserve"> Fármacos (estatinas, GC, colchicina, hidroxicloroquina), hipotiroidismo, electrolitos, infecciones (VIH, triquinosis, leptospirosis), alcohol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Paso 3: definir el fenotipo clínico.</w:t>
      </w:r>
      <w:r>
        <w:t xml:space="preserve"> Topografía, ritmo, piel, pulmón, articulaciones, disfagia, corazón.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Paso 4: panel de MSA y MAA.</w:t>
      </w:r>
      <w:r>
        <w:t xml:space="preserve"> Un MSA confiable con fenotipo típico basta para diagnosticar y subclasificar. Ejemplos: piel típica + CK alta + anti-Mi-2 = DM; debilidad proximal + anti-SRP = MNIM; anti-Jo-1 + EPI + poliartritis = SAS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Paso 5: biopsia</w:t>
      </w:r>
      <w:r>
        <w:t xml:space="preserve"> si no hay MSA, si se sospecha MCI, si hay dudas o si no responde. Biopsia de piel en la DM seronegativa o amiopática. RM y EMG para elegir el sitio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[AFP 2020]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Después del diagnóstico, estratificar:</w:t>
      </w:r>
      <w:r>
        <w:t xml:space="preserve"> tamizaje de cáncer, EPI, corazón y deglución, salud ósea y riesgo cardiovascular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4DC" w:sz="4"/>
              <w:left w:val="single" w:color="A86B00" w:sz="24"/>
              <w:bottom w:val="single" w:color="FFF4DC" w:sz="4"/>
              <w:right w:val="single" w:color="FFF4DC" w:sz="4"/>
            </w:tcBorders>
            <w:shd w:fill="FFF4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86B00"/>
                <w:sz w:val="18"/>
                <w:szCs w:val="18"/>
              </w:rPr>
              <w:t xml:space="preserve">SEÑAL DE ALARMA DIAGNÓSTICA</w:t>
            </w:r>
          </w:p>
          <w:p>
            <w:pPr>
              <w:spacing w:after="60" w:line="264"/>
            </w:pPr>
            <w:r>
              <w:rPr>
                <w:b/>
                <w:bCs/>
                <w:sz w:val="19"/>
                <w:szCs w:val="19"/>
              </w:rPr>
              <w:t xml:space="preserve">La falta de mejoría con glucocorticoides debe hacer pensar en una miopatía genética o en una MCI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En pacientes &lt;30 años con MNIM de evolución lenta, distinguirla de una miopatía genética es un problema central. La seropositividad (SRP o HMGCR) es la que ayuda; en el seronegativo pesan la biopsia y la respuesta al tratamiento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10. Diagnóstico diferencial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100"/>
        <w:gridCol w:w="4180"/>
      </w:tblGrid>
      <w:tr>
        <w:trPr>
          <w:tblHeader/>
        </w:trP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4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Entidades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Claves para diferenciar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Genético</w:t>
            </w:r>
          </w:p>
        </w:tc>
        <w:tc>
          <w:tcPr>
            <w:tcW w:type="dxa" w:w="4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Disferlinopatía, FSHD (pueden tener mucha inflamación en la biopsia), distrofia de Becker, de cinturas, miotónica tipo 1; glucogenosis, lipidosis, mitocondriales (Pompe, McArdle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artículos]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Inicio joven, historia familiar, curso lento, sin respuesta a GC; distrofina en parches; repeticiones CTG (DMPK) en la miotónica; prueba de ejercicio isquémico del antebrazo; fibras rojo-rasgadas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Fármacos y tóxicos</w:t>
            </w:r>
          </w:p>
        </w:tc>
        <w:tc>
          <w:tcPr>
            <w:tcW w:type="dxa" w:w="4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Estatinas (tóxica autolimitada frente a MNIM anti-HMGCR), GC, colchicina, hidroxicloroquina, zidovudina, fluoroquinolonas, alcohol, cocaína, opioides; inhibidores de checkpoint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miopatía tóxica por estatinas cede al suspenderlas; la anti-HMGCR </w:t>
            </w:r>
            <w:r>
              <w:rPr>
                <w:b/>
                <w:bCs/>
                <w:sz w:val="18"/>
                <w:szCs w:val="18"/>
              </w:rPr>
              <w:t xml:space="preserve">persiste o progresa</w:t>
            </w:r>
            <w:r>
              <w:rPr>
                <w:sz w:val="18"/>
                <w:szCs w:val="18"/>
              </w:rPr>
              <w:t xml:space="preserve">. La miopatía por GC tiene CK normal y atrofia de fibras tipo II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Endocrino</w:t>
            </w:r>
          </w:p>
        </w:tc>
        <w:tc>
          <w:tcPr>
            <w:tcW w:type="dxa" w:w="4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Hipotiroidismo, hipertiroidismo, Cushing, Addison, hiperparatiroidismo secundario, acromegalia, hiperaldosteronismo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Hipotiroidismo: CK alta, reflejos lentos. Hipertiroidismo: proximal y bulbar. Cushing: CK normal o baja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Electrolitos</w:t>
            </w:r>
          </w:p>
        </w:tc>
        <w:tc>
          <w:tcPr>
            <w:tcW w:type="dxa" w:w="4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Hipopotasemia, hipofosfatemia, hipo e hipercalcemia, hiponatremia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Laboratorio básico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Infecciones</w:t>
            </w:r>
          </w:p>
        </w:tc>
        <w:tc>
          <w:tcPr>
            <w:tcW w:type="dxa" w:w="4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VIH, HTLV-1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artículos]</w:t>
            </w:r>
            <w:r>
              <w:rPr>
                <w:sz w:val="18"/>
                <w:szCs w:val="18"/>
              </w:rPr>
              <w:t xml:space="preserve">, triquinosis, leptospirosis, dengue, Lyme, Chagas, cisticercosis, virus del Nilo occidental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Raras pero tratables; la biopsia ayuda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Neuromuscular</w:t>
            </w:r>
          </w:p>
        </w:tc>
        <w:tc>
          <w:tcPr>
            <w:tcW w:type="dxa" w:w="4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Miastenia, Lambert-Eaton, ELA, Guillain-Barré, neuropatías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Fatigabilidad, ptosis, reflejos, fasciculaciones, déficit sensitivo; anti-AChR, anti-VGCC, EMG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Sistémico y edad</w:t>
            </w:r>
          </w:p>
        </w:tc>
        <w:tc>
          <w:tcPr>
            <w:tcW w:type="dxa" w:w="4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Sarcopenia y fragilidad (≥65 años), polimialgia reumática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artículos: la PMR tiene CK normal y dolor más que debilidad]</w:t>
            </w:r>
            <w:r>
              <w:rPr>
                <w:sz w:val="18"/>
                <w:szCs w:val="18"/>
              </w:rPr>
              <w:t xml:space="preserve">, fibromialgia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Fuerza de prensión, velocidad de marcha, criterios de Fried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1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Autoinmune no MII</w:t>
            </w:r>
          </w:p>
        </w:tc>
        <w:tc>
          <w:tcPr>
            <w:tcW w:type="dxa" w:w="41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Superposición con ES, LES, Sjögren, AR, EMTC; sarcoidosis muscular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artículos]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MAA, clínica de la enfermedad del tejido conectivo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¿RECAÍDA O MIOPATÍA POR ESTEROIDES?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Miopatía por GC: debilidad proximal de inicio insidioso con dosis altas y prolongadas, </w:t>
            </w:r>
            <w:r>
              <w:rPr>
                <w:b/>
                <w:bCs/>
                <w:sz w:val="19"/>
                <w:szCs w:val="19"/>
              </w:rPr>
              <w:t xml:space="preserve">CK normal</w:t>
            </w:r>
            <w:r>
              <w:rPr>
                <w:sz w:val="19"/>
                <w:szCs w:val="19"/>
              </w:rPr>
              <w:t xml:space="preserve">, sin edema en la RM, atrofia de fibras tipo II. Recaída: CK que sube, edema en la RM, actividad en otros órganos. Si hay duda, reducir el GC y vigilar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artículos: integración práctica]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11. Asociaciones con otras enfermedades</w:t>
      </w:r>
    </w:p>
    <w:p>
      <w:pPr>
        <w:pStyle w:val="Heading2"/>
      </w:pPr>
      <w:r>
        <w:t xml:space="preserve">11.1 Cáncer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Cerca del </w:t>
      </w:r>
      <w:r>
        <w:rPr>
          <w:b/>
          <w:bCs/>
        </w:rPr>
        <w:t xml:space="preserve">10 % de los adultos</w:t>
      </w:r>
      <w:r>
        <w:t xml:space="preserve"> tiene cáncer en los 3 años previos o posteriores al diagnóstico de MII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Aumentan el riesgo:</w:t>
      </w:r>
      <w:r>
        <w:t xml:space="preserve"> DM, edad mayor, sexo masculino, disfagia, ulceración o necrosis cutánea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 La BSR (1B) añade resistencia al tratamiento, inicio rápido, anti-TIF1γ, anti-NXP2 y </w:t>
      </w:r>
      <w:r>
        <w:rPr>
          <w:b/>
          <w:bCs/>
        </w:rPr>
        <w:t xml:space="preserve">negatividad para MSA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Disminuyen el riesgo:</w:t>
      </w:r>
      <w:r>
        <w:t xml:space="preserve"> SAS, superposición, MCI y Raynaud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 Anti-CCAR1 o anti-Sp4 junto a TIF1γ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tipo de cáncer varía con la geografía y la etnia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Mecanismo propuesto en TIF1γ:</w:t>
      </w:r>
      <w:r>
        <w:t xml:space="preserve"> la mutación o la pérdida de heterocigosidad de TIF1γ en el tumor genera neoantígenos y la respuesta cruzada ataca músculo y piel. En los niños, la respuesta inmune eliminaría las células anormales antes de que haya un cáncer detectable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DM juvenil:</w:t>
      </w:r>
      <w:r>
        <w:t xml:space="preserve"> no se asocia a cáncer; </w:t>
      </w:r>
      <w:r>
        <w:rPr>
          <w:b/>
          <w:bCs/>
        </w:rPr>
        <w:t xml:space="preserve">no hacer tamizaje de rutina</w:t>
      </w:r>
      <w:r>
        <w:t xml:space="preserve"> (BSR 1B)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5080"/>
      </w:tblGrid>
      <w:tr>
        <w:trPr>
          <w:tblHeader/>
        </w:trPr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Subtipo o anticuerpo</w:t>
            </w:r>
          </w:p>
        </w:tc>
        <w:tc>
          <w:tcPr>
            <w:tcW w:type="dxa" w:w="5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 de cáncer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2026, Tabla 1]</w:t>
            </w:r>
          </w:p>
        </w:tc>
      </w:tr>
      <w:tr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DM seronegativa</w:t>
            </w:r>
          </w:p>
        </w:tc>
        <w:tc>
          <w:tcPr>
            <w:tcW w:type="dxa" w:w="5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Alto si el inicio es a los &gt;40 años</w:t>
            </w:r>
          </w:p>
        </w:tc>
      </w:tr>
      <w:tr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TIF1γ, NXP2</w:t>
            </w:r>
          </w:p>
        </w:tc>
        <w:tc>
          <w:tcPr>
            <w:tcW w:type="dxa" w:w="5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Mi-2, MDA5, SAE</w:t>
            </w:r>
          </w:p>
        </w:tc>
        <w:tc>
          <w:tcPr>
            <w:tcW w:type="dxa" w:w="5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Intermedio</w:t>
            </w:r>
          </w:p>
        </w:tc>
      </w:tr>
      <w:tr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MNIM seronegativa</w:t>
            </w:r>
          </w:p>
        </w:tc>
        <w:tc>
          <w:tcPr>
            <w:tcW w:type="dxa" w:w="5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MNIM anti-HMGCR</w:t>
            </w:r>
          </w:p>
        </w:tc>
        <w:tc>
          <w:tcPr>
            <w:tcW w:type="dxa" w:w="5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Intermedio</w:t>
            </w:r>
          </w:p>
        </w:tc>
      </w:tr>
      <w:tr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MNIM anti-SRP</w:t>
            </w:r>
          </w:p>
        </w:tc>
        <w:tc>
          <w:tcPr>
            <w:tcW w:type="dxa" w:w="5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5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SAS (todos), superposición (PM/Scl, Ku, RNP), MCI</w:t>
            </w:r>
          </w:p>
        </w:tc>
        <w:tc>
          <w:tcPr>
            <w:tcW w:type="dxa" w:w="5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Bajo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3F1F2" w:sz="4"/>
              <w:left w:val="single" w:color="0E6E74" w:sz="24"/>
              <w:bottom w:val="single" w:color="E3F1F2" w:sz="4"/>
              <w:right w:val="single" w:color="E3F1F2" w:sz="4"/>
            </w:tcBorders>
            <w:shd w:fill="E3F1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E74"/>
                <w:sz w:val="18"/>
                <w:szCs w:val="18"/>
              </w:rPr>
              <w:t xml:space="preserve">CÓMO TAMIZAR EL CÁNCER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TC de tórax, abdomen y pelvis</w:t>
            </w:r>
            <w:r>
              <w:rPr>
                <w:sz w:val="19"/>
                <w:szCs w:val="19"/>
              </w:rPr>
              <w:t xml:space="preserve"> en los pacientes de riesgo (p. ej., anti-TIF1γ); </w:t>
            </w:r>
            <w:r>
              <w:rPr>
                <w:b/>
                <w:bCs/>
                <w:sz w:val="19"/>
                <w:szCs w:val="19"/>
              </w:rPr>
              <w:t xml:space="preserve">marcadores tumorales y PET/CT</w:t>
            </w:r>
            <w:r>
              <w:rPr>
                <w:sz w:val="19"/>
                <w:szCs w:val="19"/>
              </w:rPr>
              <w:t xml:space="preserve"> en casos seleccionados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Adaptado al sexo y la edad: </w:t>
            </w:r>
            <w:r>
              <w:rPr>
                <w:b/>
                <w:bCs/>
                <w:sz w:val="19"/>
                <w:szCs w:val="19"/>
              </w:rPr>
              <w:t xml:space="preserve">mamografía y examen ginecológico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Adultos ≥40 años con anti-TIF1γ: vigilancia intensiva según la región, la edad y el sexo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Las guías IMACS 2023 estratifican el riesgo (estándar, moderado, alto) y definen la modalidad y la frecuencia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[Fuera de los 5 artículos: en alto riesgo, tamizaje ampliado al diagnóstico y anual durante 3 años]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11.2 Otras asociaciones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Asociación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Enfermedades del tejido conectivo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 (escleromiositis: PM/Scl, Ku, RuvBL, SMN), LES (Ku, U1-RNP), Sjögren (PM/Scl, KS, cN1A), AR (superposición; FR/anti-CCP), EMTC (U1-RNP)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Colangitis biliar primaria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 antimitocondriales; primera descripción en 1974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Enfermedad celíaca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gluten como desencadenante raro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Estatinas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MNIM anti-HMGCR (también estatinas en la dieta)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COVID-19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Autoinmunidad anti-MDA5 (MIP-C)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Riesgo cardiovascular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Más HTA, diabetes, dislipidemia, obesidad y enfermedad coronaria; HTA en el 25–50 % de la DM juvenil (vasculopatía y GC)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Osteoporosis y fracturas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GC, sexo femenino, edad; la DM juvenil tiene más fracturas vertebrales incluso antes de los GC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Embarazo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Menor peso al nacer, preeclampsia, eclampsia; brote en el posparto. Planear la concepción en remisión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Salud mental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Ansiedad y depresión; calidad de vida afectada (piel, prurito, efectos de los GC)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Infecciones</w:t>
            </w:r>
          </w:p>
        </w:tc>
        <w:tc>
          <w:tcPr>
            <w:tcW w:type="dxa" w:w="7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Por inmunosupresión: neumonía por Pneumocystis jirovecii (profilaxis), TB latente, zóster con JAKi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12. Pronóstico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Mortalidad de ~10 % en el primer año</w:t>
      </w:r>
      <w:r>
        <w:t xml:space="preserve">; las causas principales son el cáncer y las complicaciones respiratorias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SAS:</w:t>
      </w:r>
      <w:r>
        <w:t xml:space="preserve"> supervivencia a 10 años del 70 % con anti-Jo-1 y del 47 % sin Jo-1. Las muertes se deben a fibrosis pulmonar e hipertensión pulmonar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Anti-MDA5:</w:t>
      </w:r>
      <w:r>
        <w:t xml:space="preserve"> ~30 % hace EPI-RP, con una </w:t>
      </w:r>
      <w:r>
        <w:rPr>
          <w:b/>
          <w:bCs/>
        </w:rPr>
        <w:t xml:space="preserve">mortalidad &gt;50 %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; la EPI-RP tiene una mortalidad de ~50 %, casi toda temprana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Otras situaciones graves:</w:t>
      </w:r>
      <w:r>
        <w:t xml:space="preserve"> disfagia bulbar, miocarditis grave (SAS, superposición, MNIM), vasculopatía digestiva por anti-NXP2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Pronóstico funcional:</w:t>
      </w:r>
      <w:r>
        <w:t xml:space="preserve"> depende del daño acumulado (reemplazo fibroadiposo irreversible). Es peor en la MNIM y la MCI y en quien recibe el tratamiento tarde. La DM y el SAS mejoran en lo motor con el tratamiento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Juvenil:</w:t>
      </w:r>
      <w:r>
        <w:t xml:space="preserve"> un diagnóstico precoz mejora el desenlace. La superposición con enfermedad del tejido conectivo aumenta la mortalidad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Anti-HMGCR:</w:t>
      </w:r>
      <w:r>
        <w:t xml:space="preserve"> mejor pronóstico muscular en los expuestos a estatinas que en los no expuestos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Heading1"/>
        <w:pageBreakBefore/>
      </w:pPr>
      <w:r>
        <w:t xml:space="preserve">13. Tratamiento</w:t>
      </w:r>
    </w:p>
    <w:p>
      <w:pPr>
        <w:pStyle w:val="Heading2"/>
      </w:pPr>
      <w:r>
        <w:t xml:space="preserve">13.1 Principios y medidas generales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Equilibrar la </w:t>
      </w:r>
      <w:r>
        <w:rPr>
          <w:b/>
          <w:bCs/>
        </w:rPr>
        <w:t xml:space="preserve">inducción</w:t>
      </w:r>
      <w:r>
        <w:t xml:space="preserve"> con el </w:t>
      </w:r>
      <w:r>
        <w:rPr>
          <w:b/>
          <w:bCs/>
        </w:rPr>
        <w:t xml:space="preserve">mantenimiento</w:t>
      </w:r>
      <w:r>
        <w:t xml:space="preserve">, según el mecanismo de cada subtipo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Protección solar</w:t>
      </w:r>
      <w:r>
        <w:t xml:space="preserve"> en la DM: FPS &gt;50 y ropa protectora; la radiación UV desencadena brotes de piel y músculo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Vacunas:</w:t>
      </w:r>
      <w:r>
        <w:t xml:space="preserve"> influenza, SARS-CoV-2, hepatitis B, neumococo y </w:t>
      </w:r>
      <w:r>
        <w:rPr>
          <w:b/>
          <w:bCs/>
        </w:rPr>
        <w:t xml:space="preserve">zóster</w:t>
      </w:r>
      <w:r>
        <w:t xml:space="preserve"> (sobre todo con JAKi). </w:t>
      </w:r>
      <w:r>
        <w:rPr>
          <w:b/>
          <w:bCs/>
        </w:rPr>
        <w:t xml:space="preserve">IGRA</w:t>
      </w:r>
      <w:r>
        <w:t xml:space="preserve"> para TB latente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Profilaxis:</w:t>
      </w:r>
      <w:r>
        <w:t xml:space="preserve"> trimetoprim-sulfametoxazol 160/800 mg tres veces por semana; calcio, vitamina D y bisfosfonatos; evaluar la salud ósea en todos (BSR 1B)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Ejercicio</w:t>
      </w:r>
      <w:r>
        <w:t xml:space="preserve"> supervisado por fisioterapia, iniciado temprano incluso con enfermedad activa: aeróbico y de resistencia 3 veces por semana (BSR 1B)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Dieta mediterránea</w:t>
      </w:r>
      <w:r>
        <w:t xml:space="preserve"> razonable (sin evidencia específica); </w:t>
      </w:r>
      <w:r>
        <w:rPr>
          <w:b/>
          <w:bCs/>
        </w:rPr>
        <w:t xml:space="preserve">evitar las estatinas dietéticas</w:t>
      </w:r>
      <w:r>
        <w:t xml:space="preserve"> si hay anti-HMGCR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Calidad de vida y salud mental</w:t>
      </w:r>
      <w:r>
        <w:t xml:space="preserve"> evaluadas de rutina; ejercicios de prensión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Heading2"/>
      </w:pPr>
      <w:r>
        <w:t xml:space="preserve">13.2 Músculo: inducción y mantenimiento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GC (adulto)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Prednisolona </w:t>
            </w:r>
            <w:r>
              <w:rPr>
                <w:b/>
                <w:bCs/>
                <w:sz w:val="18"/>
                <w:szCs w:val="18"/>
              </w:rPr>
              <w:t xml:space="preserve">0.5–1 mg/kg/día, usualmente 40–60 mg</w:t>
            </w:r>
            <w:r>
              <w:rPr>
                <w:sz w:val="18"/>
                <w:szCs w:val="18"/>
              </w:rPr>
              <w:t xml:space="preserve"> (BSR 1B). Metilprednisolona IV si hay dudas de absorción o enfermedad grave (BSR 2B): </w:t>
            </w:r>
            <w:r>
              <w:rPr>
                <w:b/>
                <w:bCs/>
                <w:sz w:val="18"/>
                <w:szCs w:val="18"/>
              </w:rPr>
              <w:t xml:space="preserve">pulsos de 500 mg a 1 g/día durante 3–5 días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GC (niño)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Prednisolona 1–2 mg/kg/día o metilprednisolona 30 mg/kg/día IV (máximo 1 g)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Descenso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Según la respuesta, habitualmente desde las </w:t>
            </w:r>
            <w:r>
              <w:rPr>
                <w:b/>
                <w:bCs/>
                <w:sz w:val="18"/>
                <w:szCs w:val="18"/>
              </w:rPr>
              <w:t xml:space="preserve">~6 semanas</w:t>
            </w:r>
            <w:r>
              <w:rPr>
                <w:sz w:val="18"/>
                <w:szCs w:val="18"/>
              </w:rPr>
              <w:t xml:space="preserve">; no hay evidencia para fijar el ritmo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Ahorrador desde el inicio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Metotrexato, azatioprina, tacrolimus, ciclosporina o micofenolato (adultos, BSR 2C); ninguno es de primera línea demostrada. En niños: </w:t>
            </w:r>
            <w:r>
              <w:rPr>
                <w:b/>
                <w:bCs/>
                <w:sz w:val="18"/>
                <w:szCs w:val="18"/>
              </w:rPr>
              <w:t xml:space="preserve">GC + metotrexato</w:t>
            </w:r>
            <w:r>
              <w:rPr>
                <w:sz w:val="18"/>
                <w:szCs w:val="18"/>
              </w:rPr>
              <w:t xml:space="preserve"> (mejor perfil que GC + ciclosporina; BSR 1B)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8"/>
                <w:szCs w:val="18"/>
              </w:rPr>
              <w:t xml:space="preserve">. El ensayo juvenil mostró que el GC solo recae más que combinado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Dosis de referencia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Azatioprina 1–2 mg/kg/día (TPMT previa); ciclosporina 3 mg/kg/día; tacrolimus 2 mg c/12 h (EPI-RP: 2–3 mg c/12 h, niveles de 4–12 ng/mL); metotrexato 7.5 a 25 mg/semana; micofenolato 1 g c/12 h; tofacitinib 5 mg c/12 h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Cómo elegir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Mujer joven: </w:t>
            </w:r>
            <w:r>
              <w:rPr>
                <w:b/>
                <w:bCs/>
                <w:sz w:val="18"/>
                <w:szCs w:val="18"/>
              </w:rPr>
              <w:t xml:space="preserve">CNI mejor que MMF</w:t>
            </w:r>
            <w:r>
              <w:rPr>
                <w:sz w:val="18"/>
                <w:szCs w:val="18"/>
              </w:rPr>
              <w:t xml:space="preserve"> (teratogenicidad del MMF). Anciano con riesgo cardiovascular: </w:t>
            </w:r>
            <w:r>
              <w:rPr>
                <w:b/>
                <w:bCs/>
                <w:sz w:val="18"/>
                <w:szCs w:val="18"/>
              </w:rPr>
              <w:t xml:space="preserve">MMF mejor que CNI</w:t>
            </w:r>
            <w:r>
              <w:rPr>
                <w:sz w:val="18"/>
                <w:szCs w:val="18"/>
              </w:rPr>
              <w:t xml:space="preserve"> (HTA, hiperglucemia). </w:t>
            </w:r>
            <w:r>
              <w:rPr>
                <w:b/>
                <w:bCs/>
                <w:sz w:val="18"/>
                <w:szCs w:val="18"/>
              </w:rPr>
              <w:t xml:space="preserve">Evitar metotrexato si hay EPI</w:t>
            </w:r>
            <w:r>
              <w:rPr>
                <w:sz w:val="18"/>
                <w:szCs w:val="18"/>
              </w:rPr>
              <w:t xml:space="preserve"> (neumonitis). Artritis importante sin EPI: metotrexato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Refractaria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Sin respuesta tras </w:t>
            </w:r>
            <w:r>
              <w:rPr>
                <w:b/>
                <w:bCs/>
                <w:sz w:val="18"/>
                <w:szCs w:val="18"/>
              </w:rPr>
              <w:t xml:space="preserve">3 meses</w:t>
            </w:r>
            <w:r>
              <w:rPr>
                <w:sz w:val="18"/>
                <w:szCs w:val="18"/>
              </w:rPr>
              <w:t xml:space="preserve"> de GC + inmunosupresor: añadir </w:t>
            </w:r>
            <w:r>
              <w:rPr>
                <w:b/>
                <w:bCs/>
                <w:sz w:val="18"/>
                <w:szCs w:val="18"/>
              </w:rPr>
              <w:t xml:space="preserve">IGIV</w:t>
            </w:r>
            <w:r>
              <w:rPr>
                <w:sz w:val="18"/>
                <w:szCs w:val="18"/>
              </w:rPr>
              <w:t xml:space="preserve"> (2 g/kg/mes; 0.4 g/kg/día durante 5 días), luego </w:t>
            </w:r>
            <w:r>
              <w:rPr>
                <w:b/>
                <w:bCs/>
                <w:sz w:val="18"/>
                <w:szCs w:val="18"/>
              </w:rPr>
              <w:t xml:space="preserve">rituximab</w:t>
            </w:r>
            <w:r>
              <w:rPr>
                <w:sz w:val="18"/>
                <w:szCs w:val="18"/>
              </w:rPr>
              <w:t xml:space="preserve"> (a veces juntos); segundo inmunosupresor o cambio; ciclofosfamida IV (menos toxicidad que oral: leucopenia, cistitis, gónadas); abatacept (BSR 2B). Rituximab mejor en juveniles, en quienes tienen autoanticuerpos y en quienes tienen menos daño (BSR 2A). Si la enfermedad es grave desde el inicio, IGIV de entrada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Rescate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Plasmaféresis (MNIM), JAKi, tocilizumab, abatacept (baja evidencia); </w:t>
            </w:r>
            <w:r>
              <w:rPr>
                <w:b/>
                <w:bCs/>
                <w:sz w:val="18"/>
                <w:szCs w:val="18"/>
              </w:rPr>
              <w:t xml:space="preserve">CAR-T</w:t>
            </w:r>
            <w:r>
              <w:rPr>
                <w:sz w:val="18"/>
                <w:szCs w:val="18"/>
              </w:rPr>
              <w:t xml:space="preserve"> en situaciones desesperadas (MNIM, SAS)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No recomendado</w:t>
            </w:r>
          </w:p>
        </w:tc>
        <w:tc>
          <w:tcPr>
            <w:tcW w:type="dxa" w:w="76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Anti-TNF: evidencia insuficiente y hay miositis inducidas por anti-TNF en AR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13.3 Tratamiento por subtipo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380"/>
      </w:tblGrid>
      <w:tr>
        <w:trPr>
          <w:tblHeader/>
        </w:trP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Subtipo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Esquema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DM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GC + metotrexato (extrapolado del ensayo juvenil). </w:t>
            </w:r>
            <w:r>
              <w:rPr>
                <w:b/>
                <w:bCs/>
                <w:sz w:val="18"/>
                <w:szCs w:val="18"/>
              </w:rPr>
              <w:t xml:space="preserve">IGIV aprobada</w:t>
            </w:r>
            <w:r>
              <w:rPr>
                <w:sz w:val="18"/>
                <w:szCs w:val="18"/>
              </w:rPr>
              <w:t xml:space="preserve"> (ProDERM 2022: 95 pacientes, 2 g/kg cada 4 semanas, mejor puntaje de mejoría total; eventos tromboembólicos en 6). Futuro: JAKi, </w:t>
            </w:r>
            <w:r>
              <w:rPr>
                <w:b/>
                <w:bCs/>
                <w:sz w:val="18"/>
                <w:szCs w:val="18"/>
              </w:rPr>
              <w:t xml:space="preserve">brepocitinib (TYK2/JAK1) con beneficio significativo en fase 3</w:t>
            </w:r>
            <w:r>
              <w:rPr>
                <w:sz w:val="18"/>
                <w:szCs w:val="18"/>
              </w:rPr>
              <w:t xml:space="preserve"> (Vleugels, NEJM 2026), anti-IFN-β (dazukibart), anti-IFNAR (anifrolumab)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MNIM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GC dosis altas + metotrexato (guías). </w:t>
            </w:r>
            <w:r>
              <w:rPr>
                <w:b/>
                <w:bCs/>
                <w:sz w:val="18"/>
                <w:szCs w:val="18"/>
              </w:rPr>
              <w:t xml:space="preserve">Anti-HMGCR: + IGIV. Anti-SRP: + rituximab.</w:t>
            </w:r>
            <w:r>
              <w:rPr>
                <w:sz w:val="18"/>
                <w:szCs w:val="18"/>
              </w:rPr>
              <w:t xml:space="preserve"> Plasmaféresis en casos extremos; CAR-T, bloqueo de FcRn y daratumumab en investigación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SAS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Depleción B: </w:t>
            </w:r>
            <w:r>
              <w:rPr>
                <w:b/>
                <w:bCs/>
                <w:sz w:val="18"/>
                <w:szCs w:val="18"/>
              </w:rPr>
              <w:t xml:space="preserve">rituximab</w:t>
            </w:r>
            <w:r>
              <w:rPr>
                <w:sz w:val="18"/>
                <w:szCs w:val="18"/>
              </w:rPr>
              <w:t xml:space="preserve">, con mejor respuesta que otros MSA, también para la EPI. MMF, azatioprina, ciclofosfamida o CNI para la EPI. CAR-T anti-CD19 prometedor incluso con EPI grave; nintedanib en ensayo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1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MCI</w:t>
            </w:r>
          </w:p>
        </w:tc>
        <w:tc>
          <w:tcPr>
            <w:tcW w:type="dxa" w:w="83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Ningún tratamiento eficaz demostrado.</w:t>
            </w:r>
            <w:r>
              <w:rPr>
                <w:sz w:val="18"/>
                <w:szCs w:val="18"/>
              </w:rPr>
              <w:t xml:space="preserve"> IGIV, GC + IGIV y metotrexato fallaron y </w:t>
            </w:r>
            <w:r>
              <w:rPr>
                <w:b/>
                <w:bCs/>
                <w:sz w:val="18"/>
                <w:szCs w:val="18"/>
              </w:rPr>
              <w:t xml:space="preserve">pueden empeorar</w:t>
            </w:r>
            <w:r>
              <w:rPr>
                <w:sz w:val="18"/>
                <w:szCs w:val="18"/>
              </w:rPr>
              <w:t xml:space="preserve">. Arimoclomol y bimagrumab negativos. En curso: sirolimus fase 3, anti-KLRG1. Base del manejo: ejercicio y rehabilitación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13.4 Piel [CTOR 2025] [BSR 2022]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Medir la actividad con el </w:t>
      </w:r>
      <w:r>
        <w:rPr>
          <w:b/>
          <w:bCs/>
        </w:rPr>
        <w:t xml:space="preserve">CDASI</w:t>
      </w:r>
      <w:r>
        <w:t xml:space="preserve">: leve &lt;20, moderada o grave ≥20.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Leve:</w:t>
      </w:r>
      <w:r>
        <w:t xml:space="preserve"> fotoprotección más tópicos (GC, tacrolimus, pimecrolimus). La BSR no encuentra evidencia suficiente para los tópicos, pero los acepta junto a dermatología.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Moderada o grave:</w:t>
      </w:r>
      <w:r>
        <w:t xml:space="preserve"> sistémico: hidroxicloroquina, metotrexato, azatioprina, micofenolato, tacrolimus, ciclosporina. El grupo de Barcelona </w:t>
      </w:r>
      <w:r>
        <w:rPr>
          <w:b/>
          <w:bCs/>
        </w:rPr>
        <w:t xml:space="preserve">no favorece los antimaláricos</w:t>
      </w:r>
      <w:r>
        <w:t xml:space="preserve"> por eficacia limitada y frecuentes reacciones tóxicas o alérgicas en la DM.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Refractaria:</w:t>
      </w:r>
      <w:r>
        <w:t xml:space="preserve"> </w:t>
      </w:r>
      <w:r>
        <w:rPr>
          <w:b/>
          <w:bCs/>
        </w:rPr>
        <w:t xml:space="preserve">IGIV</w:t>
      </w:r>
      <w:r>
        <w:t xml:space="preserve"> (BSR 1B), </w:t>
      </w:r>
      <w:r>
        <w:rPr>
          <w:b/>
          <w:bCs/>
        </w:rPr>
        <w:t xml:space="preserve">rituximab</w:t>
      </w:r>
      <w:r>
        <w:t xml:space="preserve"> (BSR 2B), </w:t>
      </w:r>
      <w:r>
        <w:rPr>
          <w:b/>
          <w:bCs/>
        </w:rPr>
        <w:t xml:space="preserve">JAKi</w:t>
      </w:r>
      <w:r>
        <w:t xml:space="preserve"> (tofacitinib, baricitinib, ruxolitinib, upadacitinib), anifrolumab, apremilast, dapsona.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Úlceras (MDA5):</w:t>
      </w:r>
      <w:r>
        <w:t xml:space="preserve"> sildenafil o bosentán añadidos.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Paniculitis:</w:t>
      </w:r>
      <w:r>
        <w:t xml:space="preserve"> GC más inmunosupresores (tacrolimus) o JAKi; puede dejar lipoatrofia o calcinosis.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Niños:</w:t>
      </w:r>
      <w:r>
        <w:t xml:space="preserve"> escalar pronto si la piel persiste (incluida la baja densidad capilar periungueal) para evitar la calcinosis (BSR 2C).</w:t>
      </w:r>
    </w:p>
    <w:p>
      <w:pPr>
        <w:pStyle w:val="Heading3"/>
      </w:pPr>
      <w:r>
        <w:t xml:space="preserve">Calcinosis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000"/>
        <w:gridCol w:w="4480"/>
      </w:tblGrid>
      <w:tr>
        <w:trPr>
          <w:tblHeader/>
        </w:trP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Fármaco</w:t>
            </w:r>
          </w:p>
        </w:tc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4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Dosis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Tiosulfato de sodio</w:t>
            </w:r>
          </w:p>
        </w:tc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Quelante de calcio</w:t>
            </w:r>
          </w:p>
        </w:tc>
        <w:tc>
          <w:tcPr>
            <w:tcW w:type="dxa" w:w="4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Tópico al 25 % dos veces al día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Bisfosfonatos</w:t>
            </w:r>
          </w:p>
        </w:tc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Metabolismo calcio-fósforo</w:t>
            </w:r>
          </w:p>
        </w:tc>
        <w:tc>
          <w:tcPr>
            <w:tcW w:type="dxa" w:w="4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Alendronato 70 mg/semana VO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JAKi</w:t>
            </w:r>
          </w:p>
        </w:tc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Vía del IFN tipo I</w:t>
            </w:r>
          </w:p>
        </w:tc>
        <w:tc>
          <w:tcPr>
            <w:tcW w:type="dxa" w:w="4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Tofacitinib 5 mg c/12 h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Rituximab</w:t>
            </w:r>
          </w:p>
        </w:tc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Depleción B</w:t>
            </w:r>
          </w:p>
        </w:tc>
        <w:tc>
          <w:tcPr>
            <w:tcW w:type="dxa" w:w="4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 g × 2 con 2 semanas de intervalo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IGIV</w:t>
            </w:r>
          </w:p>
        </w:tc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Inmunomodulación</w:t>
            </w:r>
          </w:p>
        </w:tc>
        <w:tc>
          <w:tcPr>
            <w:tcW w:type="dxa" w:w="4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 g/kg cada 4–6 semanas</w:t>
            </w:r>
          </w:p>
        </w:tc>
      </w:tr>
      <w:tr>
        <w:tc>
          <w:tcPr>
            <w:tcW w:type="dxa" w:w="2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Calcioantagonistas; cirugía</w:t>
            </w:r>
          </w:p>
        </w:tc>
        <w:tc>
          <w:tcPr>
            <w:tcW w:type="dxa" w:w="30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Cirugía si hay síndrome compartimental o masas que comprimen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rPr>
          <w:color w:val="5B6770"/>
          <w:sz w:val="18"/>
          <w:szCs w:val="18"/>
        </w:rPr>
        <w:t xml:space="preserve">Fuente: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rPr>
          <w:color w:val="5B6770"/>
          <w:sz w:val="18"/>
          <w:szCs w:val="18"/>
        </w:rPr>
        <w:t xml:space="preserve">, Tabla 1 y Algoritmo 3. Las respuestas suelen ser subóptimas.</w:t>
      </w:r>
    </w:p>
    <w:p>
      <w:pPr>
        <w:pStyle w:val="Heading2"/>
      </w:pPr>
      <w:r>
        <w:t xml:space="preserve">13.5 Enfermedad pulmonar intersticial</w:t>
      </w:r>
    </w:p>
    <w:p>
      <w:pPr>
        <w:spacing w:after="110" w:line="276"/>
      </w:pPr>
      <w:r>
        <w:t xml:space="preserve">Distinguir </w:t>
      </w:r>
      <w:r>
        <w:rPr>
          <w:b/>
          <w:bCs/>
        </w:rPr>
        <w:t xml:space="preserve">EPI rápidamente progresiva</w:t>
      </w:r>
      <w:r>
        <w:t xml:space="preserve"> (sobre todo MDA5: deterioro clínico y radiológico sostenido en el primer mes) de </w:t>
      </w:r>
      <w:r>
        <w:rPr>
          <w:b/>
          <w:bCs/>
        </w:rPr>
        <w:t xml:space="preserve">EPI crónica</w:t>
      </w:r>
      <w:r>
        <w:t xml:space="preserve"> (SAS, superposición) cambia todo el tratamiento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 Manejo conjunto con neumología especializada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Heading3"/>
      </w:pPr>
      <w:r>
        <w:t xml:space="preserve">Guía ACR/CHEST 2023 para EPI asociada a MII (resumen en [CTOR 2025])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4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4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Recomendado (condicional)</w:t>
            </w:r>
          </w:p>
        </w:tc>
        <w:tc>
          <w:tcPr>
            <w:tcW w:type="dxa" w:w="3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recomendado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Primera línea</w:t>
            </w:r>
          </w:p>
        </w:tc>
        <w:tc>
          <w:tcPr>
            <w:tcW w:type="dxa" w:w="4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GC a corto plazo (≤3 meses). </w:t>
            </w:r>
            <w:r>
              <w:rPr>
                <w:b/>
                <w:bCs/>
                <w:sz w:val="18"/>
                <w:szCs w:val="18"/>
              </w:rPr>
              <w:t xml:space="preserve">Micofenolato (preferido)</w:t>
            </w:r>
            <w:r>
              <w:rPr>
                <w:sz w:val="18"/>
                <w:szCs w:val="18"/>
              </w:rPr>
              <w:t xml:space="preserve">, azatioprina, rituximab, ciclofosfamida; CNI y JAKi también (JAKi sobre todo con MDA5)</w:t>
            </w:r>
          </w:p>
        </w:tc>
        <w:tc>
          <w:tcPr>
            <w:tcW w:type="dxa" w:w="3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Leflunomida, metotrexato, anti-TNF, abatacept; nintedanib o pirfenidona de inicio; combinación inicial de antifibrótico + MMF; IGIV o plasmaféresis; trasplante de células madre o pulmón como primera opción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Progresión pese al tratamiento</w:t>
            </w:r>
          </w:p>
        </w:tc>
        <w:tc>
          <w:tcPr>
            <w:tcW w:type="dxa" w:w="4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MMF, rituximab, ciclofosfamida, </w:t>
            </w:r>
            <w:r>
              <w:rPr>
                <w:b/>
                <w:bCs/>
                <w:sz w:val="18"/>
                <w:szCs w:val="18"/>
              </w:rPr>
              <w:t xml:space="preserve">nintedanib</w:t>
            </w:r>
            <w:r>
              <w:rPr>
                <w:sz w:val="18"/>
                <w:szCs w:val="18"/>
              </w:rPr>
              <w:t xml:space="preserve">; CNI; JAKi; añadir IGIV</w:t>
            </w:r>
          </w:p>
        </w:tc>
        <w:tc>
          <w:tcPr>
            <w:tcW w:type="dxa" w:w="3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GC a largo plazo; pirfenidona; tocilizumab; plasmaféresis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EPI rápidamente progresiva</w:t>
            </w:r>
          </w:p>
        </w:tc>
        <w:tc>
          <w:tcPr>
            <w:tcW w:type="dxa" w:w="44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Pulsos de metilprednisolona</w:t>
            </w:r>
            <w:r>
              <w:rPr>
                <w:sz w:val="18"/>
                <w:szCs w:val="18"/>
              </w:rPr>
              <w:t xml:space="preserve">; rituximab, ciclofosfamida, IGIV, MMF, CNI, JAKi. </w:t>
            </w:r>
            <w:r>
              <w:rPr>
                <w:b/>
                <w:bCs/>
                <w:sz w:val="18"/>
                <w:szCs w:val="18"/>
              </w:rPr>
              <w:t xml:space="preserve">Terapia combinada de entrada: triple si hay MDA5 confirmado o sospechado; doble o triple si no.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Derivación temprana a trasplante pulmonar</w:t>
            </w:r>
          </w:p>
        </w:tc>
        <w:tc>
          <w:tcPr>
            <w:tcW w:type="dxa" w:w="3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Metotrexato, leflunomida, azatioprina, anti-TNF, abatacept, tocilizumab, nintedanib, pirfenidona, plasmaféresis de primera línea; trasplante de células madre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BE9EC" w:sz="4"/>
              <w:left w:val="single" w:color="B23A48" w:sz="24"/>
              <w:bottom w:val="single" w:color="FBE9EC" w:sz="4"/>
              <w:right w:val="single" w:color="FBE9EC" w:sz="4"/>
            </w:tcBorders>
            <w:shd w:fill="FBE9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8"/>
                <w:szCs w:val="18"/>
              </w:rPr>
              <w:t xml:space="preserve">PROTOCOLO PRÁCTICO PARA LA EPI-RP ANTI-MDA5 (BARCELONA) [CTOR 2025]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GC</w:t>
            </w:r>
            <w:r>
              <w:rPr>
                <w:sz w:val="19"/>
                <w:szCs w:val="19"/>
              </w:rPr>
              <w:t xml:space="preserve">: 1 mg/kg/día VO o pulsos de 500 mg a 1 g/día durante 3 días.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+ Tacrolimus</w:t>
            </w:r>
            <w:r>
              <w:rPr>
                <w:sz w:val="19"/>
                <w:szCs w:val="19"/>
              </w:rPr>
              <w:t xml:space="preserve"> 2–3 mg c/12 h (niveles de 4–12 ng/mL); si no se tolera, micofenolato 1 g c/12 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+ Tofacitinib</w:t>
            </w:r>
            <w:r>
              <w:rPr>
                <w:sz w:val="19"/>
                <w:szCs w:val="19"/>
              </w:rPr>
              <w:t xml:space="preserve"> 5 mg c/12 h si empeoran los gases o la clínica (a veces se inicia junto al tacrolimus).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Alternativas para la triple: rituximab o ciclofosfamida. Considerar IGIV.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Casos muy graves: </w:t>
            </w:r>
            <w:r>
              <w:rPr>
                <w:b/>
                <w:bCs/>
                <w:sz w:val="19"/>
                <w:szCs w:val="19"/>
              </w:rPr>
              <w:t xml:space="preserve">hemoperfusión con polimixina B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plasmaféresis con reposición de IGIV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TMP-SMX desde el inicio</w:t>
            </w:r>
            <w:r>
              <w:rPr>
                <w:sz w:val="19"/>
                <w:szCs w:val="19"/>
              </w:rPr>
              <w:t xml:space="preserve"> (Pneumocystis).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ECMO</w:t>
            </w:r>
            <w:r>
              <w:rPr>
                <w:sz w:val="19"/>
                <w:szCs w:val="19"/>
              </w:rPr>
              <w:t xml:space="preserve"> como puente a la respuesta o al </w:t>
            </w:r>
            <w:r>
              <w:rPr>
                <w:b/>
                <w:bCs/>
                <w:sz w:val="19"/>
                <w:szCs w:val="19"/>
              </w:rPr>
              <w:t xml:space="preserve">trasplante pulmonar</w:t>
            </w:r>
            <w:r>
              <w:rPr>
                <w:sz w:val="19"/>
                <w:szCs w:val="19"/>
              </w:rPr>
              <w:t xml:space="preserve">; derivación temprana.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La BSR propone GC + ciclosporina o tacrolimus + ciclofosfamida o rituximab tempranos (2C). Otros esquemas: GC + tacrolimus + ciclofosfamida IV, o GC + rituximab + tofacitinib ± plasmaféresis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 El efecto del rituximab puede tardar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EPI no rápidamente progresiva (SAS, superposición) [CTOR 2025]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Patrón inflamatorio (NINE, NO):</w:t>
      </w:r>
      <w:r>
        <w:t xml:space="preserve"> GC durante 3–6 meses ± </w:t>
      </w:r>
      <w:r>
        <w:rPr>
          <w:b/>
          <w:bCs/>
        </w:rPr>
        <w:t xml:space="preserve">MMF o tacrolimus</w:t>
      </w:r>
      <w:r>
        <w:t xml:space="preserve"> (alternativas: azatioprina, ciclofosfamida).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Patrón NIU:</w:t>
      </w:r>
      <w:r>
        <w:t xml:space="preserve"> los GC son controvertidos salvo en exacerbaciones agudas.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Progresión</w:t>
      </w:r>
      <w:r>
        <w:t xml:space="preserve"> (caída de la CVF, extensión en la TACAR): añadir </w:t>
      </w:r>
      <w:r>
        <w:rPr>
          <w:b/>
          <w:bCs/>
        </w:rPr>
        <w:t xml:space="preserve">rituximab</w:t>
      </w:r>
      <w:r>
        <w:t xml:space="preserve"> y reevaluar a los 6 meses. Después, </w:t>
      </w:r>
      <w:r>
        <w:rPr>
          <w:b/>
          <w:bCs/>
        </w:rPr>
        <w:t xml:space="preserve">JAKi</w:t>
      </w:r>
      <w:r>
        <w:t xml:space="preserve"> (tofacitinib). Si cumple criterios de </w:t>
      </w:r>
      <w:r>
        <w:rPr>
          <w:b/>
          <w:bCs/>
        </w:rPr>
        <w:t xml:space="preserve">fibrosis pulmonar progresiva</w:t>
      </w:r>
      <w:r>
        <w:t xml:space="preserve">: añadir </w:t>
      </w:r>
      <w:r>
        <w:rPr>
          <w:b/>
          <w:bCs/>
        </w:rPr>
        <w:t xml:space="preserve">nintedanib</w:t>
      </w:r>
      <w:r>
        <w:t xml:space="preserve"> o pirfenidona.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Comité multidisciplinario (patología, radiología, neumología, medicina interna, reumatología): ¿la progresión es inflamatoria (escalar la inmunosupresión) o fibrótica (antifibrótico)?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Último recurso: </w:t>
      </w:r>
      <w:r>
        <w:rPr>
          <w:b/>
          <w:bCs/>
        </w:rPr>
        <w:t xml:space="preserve">trasplante pulmonar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BSR para la EPI crónica: GC ± un DMARD (azatioprina, ciclosporina, tacrolimus, MMF); rituximab o ciclofosfamida en la resistente (2C)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Heading2"/>
      </w:pPr>
      <w:r>
        <w:t xml:space="preserve">13.6 Disfagia [CTOR 2025] [BSR 2022]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Preguntar por la disfagia en </w:t>
      </w:r>
      <w:r>
        <w:rPr>
          <w:b/>
          <w:bCs/>
        </w:rPr>
        <w:t xml:space="preserve">todos</w:t>
      </w:r>
      <w:r>
        <w:t xml:space="preserve"> los pacientes (BSR 2C); involucrar a fonoaudiología y gastroenterología.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Grave</w:t>
      </w:r>
      <w:r>
        <w:t xml:space="preserve"> (regurgitación nasal, afagia, tos al deglutir, pérdida de peso): </w:t>
      </w:r>
      <w:r>
        <w:rPr>
          <w:b/>
          <w:bCs/>
        </w:rPr>
        <w:t xml:space="preserve">videofluoroscopia</w:t>
      </w:r>
      <w:r>
        <w:t xml:space="preserve">, fonoaudiología y nutrición. </w:t>
      </w:r>
      <w:r>
        <w:rPr>
          <w:b/>
          <w:bCs/>
        </w:rPr>
        <w:t xml:space="preserve">Intensificar el tratamiento de forma secuencial o aditiva:</w:t>
      </w:r>
      <w:r>
        <w:t xml:space="preserve"> pulsos de GC (0.5 g/día × 3) → inmunosupresor (MMF o tacrolimus) → </w:t>
      </w:r>
      <w:r>
        <w:rPr>
          <w:b/>
          <w:bCs/>
        </w:rPr>
        <w:t xml:space="preserve">IGIV</w:t>
      </w:r>
      <w:r>
        <w:t xml:space="preserve"> (incorporarla siempre que sea posible; BSR 2C) → rituximab. Rehabilitación; sonda nasogástrica o gastrostomía si no responde.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Reevaluar a los 3–6 meses:</w:t>
      </w:r>
      <w:r>
        <w:t xml:space="preserve"> muchos mejoran y se puede retirar la alimentación enteral.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persiste: repetir la videofluoroscopia. Si hay </w:t>
      </w:r>
      <w:r>
        <w:rPr>
          <w:b/>
          <w:bCs/>
        </w:rPr>
        <w:t xml:space="preserve">obstrucción funcional del esfínter esofágico superior (barra cricofaríngea):</w:t>
      </w:r>
      <w:r>
        <w:t xml:space="preserve"> toxina botulínica, dilatación con balón o miotomía cricofaríngea (resultados inconsistentes). Si no, mantener la gastrostomía.</w:t>
      </w:r>
    </w:p>
    <w:p>
      <w:pPr>
        <w:pStyle w:val="Heading2"/>
      </w:pPr>
      <w:r>
        <w:t xml:space="preserve">13.7 Insuficiencia ventilatoria por diafragma [CTOR 2025]</w:t>
      </w:r>
    </w:p>
    <w:p>
      <w:pPr>
        <w:spacing w:after="110" w:line="276"/>
      </w:pPr>
      <w:r>
        <w:t xml:space="preserve">En ~5 %. Indicadores: hipercapnia, CVF &lt;50 % sin EPI, caída &gt;20 % de la CVF en supino. Tratamiento: </w:t>
      </w:r>
      <w:r>
        <w:rPr>
          <w:b/>
          <w:bCs/>
        </w:rPr>
        <w:t xml:space="preserve">GC a dosis altas + IGIV + CNI</w:t>
      </w:r>
      <w:r>
        <w:t xml:space="preserve">; </w:t>
      </w:r>
      <w:r>
        <w:rPr>
          <w:b/>
          <w:bCs/>
        </w:rPr>
        <w:t xml:space="preserve">ventilación no invasiva</w:t>
      </w:r>
      <w:r>
        <w:t xml:space="preserve"> mientras se espera la respuesta (puede salvar la vida).</w:t>
      </w:r>
    </w:p>
    <w:p>
      <w:pPr>
        <w:pStyle w:val="Heading2"/>
      </w:pPr>
      <w:r>
        <w:t xml:space="preserve">13.8 Miocarditis [CTOR 2025] [BSR 2022]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Tamizaje en adultos</w:t>
      </w:r>
      <w:r>
        <w:t xml:space="preserve"> (BSR 2B): marcadores séricos (</w:t>
      </w:r>
      <w:r>
        <w:rPr>
          <w:b/>
          <w:bCs/>
        </w:rPr>
        <w:t xml:space="preserve">troponina I</w:t>
      </w:r>
      <w:r>
        <w:t xml:space="preserve">, 1B), ECG, ecocardiograma y RM cardíaca. Niños: ECG y ecocardiograma (2C). No hay guías internacionales de tamizaje sistemático.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Diagnóstico escalonado:</w:t>
      </w:r>
      <w:r>
        <w:t xml:space="preserve"> clínica, troponina I ultrasensible, NT-proBNP, ECG y ecocardiograma → RM cardíaca en alto riesgo o con hallazgos anormales → biopsia endomiocárdica si hay duda (p. ej., viral).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Tratamiento:</w:t>
      </w:r>
      <w:r>
        <w:t xml:space="preserve"> cardiológico convencional (insuficiencia cardíaca, arritmias) </w:t>
      </w:r>
      <w:r>
        <w:rPr>
          <w:b/>
          <w:bCs/>
        </w:rPr>
        <w:t xml:space="preserve">más</w:t>
      </w:r>
      <w:r>
        <w:t xml:space="preserve"> (1) inmunosupresores: bolos de GC con descenso, micofenolato, CNI; (2) IGIV; (3) biológicos: rituximab, </w:t>
      </w:r>
      <w:r>
        <w:rPr>
          <w:b/>
          <w:bCs/>
        </w:rPr>
        <w:t xml:space="preserve">anakinra o canakinumab</w:t>
      </w:r>
      <w:r>
        <w:t xml:space="preserve"> (papel de la IL-1 en la miocarditis refractaria), tocilizumab. Rescate: ECMO o trasplante cardíaco.</w:t>
      </w:r>
    </w:p>
    <w:p>
      <w:pPr>
        <w:pStyle w:val="Heading2"/>
      </w:pPr>
      <w:r>
        <w:t xml:space="preserve">13.9 Artritis [CTOR 2025]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Inicio: prednisona a dosis bajas y por poco tiempo + COXIB o AINE como puente.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¿Hay EPI?</w:t>
      </w:r>
      <w:r>
        <w:t xml:space="preserve"> No → </w:t>
      </w:r>
      <w:r>
        <w:rPr>
          <w:b/>
          <w:bCs/>
        </w:rPr>
        <w:t xml:space="preserve">metotrexato</w:t>
      </w:r>
      <w:r>
        <w:t xml:space="preserve"> (10–25 mg/semana). Sí → </w:t>
      </w:r>
      <w:r>
        <w:rPr>
          <w:b/>
          <w:bCs/>
        </w:rPr>
        <w:t xml:space="preserve">leflunomida</w:t>
      </w:r>
      <w:r>
        <w:t xml:space="preserve"> (10–20 mg/día), porque el metotrexato puede causar neumonitis aguda por hipersensibilidad en el primer año. La asociación leflunomida–EPI parece limitarse a pacientes de ascendencia asiática.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Sin respuesta: ¿EPI moderada, grave o progresiva? Sí → </w:t>
      </w:r>
      <w:r>
        <w:rPr>
          <w:b/>
          <w:bCs/>
        </w:rPr>
        <w:t xml:space="preserve">rituximab</w:t>
      </w:r>
      <w:r>
        <w:t xml:space="preserve"> (el biológico con más evidencia). No → JAKi, abatacept (125 mg/semana) o anti-IL-6.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AZA, MMF y CNI controlan poco la artritis. </w:t>
      </w:r>
      <w:r>
        <w:rPr>
          <w:b/>
          <w:bCs/>
        </w:rPr>
        <w:t xml:space="preserve">Evitar anti-TNF</w:t>
      </w:r>
      <w:r>
        <w:t xml:space="preserve"> (miositis inducida).</w:t>
      </w:r>
    </w:p>
    <w:p>
      <w:pPr>
        <w:pStyle w:val="Heading2"/>
      </w:pPr>
      <w:r>
        <w:t xml:space="preserve">13.10 Niños, embarazo y otros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Juvenil:</w:t>
      </w:r>
      <w:r>
        <w:t xml:space="preserve"> manejo por pediatría especializada; busca control completo y temprano; GC + metotrexato de primera línea; MMF para piel y músculo; buscar calcinosis y superposición; sin tamizaje de cáncer; herramientas propias de la edad (CMAS, CHAQ)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Embarazo:</w:t>
      </w:r>
      <w:r>
        <w:t xml:space="preserve"> concebir con la enfermedad controlada y fármacos compatibles; seguimiento con medicina materno-fetal; vigilar el brote posparto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Riesgo cardiovascular:</w:t>
      </w:r>
      <w:r>
        <w:t xml:space="preserve"> evaluación periódica (BSR 1C)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Heading2"/>
      </w:pPr>
      <w:r>
        <w:t xml:space="preserve">13.11 Evidencia de ensayos controlados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200"/>
        <w:gridCol w:w="4180"/>
      </w:tblGrid>
      <w:tr>
        <w:trPr>
          <w:tblHeader/>
        </w:trP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Fármaco o ensayo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Diseño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IGIV (Dalakas 1993)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15 DM refractarias, cruzado, 3 meses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Mejoría significativa de la fuerza (p &lt;0.018), confirmada en biopsia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IGIV ProDERM (2022)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95 DM activas, IGIV cada 4 semanas frente a placebo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Positivo</w:t>
            </w:r>
            <w:r>
              <w:rPr>
                <w:sz w:val="18"/>
                <w:szCs w:val="18"/>
              </w:rPr>
              <w:t xml:space="preserve"> (puntaje de mejoría total); 6 eventos tromboembólicos. Base de la aprobación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Rituximab RIM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200 miositis refractarias, inicio temprano frente a tardío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alcanzó el objetivo primario, pero </w:t>
            </w:r>
            <w:r>
              <w:rPr>
                <w:b/>
                <w:bCs/>
                <w:sz w:val="18"/>
                <w:szCs w:val="18"/>
              </w:rPr>
              <w:t xml:space="preserve">el 83 % mejoró</w:t>
            </w:r>
            <w:r>
              <w:rPr>
                <w:sz w:val="18"/>
                <w:szCs w:val="18"/>
              </w:rPr>
              <w:t xml:space="preserve">; población mixta y objetivo precoz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Belimumab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15 refractarias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Abatacept fase III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148 pacientes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Negativo (la BSR lo había aceptado en 2B por un estudio previo con inicio diferido)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Tocilizumab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36 DM/PM, 8 mg/kg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Ustekinumab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51 pacientes japoneses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Dazukibart</w:t>
            </w:r>
            <w:r>
              <w:rPr>
                <w:sz w:val="18"/>
                <w:szCs w:val="18"/>
              </w:rPr>
              <w:t xml:space="preserve"> (anti-IFN-β) fase 2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75 DM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Positivo</w:t>
            </w:r>
            <w:r>
              <w:rPr>
                <w:sz w:val="18"/>
                <w:szCs w:val="18"/>
              </w:rPr>
              <w:t xml:space="preserve">, sobre todo en la piel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Brepocitinib</w:t>
            </w:r>
            <w:r>
              <w:rPr>
                <w:sz w:val="18"/>
                <w:szCs w:val="18"/>
              </w:rPr>
              <w:t xml:space="preserve"> (TYK2/JAK1)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Fase 3 en DM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Beneficio significativo</w:t>
            </w:r>
            <w:r>
              <w:rPr>
                <w:sz w:val="18"/>
                <w:szCs w:val="18"/>
              </w:rPr>
              <w:t xml:space="preserve"> (Vleugels, NEJM 2026)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Cochrane 2025 (terapias dirigidas)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16 ensayos, 830 participantes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Sin evidencia de certeza moderada o alta frente a placebo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Cochrane 2025 (terapias no dirigidas)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16 ensayos, 789 participantes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Solo la IGIV</w:t>
            </w:r>
            <w:r>
              <w:rPr>
                <w:sz w:val="18"/>
                <w:szCs w:val="18"/>
              </w:rPr>
              <w:t xml:space="preserve"> mejoró discapacidad, músculo y piel en DM</w:t>
            </w:r>
          </w:p>
        </w:tc>
      </w:tr>
      <w:tr>
        <w:tc>
          <w:tcPr>
            <w:tcW w:type="dxa" w:w="27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MCI: arimoclomol, bimagrumab, sirolimus fase 2</w:t>
            </w:r>
          </w:p>
        </w:tc>
        <w:tc>
          <w:tcPr>
            <w:tcW w:type="dxa" w:w="3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Negativos (sirolimus con objetivos secundarios positivos → fase 3)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13.12 Perspectivas [NEJM 2026]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Bloqueo de </w:t>
      </w:r>
      <w:r>
        <w:rPr>
          <w:b/>
          <w:bCs/>
        </w:rPr>
        <w:t xml:space="preserve">FcRn</w:t>
      </w:r>
      <w:r>
        <w:t xml:space="preserve"> (reduce la vida media de los autoanticuerpos): ensayos en MNIM, SAS y DM.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Daratumumab</w:t>
      </w:r>
      <w:r>
        <w:t xml:space="preserve"> (anti-CD38) en MDA5 grave; </w:t>
      </w:r>
      <w:r>
        <w:rPr>
          <w:b/>
          <w:bCs/>
        </w:rPr>
        <w:t xml:space="preserve">CAR-T anti-CD19</w:t>
      </w:r>
      <w:r>
        <w:t xml:space="preserve"> en MNIM, SAS y DM juvenil seronegativa.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Nintedanib</w:t>
      </w:r>
      <w:r>
        <w:t xml:space="preserve"> en ensayo para la EPI asociada a miositis.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DM: JAKi, TYK2, anti-IFNAR, anti-IFN-β.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MCI: sirolimus fase 3, anti-KLRG1.</w:t>
      </w:r>
    </w:p>
    <w:p>
      <w:pPr>
        <w:pStyle w:val="Heading1"/>
        <w:pageBreakBefore/>
      </w:pPr>
      <w:r>
        <w:t xml:space="preserve">14. Seguimiento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vigilar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Fuerza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Escala MRC o pruebas manuales estandarizadas; prensión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Actividad muscular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CK y otras enzimas; RM si hay duda (edema = actividad; grasa = daño)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Piel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CDASI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Pulmón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CVF y DLCO, TACAR; progresión = caída de la CVF o extensión en la TACAR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Corazón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Troponina I, NT-proBNP, ECG, ecocardiograma, RM cardíaca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Deglución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Preguntar siempre; videofluoroscopia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Cáncer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Según el riesgo (sección 11)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Toxicidad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Monitoreo de DMARD según las guías BSR; densidad ósea; riesgo cardiovascular; infecciones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Calidad de vida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SF-36 (adultos), CHQ-50 (niños); tamizaje de ansiedad y depresión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Autoanticuerpos</w:t>
            </w:r>
          </w:p>
        </w:tc>
        <w:tc>
          <w:tcPr>
            <w:tcW w:type="dxa" w:w="78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BSR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recomienda usar títulos para monitorear. Hay datos de correlación con MDA5, SRP y HMGCR, pero no son uniformes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15. Casos clínicos razonados</w:t>
      </w:r>
    </w:p>
    <w:p>
      <w:pPr>
        <w:spacing w:after="110" w:line="276"/>
      </w:pPr>
      <w:r>
        <w:t xml:space="preserve">Nueve casos de enseñanza. Cada uno sigue el mismo esquema: presentación → qué pedir y por qué → resultados → diagnóstico → tratamiento → perlas. Son casos construidos para aplicar las cinco fuentes, no pacientes reales.</w:t>
      </w:r>
    </w:p>
    <w:p>
      <w:pPr>
        <w:pStyle w:val="Heading2"/>
      </w:pPr>
      <w:r>
        <w:t xml:space="preserve">Caso 1. La clásica que responde bien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PRESENTACIÓN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Mujer de 42 años con 6 semanas de dificultad para subir escaleras y peinarse, eritema violáceo en los párpados, pápulas descamativas sobre los nudillos y eritema en el escote que empeoró tras unas vacaciones en la playa. Sin disnea ni disfagia. Fuerza MRC 4/5 en deltoides e iliopsoas; flexores del cuello 3+/5.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¿Qué pido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CK, aldolasa, AST/ALT, LDH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Confirmar y cuantificar la miopatía; línea de base para el seguimiento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TSH, electrolitos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Excluir mimetizadores tratables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ANA + </w:t>
            </w:r>
            <w:r>
              <w:rPr>
                <w:b/>
                <w:bCs/>
                <w:sz w:val="18"/>
                <w:szCs w:val="18"/>
              </w:rPr>
              <w:t xml:space="preserve">panel de miositis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MSA define el subtipo, el riesgo de cáncer y el pronóstico; el ANA en HEp-2 no basta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Rx de tórax, pruebas funcionales con DLCO (± TACAR)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de EPI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Troponina I, ECG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cardíaco (troponina I, no T)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Preguntar por la deglución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Gravedad y riesgo de aspiración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de cáncer básico (según edad y sexo)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DM es el subtipo de mayor riesgo; hay que estratificar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IGRA, VHB, TPMT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Antes de inmunosuprimir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CK 4,800 U/L (~25× el límite superior), AST y ALT altas.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Anti-Mi-2 positivo</w:t>
      </w:r>
      <w:r>
        <w:t xml:space="preserve"> a título alto; ANA moteado.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Pruebas funcionales y TACAR normales; troponina I normal.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RM: edema bilateral en STIR.</w:t>
      </w:r>
    </w:p>
    <w:p>
      <w:pPr>
        <w:pStyle w:val="Heading3"/>
      </w:pPr>
      <w:r>
        <w:t xml:space="preserve">Diagnóstico</w:t>
      </w:r>
    </w:p>
    <w:p>
      <w:pPr>
        <w:spacing w:after="110" w:line="276"/>
      </w:pPr>
      <w:r>
        <w:t xml:space="preserve">Dermatomiositis clásica anti-Mi-2. Heliotropo, Gottron, signo de la V, CK alta y un MSA típico: </w:t>
      </w:r>
      <w:r>
        <w:rPr>
          <w:b/>
          <w:bCs/>
        </w:rPr>
        <w:t xml:space="preserve">no hace falta biopsia muscular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 EULAR/ACR: edad ≥40 (2.1) + debilidad proximal de MMSS (0.7) y MMII (0.8) + flexores del cuello (1.9) + heliotropo (3.1) + pápulas de Gottron (2.1) + CK (1.3) = 12.0 (definida, &gt;7.5) </w:t>
      </w:r>
      <w:r>
        <w:rPr>
          <w:b w:val="false"/>
          <w:bCs w:val="false"/>
          <w:color w:val="0E5E6F"/>
          <w:sz w:val="17"/>
          <w:szCs w:val="17"/>
        </w:rPr>
        <w:t xml:space="preserve">[Fuera de los 5 artículos]</w:t>
      </w:r>
      <w:r>
        <w:t xml:space="preserve">.</w:t>
      </w:r>
    </w:p>
    <w:p>
      <w:pPr>
        <w:pStyle w:val="Heading3"/>
      </w:pPr>
      <w:r>
        <w:t xml:space="preserve">Tratamiento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Prednisona 0.5–1 mg/kg/día (40–60 mg) y descenso desde ~6 semanas según la respuesta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Metotrexato desde el inicio como ahorrador (no hay EPI)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Fotoprotección FPS &gt;50, tópicos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Ejercicio supervisado; calcio, vitamina D y evaluación ósea; vacunas; TMP-SMX si los GC son altos y prolongados.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PERLAS DEL CASO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El anti-Mi-2 predice </w:t>
            </w:r>
            <w:r>
              <w:rPr>
                <w:b/>
                <w:bCs/>
                <w:sz w:val="19"/>
                <w:szCs w:val="19"/>
              </w:rPr>
              <w:t xml:space="preserve">buena respuesta</w:t>
            </w:r>
            <w:r>
              <w:rPr>
                <w:sz w:val="19"/>
                <w:szCs w:val="19"/>
              </w:rPr>
              <w:t xml:space="preserve"> y menos EPI y calcinosis; su riesgo de cáncer es intermedio en la tabla del NEJM y bajo según la NRR.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En la DM, la CK puede ser normal y no se correlaciona con la fuerza; aquí, con Mi-2, suele ser alta.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El sol desencadena brotes de piel </w:t>
            </w:r>
            <w:r>
              <w:rPr>
                <w:b/>
                <w:bCs/>
                <w:sz w:val="19"/>
                <w:szCs w:val="19"/>
              </w:rPr>
              <w:t xml:space="preserve">y de músculo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Caso 2. Hombre mayor con piel florida y disfagia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PRESENTACIÓN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Hombre de 63 años, fumador, con 3 meses de exantema pruriginoso en placas psoriasiformes, poiquilodermia en la espalda, heliotropo y disfagia progresiva para sólidos y líquidos. Debilidad proximal leve. Perdió 7 kg.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¿Qué pido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Panel de miositis por </w:t>
            </w:r>
            <w:r>
              <w:rPr>
                <w:b/>
                <w:bCs/>
                <w:sz w:val="18"/>
                <w:szCs w:val="18"/>
              </w:rPr>
              <w:t xml:space="preserve">ELISA o inmunoprecipitación</w:t>
            </w:r>
            <w:r>
              <w:rPr>
                <w:sz w:val="18"/>
                <w:szCs w:val="18"/>
              </w:rPr>
              <w:t xml:space="preserve">, si es posible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 sospecha anti-TIF1γ: el LIA da falsos negativos en el 40 % y el dot blot en el 76 %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TC de tórax, abdomen y pelvis</w:t>
            </w:r>
            <w:r>
              <w:rPr>
                <w:sz w:val="18"/>
                <w:szCs w:val="18"/>
              </w:rPr>
              <w:t xml:space="preserve">; marcadores tumorales; considerar PET/CT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Riesgo alto: edad, hombre, disfagia, probable TIF1γ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Endoscopia digestiva, colonoscopia, PSA según la edad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adaptado a la edad y el sexo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Videofluoroscopia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Disfagia orofaríngea: gravedad y riesgo de aspiración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Anti-CCAR1 y anti-Sp4 (si están disponibles)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Modulan el riesgo de cáncer en los TIF1γ positivos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Anti-TIF1γ positivo</w:t>
      </w:r>
      <w:r>
        <w:t xml:space="preserve"> por ELISA; el LIA había salido negativo.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CK 2× el límite superior.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TC: masa pulmonar en el lóbulo superior derecho → adenocarcinoma.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Videofluoroscopia: aspiración silente.</w:t>
      </w:r>
    </w:p>
    <w:p>
      <w:pPr>
        <w:pStyle w:val="Heading3"/>
      </w:pPr>
      <w:r>
        <w:t xml:space="preserve">Diagnóstico</w:t>
      </w:r>
    </w:p>
    <w:p>
      <w:pPr>
        <w:spacing w:after="110" w:line="276"/>
      </w:pPr>
      <w:r>
        <w:t xml:space="preserve">DM asociada a cáncer, anti-TIF1γ (el 50–84 % de los adultos TIF1γ+ desarrolla cáncer)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 Disfagia grave.</w:t>
      </w:r>
    </w:p>
    <w:p>
      <w:pPr>
        <w:pStyle w:val="Heading3"/>
      </w:pPr>
      <w:r>
        <w:t xml:space="preserve">Tratamiento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Tratar el cáncer</w:t>
      </w:r>
      <w:r>
        <w:t xml:space="preserve">: suele mejorar la miositis.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GC + </w:t>
      </w:r>
      <w:r>
        <w:rPr>
          <w:b/>
          <w:bCs/>
        </w:rPr>
        <w:t xml:space="preserve">IGIV precoz</w:t>
      </w:r>
      <w:r>
        <w:t xml:space="preserve"> por la disfagia grave (BSR 2C)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; sonda nasogástrica temporal y fonoaudiología; reevaluar a los 3–6 meses.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Piel refractaria: IGIV, JAKi (valorar con oncología)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el primer tamizaje es negativo, repetirlo periódicamente (IMACS: anual durante 3 años en alto riesgo) </w:t>
      </w:r>
      <w:r>
        <w:rPr>
          <w:b w:val="false"/>
          <w:bCs w:val="false"/>
          <w:color w:val="0E5E6F"/>
          <w:sz w:val="17"/>
          <w:szCs w:val="17"/>
        </w:rPr>
        <w:t xml:space="preserve">[Fuera de los 5 artículos]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PERLAS DEL CASO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TIF1γ en adultos = cáncer hasta demostrar lo contrario; en niños,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Un panel LIA negativo </w:t>
            </w:r>
            <w:r>
              <w:rPr>
                <w:b/>
                <w:bCs/>
                <w:sz w:val="19"/>
                <w:szCs w:val="19"/>
              </w:rPr>
              <w:t xml:space="preserve">no descarta</w:t>
            </w:r>
            <w:r>
              <w:rPr>
                <w:sz w:val="19"/>
                <w:szCs w:val="19"/>
              </w:rPr>
              <w:t xml:space="preserve"> TIF1γ: pedir ELISA o inmunoprecipitación si la clínica es típica.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Señales de alto riesgo: disfagia, necrosis cutánea, refractariedad, inicio rápido, edad avanzada y sexo masculino.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Caso 3. Amiopática con disnea que empeora cada semana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PRESENTACIÓN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Mujer de 38 años con 4 semanas de pápulas dolorosas en los pliegues palmares, úlceras en los nudillos y los pulpejos, alopecia, artralgias y fiebre. Desde hace 10 días tiene disnea progresiva y tos seca. Fuerza normal. SatO2 89 % en reposo.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¿Qué pido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Anti-MDA5</w:t>
            </w:r>
            <w:r>
              <w:rPr>
                <w:sz w:val="18"/>
                <w:szCs w:val="18"/>
              </w:rPr>
              <w:t xml:space="preserve"> (urgente) + panel completo, incluido Ro52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Definir el escenario de EPI-RP y su pronóstico (Ro52 asociado = peor)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Ferritina</w:t>
            </w:r>
            <w:r>
              <w:rPr>
                <w:sz w:val="18"/>
                <w:szCs w:val="18"/>
              </w:rPr>
              <w:t xml:space="preserve">, linfocitos, cociente neutrófilo/linfocito, </w:t>
            </w:r>
            <w:r>
              <w:rPr>
                <w:b/>
                <w:bCs/>
                <w:sz w:val="18"/>
                <w:szCs w:val="18"/>
              </w:rPr>
              <w:t xml:space="preserve">KL-6</w:t>
            </w:r>
            <w:r>
              <w:rPr>
                <w:sz w:val="18"/>
                <w:szCs w:val="18"/>
              </w:rPr>
              <w:t xml:space="preserve">, transaminasas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Marcadores de gravedad y mortalidad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TACAR, pruebas funcionales con DLCO, gases arteriales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Patrón (NO predominante) y gravedad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Descartar infección (cultivos, PCR viral, *Pneumocystis*)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Antes de inmunosuprimir de forma intensiva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CK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Suele ser normal o baja en la MDA5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Anti-MDA5 positivo, </w:t>
      </w:r>
      <w:r>
        <w:rPr>
          <w:b/>
          <w:bCs/>
        </w:rPr>
        <w:t xml:space="preserve">anti-Ro52 positivo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Ferritina 2,400 ng/mL, linfocitos 600/µL, ALT 3× con CK normal.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TACAR: consolidaciones basales y en vidrio esmerilado (patrón de NO/NINE) que progresan en 2 semanas.</w:t>
      </w:r>
    </w:p>
    <w:p>
      <w:pPr>
        <w:pStyle w:val="Heading3"/>
      </w:pPr>
      <w:r>
        <w:t xml:space="preserve">Diagnóstico</w:t>
      </w:r>
    </w:p>
    <w:p>
      <w:pPr>
        <w:spacing w:after="110" w:line="276"/>
      </w:pPr>
      <w:r>
        <w:t xml:space="preserve">DM clínicamente amiopática anti-MDA5 con EPI rápidamente progresiva: mortalidad &gt;50 %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Heading3"/>
      </w:pPr>
      <w:r>
        <w:t xml:space="preserve">Tratamiento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Terapia triple de entrada</w:t>
      </w:r>
      <w:r>
        <w:t xml:space="preserve"> (ACR/CHEST 2023): pulsos de metilprednisolona 500 mg a 1 g × 3 días + </w:t>
      </w:r>
      <w:r>
        <w:rPr>
          <w:b/>
          <w:bCs/>
        </w:rPr>
        <w:t xml:space="preserve">tacrolimus</w:t>
      </w:r>
      <w:r>
        <w:t xml:space="preserve"> 2–3 mg c/12 h (niveles de 4–12 ng/mL) + </w:t>
      </w:r>
      <w:r>
        <w:rPr>
          <w:b/>
          <w:bCs/>
        </w:rPr>
        <w:t xml:space="preserve">tofacitinib</w:t>
      </w:r>
      <w:r>
        <w:t xml:space="preserve"> 5 mg c/12 h; alternativas: ciclofosfamida IV o rituximab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empeora: plasmaféresis con IGIV, hemoperfusión con polimixina B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TMP-SMX</w:t>
      </w:r>
      <w:r>
        <w:t xml:space="preserve"> desde el inicio; vacuna de zóster cuando sea posible (JAKi).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Derivación temprana a trasplante pulmonar</w:t>
      </w:r>
      <w:r>
        <w:t xml:space="preserve">; ECMO como puente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Úlceras: sildenafil o bosentán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PERLAS DEL CASO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Úlceras cutáneas + pápulas palmares = buscar EPI (la úlcera predice EPI)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Hepatitis sin CK alta es típica de la MDA5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La mortalidad se concentra en los primeros meses; la enfermedad tiende a estabilizarse tras ~6 meses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No esperar a que actúe el rituximab: su efecto puede tardar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Caso 4. La "AR seronegativa" que no era 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PRESENTACIÓN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Hombre de 50 años con diagnóstico de AR seronegativa hace 1 año, en tratamiento con metotrexato. Consulta por disnea de esfuerzo progresiva, fisuras hiperqueratósicas en las caras radiales de los índices, Raynaud y febrícula. Debilidad proximal leve.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¿Qué pido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Panel de miositis</w:t>
            </w:r>
            <w:r>
              <w:rPr>
                <w:sz w:val="18"/>
                <w:szCs w:val="18"/>
              </w:rPr>
              <w:t xml:space="preserve"> (anti-ARS + Ro52)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Artritis no erosiva + manos de mecánico + Raynaud + EPI = sospecha de SAS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FR, anti-CCP, Rx de manos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Superposición con AR frente a artritis no erosiva del SAS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TACAR, pruebas funcionales con DLCO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Extensión y patrón de la EPI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CK, RM muscular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Miositis subclínica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Troponina I, ECG ± RM cardíaca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anti-ARS son factor de riesgo de miocarditis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Anti-PL-12 positivo</w:t>
      </w:r>
      <w:r>
        <w:t xml:space="preserve">, anti-Ro52 positivo; FR y anti-CCP negativos.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TACAR: NINE fibrosante.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CK 3× el límite superior.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Rx de manos: sin erosiones.</w:t>
      </w:r>
    </w:p>
    <w:p>
      <w:pPr>
        <w:pStyle w:val="Heading3"/>
      </w:pPr>
      <w:r>
        <w:t xml:space="preserve">Diagnóstico</w:t>
      </w:r>
    </w:p>
    <w:p>
      <w:pPr>
        <w:spacing w:after="110" w:line="276"/>
      </w:pPr>
      <w:r>
        <w:t xml:space="preserve">Síndrome antisintetasa anti-PL-12 con EPI predominante (los no Jo-1 tienen peor pronóstico pulmonar; supervivencia a 10 años del 47 % frente al 70 %)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Heading3"/>
      </w:pPr>
      <w:r>
        <w:t xml:space="preserve">Tratamiento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Suspender el metotrexato</w:t>
      </w:r>
      <w:r>
        <w:t xml:space="preserve"> por la EPI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GC durante 3–6 meses + </w:t>
      </w:r>
      <w:r>
        <w:rPr>
          <w:b/>
          <w:bCs/>
        </w:rPr>
        <w:t xml:space="preserve">micofenolato</w:t>
      </w:r>
      <w:r>
        <w:t xml:space="preserve"> (preferido en ACR/CHEST) o tacrolimus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Artritis con EPI: </w:t>
      </w:r>
      <w:r>
        <w:rPr>
          <w:b/>
          <w:bCs/>
        </w:rPr>
        <w:t xml:space="preserve">leflunomida</w:t>
      </w:r>
      <w:r>
        <w:t xml:space="preserve"> si hace falta un DMARD articular; </w:t>
      </w:r>
      <w:r>
        <w:rPr>
          <w:b/>
          <w:bCs/>
        </w:rPr>
        <w:t xml:space="preserve">rituximab</w:t>
      </w:r>
      <w:r>
        <w:t xml:space="preserve"> si la EPI progresa (el biológico con más evidencia en el SAS)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Progresión pese a la inmunosupresión con criterios de fibrosis pulmonar progresiva: </w:t>
      </w:r>
      <w:r>
        <w:rPr>
          <w:b/>
          <w:bCs/>
        </w:rPr>
        <w:t xml:space="preserve">nintedanib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PERLAS DEL CASO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El SAS puede empezar por la artritis o por la EPI; en ~1/3 nunca aparece miositis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PL-7 y PL-12: EPI precoz y grave con miositis leve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El anti-Ro52 en el SAS aparece sin Ro60 y empeora el pronóstico pulmonar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Si se sospecha anti-OJ y el LIA es negativo, pedir inmunoprecipitación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Caso 5. Debilidad que no mejora al suspender la estatina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PRESENTACIÓN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Hombre de 66 años con atorvastatina desde hace 4 años. Desde hace 3 meses tiene debilidad proximal grave en las cinturas pélvica y escapular, sin piel ni disnea. Suspendieron la estatina hace 8 semanas y empeoró. CK 9,500 U/L.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¿Qué pido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Anti-HMGCR</w:t>
            </w:r>
            <w:r>
              <w:rPr>
                <w:sz w:val="18"/>
                <w:szCs w:val="18"/>
              </w:rPr>
              <w:t xml:space="preserve"> y anti-SRP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Diferenciar la MNIM de la miotoxicidad por estatina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RM pélvica y de muslos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Actividad (STIR) frente a daño (T1); elegir el sitio de biopsia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Biopsia muscular (si hay duda o seronegatividad)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Necrosis con poca inflamación, MAC y p62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TSH, electrolitos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Mimetizadores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Tamizaje de cáncer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MNIM anti-HMGCR: riesgo intermedio o controvertido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Troponina I, ECG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Corazón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Anti-HMGCR positivo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RM: edema pelvifemoral con algo de grasa en los glúteos.</w:t>
      </w:r>
    </w:p>
    <w:p>
      <w:pPr>
        <w:pStyle w:val="Heading3"/>
      </w:pPr>
      <w:r>
        <w:t xml:space="preserve">Diagnóstico</w:t>
      </w:r>
    </w:p>
    <w:p>
      <w:pPr>
        <w:spacing w:after="110" w:line="276"/>
      </w:pPr>
      <w:r>
        <w:t xml:space="preserve">MNIM anti-HMGCR asociada a estatinas: la miotoxicidad simple mejora al suspender; esta persiste o progresa.</w:t>
      </w:r>
    </w:p>
    <w:p>
      <w:pPr>
        <w:pStyle w:val="Heading3"/>
      </w:pPr>
      <w:r>
        <w:t xml:space="preserve">Tratamiento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GC a dosis altas + </w:t>
      </w:r>
      <w:r>
        <w:rPr>
          <w:b/>
          <w:bCs/>
        </w:rPr>
        <w:t xml:space="preserve">metotrexato</w:t>
      </w:r>
      <w:r>
        <w:t xml:space="preserve"> + </w:t>
      </w:r>
      <w:r>
        <w:rPr>
          <w:b/>
          <w:bCs/>
        </w:rPr>
        <w:t xml:space="preserve">IGIV</w:t>
      </w:r>
      <w:r>
        <w:t xml:space="preserve"> (anti-HMGCR)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Refractaria: rituximab; plasmaféresis en casos extremos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Prohibir las estatinas</w:t>
      </w:r>
      <w:r>
        <w:t xml:space="preserve"> y las estatinas dietéticas (arroz de levadura roja, hongos con pravastatina)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 Para el riesgo cardiovascular, usar otras estrategias hipolipemiantes </w:t>
      </w:r>
      <w:r>
        <w:rPr>
          <w:b w:val="false"/>
          <w:bCs w:val="false"/>
          <w:color w:val="0E5E6F"/>
          <w:sz w:val="17"/>
          <w:szCs w:val="17"/>
        </w:rPr>
        <w:t xml:space="preserve">[Fuera de los 5 artículos: ezetimiba o inhibidores de PCSK9]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Rehabilitación precoz.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PERLAS DEL CASO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Los mayores expuestos a estatinas tienen </w:t>
            </w:r>
            <w:r>
              <w:rPr>
                <w:b/>
                <w:bCs/>
                <w:sz w:val="19"/>
                <w:szCs w:val="19"/>
              </w:rPr>
              <w:t xml:space="preserve">mejor pronóstico</w:t>
            </w:r>
            <w:r>
              <w:rPr>
                <w:sz w:val="19"/>
                <w:szCs w:val="19"/>
              </w:rPr>
              <w:t xml:space="preserve"> que los jóvenes sin exposición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HLA-DRB1*11:01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Tratar tarde deja grasa irreversible: el pronóstico es funcional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Caso 6. Joven con debilidad brutal y palpitaciones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PRESENTACIÓN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Mujer de 27 años, de origen asiático, con 6 semanas de debilidad proximal grave (no puede levantarse del suelo), disfagia y palpitaciones. Sin piel. CK 18,000 U/L.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¿Qué pido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Anti-SRP</w:t>
            </w:r>
            <w:r>
              <w:rPr>
                <w:sz w:val="18"/>
                <w:szCs w:val="18"/>
              </w:rPr>
              <w:t xml:space="preserve">, anti-HMGCR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MNIM; en &lt;30 años, la seropositividad ayuda a distinguirla de una miopatía genética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Troponina I, NT-proBNP, ECG, Holter, ecocardiograma → RM cardíaca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anti-SRP se asocia a trastornos de ritmo, de conducción e insuficiencia cardíaca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Videofluoroscopia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Disfagia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Pruebas funcionales y TACAR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EPI leve frecuente con SRP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 es seronegativa: biopsia ± estudio genético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Disferlinopatía y otras distrofias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Anti-SRP positivo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Troponina I elevada; RM cardíaca con realce tardío.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Videofluoroscopia: penetración laríngea.</w:t>
      </w:r>
    </w:p>
    <w:p>
      <w:pPr>
        <w:pStyle w:val="Heading3"/>
      </w:pPr>
      <w:r>
        <w:t xml:space="preserve">Diagnóstico</w:t>
      </w:r>
    </w:p>
    <w:p>
      <w:pPr>
        <w:spacing w:after="110" w:line="276"/>
      </w:pPr>
      <w:r>
        <w:t xml:space="preserve">MNIM anti-SRP con miocarditis y disfagia.</w:t>
      </w:r>
    </w:p>
    <w:p>
      <w:pPr>
        <w:pStyle w:val="Heading3"/>
      </w:pPr>
      <w:r>
        <w:t xml:space="preserve">Tratamiento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Pulsos de GC + IGIV + </w:t>
      </w:r>
      <w:r>
        <w:rPr>
          <w:b/>
          <w:bCs/>
        </w:rPr>
        <w:t xml:space="preserve">rituximab</w:t>
      </w:r>
      <w:r>
        <w:t xml:space="preserve"> (anti-SRP) ± metotrexato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Miocarditis: tratamiento cardiológico + inmunosupresión; considerar anakinra si es refractaria; ECMO como rescate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Disfagia: IGIV, fonoaudiología, sonda nasogástrica temporal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Plasmaféresis en casos extremos; CAR-T en refractarios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PERLAS DEL CASO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SRP: más grave que HMGCR, más inflamación y más frecuente en asiáticos y minorías étnicas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Troponina I, no T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Una MNIM seronegativa obliga a buscar cáncer (riesgo alto) y una miopatía genética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Caso 7. El que se cae y no puede cerrar el puño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PRESENTACIÓN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Hombre de 69 años con 4 años de caídas frecuentes ("se le doblan las rodillas"), dificultad para abotonarse y para agarrar herramientas, y disfagia ocasional. Atrofia asimétrica de cuádriceps y del antebrazo. CK 3× el límite superior. Recibió prednisona 6 meses sin mejoría.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¿Qué pido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RM de muslos y antebrazos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Patrón típico: cuádriceps (respeta el recto femoral) y flexores profundos de los dedos; fascia ondulante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EMG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Patrón miopático (a veces mixto) y elección del sitio de biopsia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Biopsia muscular obligatoria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Toda MCI requiere biopsia: inflamación endomisial CD8, fibras vacuoladas o tunelizadas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Anti-cN1A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Apoyo; no específico (Sjögren, LES)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Videofluoroscopia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Disfagia (hasta el 80 %)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Biopsia: inflamación endomisial densa, fibras con vacuolas ribeteadas.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Anti-cN1A positivo.</w:t>
      </w:r>
    </w:p>
    <w:p>
      <w:pPr>
        <w:pStyle w:val="Heading3"/>
      </w:pPr>
      <w:r>
        <w:t xml:space="preserve">Diagnóstico</w:t>
      </w:r>
    </w:p>
    <w:p>
      <w:pPr>
        <w:spacing w:after="110" w:line="276"/>
      </w:pPr>
      <w:r>
        <w:t xml:space="preserve">Miositis por cuerpos de inclusión.</w:t>
      </w:r>
    </w:p>
    <w:p>
      <w:pPr>
        <w:pStyle w:val="Heading3"/>
      </w:pPr>
      <w:r>
        <w:t xml:space="preserve">Tratamiento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Suspender los GC</w:t>
      </w:r>
      <w:r>
        <w:t xml:space="preserve">: no sirven y pueden empeorar; tampoco la IGIV ni el metotrexato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Fisioterapia y ejercicio, prevención de caídas, ortesis, fonoaudiología.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Disfagia grave por barra cricofaríngea: dilatación, toxina botulínica o miotomía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Ofrecer ensayos clínicos (sirolimus fase 3, anti-KLRG1) </w:t>
      </w:r>
      <w:r>
        <w:rPr>
          <w:b w:val="false"/>
          <w:bCs w:val="false"/>
          <w:color w:val="0E5E6F"/>
          <w:sz w:val="17"/>
          <w:szCs w:val="17"/>
        </w:rPr>
        <w:t xml:space="preserve">[NEJM 2026]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PERLAS DEL CASO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Asimetría + cuádriceps + flexores de los dedos + &gt;50 años + hombre = MCI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La falta de respuesta a GC sugiere MCI o miopatía genética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Suele necesitar ayuda para caminar a los ~10 años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Caso 8. Niño con nódulos duros y dolor abdominal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PRESENTACIÓN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Niño de 8 años con DM juvenil diagnosticada hace 2 años, con tratamiento irregular. Presenta nódulos duros en codos y rodillas que drenan material blanquecino, debilidad persistente y, desde hace 1 semana, dolor abdominal y melena.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¿Qué pido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Rx simple de partes blandas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Detectar calcinosis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Anti-NXP2</w:t>
            </w:r>
            <w:r>
              <w:rPr>
                <w:sz w:val="18"/>
                <w:szCs w:val="18"/>
              </w:rPr>
              <w:t xml:space="preserve"> (panel)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Calcinosis + vasculopatía digestiva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TC abdominal urgente</w:t>
            </w:r>
            <w:r>
              <w:rPr>
                <w:sz w:val="18"/>
                <w:szCs w:val="18"/>
              </w:rPr>
              <w:t xml:space="preserve">, cirugía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Descartar perforación (80 % en una serie con NXP2)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Capilaroscopía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densidad capilar periungueal refleja actividad sistémica en niños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Pruebas funcionales con DLCO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Rutina en la juvenil (BSR 1B)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buscar cáncer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juvenil no se asocia a cáncer (BSR 1B)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Calcinosis en Rx; </w:t>
      </w:r>
      <w:r>
        <w:rPr>
          <w:b/>
          <w:bCs/>
        </w:rPr>
        <w:t xml:space="preserve">anti-NXP2 positivo</w:t>
      </w:r>
      <w:r>
        <w:t xml:space="preserve">; TC: neumatosis y engrosamiento yeyunal sin perforación libre.</w:t>
      </w:r>
    </w:p>
    <w:p>
      <w:pPr>
        <w:pStyle w:val="Heading3"/>
      </w:pPr>
      <w:r>
        <w:t xml:space="preserve">Diagnóstico</w:t>
      </w:r>
    </w:p>
    <w:p>
      <w:pPr>
        <w:spacing w:after="110" w:line="276"/>
      </w:pPr>
      <w:r>
        <w:t xml:space="preserve">DM juvenil anti-NXP2 con calcinosis y vasculopatía intestinal.</w:t>
      </w:r>
    </w:p>
    <w:p>
      <w:pPr>
        <w:pStyle w:val="Heading3"/>
      </w:pPr>
      <w:r>
        <w:t xml:space="preserve">Tratamiento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Intensificar: pulsos de metilprednisolona 30 mg/kg (máximo 1 g) + metotrexato; IGIV; considerar rituximab o JAKi </w:t>
      </w:r>
      <w:r>
        <w:rPr>
          <w:b w:val="false"/>
          <w:bCs w:val="false"/>
          <w:color w:val="0E5E6F"/>
          <w:sz w:val="17"/>
          <w:szCs w:val="17"/>
        </w:rPr>
        <w:t xml:space="preserve">[BSR 2022]</w:t>
      </w:r>
      <w:r>
        <w:t xml:space="preserve">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Vasculopatía intestinal: se han usado vedolizumab, infliximab, rituximab y JAKi </w:t>
      </w:r>
      <w:r>
        <w:rPr>
          <w:b w:val="false"/>
          <w:bCs w:val="false"/>
          <w:color w:val="0E5E6F"/>
          <w:sz w:val="17"/>
          <w:szCs w:val="17"/>
        </w:rPr>
        <w:t xml:space="preserve">[NRR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Calcinosis: tiosulfato de sodio tópico, bisfosfonatos, calcioantagonistas; cirugía si comprime </w:t>
      </w:r>
      <w:r>
        <w:rPr>
          <w:b w:val="false"/>
          <w:bCs w:val="false"/>
          <w:color w:val="0E5E6F"/>
          <w:sz w:val="17"/>
          <w:szCs w:val="17"/>
        </w:rPr>
        <w:t xml:space="preserve">[CTOR 2025]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Manejo por reumatología pediátrica (BSR 1C).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PERLAS DEL CASO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El retraso diagnóstico o terapéutico y la enfermedad prolongada aumentan la calcinosis; hay que escalar pronto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TIF1γ y NXP2 en niños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implican cáncer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El anti-TIF1γ es el MSA más frecuente en la DM juvenil; el NXP2, el de más calcinosis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Caso 9. Mimetizadores: no todo lo que es débil es miositis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F2F2" w:sz="4"/>
              <w:left w:val="single" w:color="7A848C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848C"/>
                <w:sz w:val="18"/>
                <w:szCs w:val="18"/>
              </w:rPr>
              <w:t xml:space="preserve">PRESENTACIÓN</w:t>
            </w:r>
          </w:p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Tres escenarios rápidos para practicar el diagnóstico diferencial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¿Qué pido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Estudio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A. Mujer de 45 años con debilidad proximal, ptosis vespertina, diplopía y CK normal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¿Fatigabilidad? Anti-AChR (80–90 % en la generalizada); estimulación repetitiva (descenso del CMAP)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B. Mujer de 55 años con debilidad proximal, CK 1,200, constipación, piel seca, bradicardia, reflejos lentos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TSH: el hipotiroidismo eleva la CK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C. Paciente con DM tratada con prednisona 60 mg durante 3 meses, CK normalizada, más débil de las caderas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Miopatía esteroidea: CK normal, RM sin edema, atrofia de fibras tipo II; reducir el GC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</w:p>
        </w:tc>
      </w:tr>
      <w:tr>
        <w:tc>
          <w:tcPr>
            <w:tcW w:type="dxa" w:w="33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D. Hombre de 24 años con "polimiositis" refractaria, CK 3,000, sin MSA, historia familiar</w:t>
            </w:r>
          </w:p>
        </w:tc>
        <w:tc>
          <w:tcPr>
            <w:tcW w:type="dxa" w:w="67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Biopsia y estudio genético: disferlinopatía o FSHD (pueden tener inflamación)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A: anti-AChR positivo → miastenia. B: TSH 48 → miopatía hipotiroidea. C: RM sin edema → miopatía esteroidea. D: déficit de disferlina → distrofia.</w:t>
      </w:r>
    </w:p>
    <w:p>
      <w:pPr>
        <w:pStyle w:val="Heading3"/>
      </w:pPr>
      <w:r>
        <w:t xml:space="preserve">Diagnóstico</w:t>
      </w:r>
    </w:p>
    <w:p>
      <w:pPr>
        <w:spacing w:after="110" w:line="276"/>
      </w:pPr>
      <w:r>
        <w:t xml:space="preserve">Cuatro mimetizadores frecuentes de MII.</w:t>
      </w:r>
    </w:p>
    <w:p>
      <w:pPr>
        <w:pStyle w:val="Heading3"/>
      </w:pPr>
      <w:r>
        <w:t xml:space="preserve">Tratamiento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Tratar la causa: inhibidores de colinesterasa y neurología (A); levotiroxina (B); bajar el GC y rehabilitar (C); asesoría genética, sin inmunosupresión (D).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EAF8" w:sz="4"/>
              <w:left w:val="single" w:color="5B47A8" w:sz="24"/>
              <w:bottom w:val="single" w:color="EEEAF8" w:sz="4"/>
              <w:right w:val="single" w:color="EEEAF8" w:sz="4"/>
            </w:tcBorders>
            <w:shd w:fill="EE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47A8"/>
                <w:sz w:val="18"/>
                <w:szCs w:val="18"/>
              </w:rPr>
              <w:t xml:space="preserve">PERLAS DEL CASO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Antes de etiquetar una "polimiositis", excluir siempre fármacos, tiroides, electrolitos, infecciones y causas genéticas.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La PM es hoy un diagnóstico de exclusión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La fatigabilidad, la ptosis y los reflejos anormales orientan a lo neurológico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[AFP 2020]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16. Discrepancias entre fuentes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8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dice cada fuente</w:t>
            </w:r>
          </w:p>
        </w:tc>
        <w:tc>
          <w:tcPr>
            <w:tcW w:type="dxa" w:w="3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responder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CK en la DM</w:t>
            </w:r>
          </w:p>
        </w:tc>
        <w:tc>
          <w:tcPr>
            <w:tcW w:type="dxa" w:w="4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NEJM: 1–10×, puede ser normal. AFP: &gt;10×</w:t>
            </w:r>
          </w:p>
        </w:tc>
        <w:tc>
          <w:tcPr>
            <w:tcW w:type="dxa" w:w="3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Variable; en la DM no se correlaciona con la fuerza; anti-Mi-2 la eleva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Títulos de anticuerpos</w:t>
            </w:r>
          </w:p>
        </w:tc>
        <w:tc>
          <w:tcPr>
            <w:tcW w:type="dxa" w:w="4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BSR: no usarlos para monitorear. NRR: MDA5, SRP y HMGCR se correlacionan con la actividad en algunas series</w:t>
            </w:r>
          </w:p>
        </w:tc>
        <w:tc>
          <w:tcPr>
            <w:tcW w:type="dxa" w:w="3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usarlos de rutina; posible utilidad en MDA5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Antimaláricos en la piel de la DM</w:t>
            </w:r>
          </w:p>
        </w:tc>
        <w:tc>
          <w:tcPr>
            <w:tcW w:type="dxa" w:w="4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Guías: tópicos + antimalárico. CTOR: poca eficacia y reacciones frecuentes</w:t>
            </w:r>
          </w:p>
        </w:tc>
        <w:tc>
          <w:tcPr>
            <w:tcW w:type="dxa" w:w="3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Opción con cautela; vigilar la toxicidad cutánea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Abatacept</w:t>
            </w:r>
          </w:p>
        </w:tc>
        <w:tc>
          <w:tcPr>
            <w:tcW w:type="dxa" w:w="4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BSR 2022: considerar en refractarios (2B). CTOR 2025: fase III de 148 pacientes negativa</w:t>
            </w:r>
          </w:p>
        </w:tc>
        <w:tc>
          <w:tcPr>
            <w:tcW w:type="dxa" w:w="3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Evidencia actual en contra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Riesgo de cáncer con Mi-2</w:t>
            </w:r>
          </w:p>
        </w:tc>
        <w:tc>
          <w:tcPr>
            <w:tcW w:type="dxa" w:w="4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NEJM: intermedio. NRR: menor que la DM sin Mi-2</w:t>
            </w:r>
          </w:p>
        </w:tc>
        <w:tc>
          <w:tcPr>
            <w:tcW w:type="dxa" w:w="3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Intermedio o bajo; tamizar según edad y factores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Prevalencia de anticuerpos</w:t>
            </w:r>
          </w:p>
        </w:tc>
        <w:tc>
          <w:tcPr>
            <w:tcW w:type="dxa" w:w="4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NEJM: ~70 %. NRR: 50–70 %</w:t>
            </w:r>
          </w:p>
        </w:tc>
        <w:tc>
          <w:tcPr>
            <w:tcW w:type="dxa" w:w="3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50–70 %</w:t>
            </w:r>
          </w:p>
        </w:tc>
      </w:tr>
      <w:tr>
        <w:tc>
          <w:tcPr>
            <w:tcW w:type="dxa" w:w="22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EULAR/ACR 2017</w:t>
            </w:r>
          </w:p>
        </w:tc>
        <w:tc>
          <w:tcPr>
            <w:tcW w:type="dxa" w:w="48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Ampliamente usados, pero solo con anti-Jo-1; en revisión</w:t>
            </w:r>
          </w:p>
        </w:tc>
        <w:tc>
          <w:tcPr>
            <w:tcW w:type="dxa" w:w="30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Conocer la estructura y sus limitaciones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17. Autoevaluación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2231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¿Cuáles son los cinco subgrupos actuales de MII?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MCI, MNIM, SAS, miositis de superposición y DM. La PM es un diagnóstico de exclusión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¿Qué tres anticuerpos explican más del 90 % de los SAS?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Jo-1, PL-7 y PL-12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¿Qué anticuerpo da DM amiopática con EPI-RP y úlceras?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Anti-MDA5; mortalidad &gt;50 % con EPI-RP; Ro52 asociado la empeora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¿Cuáles son los anticuerpos de alto riesgo de cáncer en adultos?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TIF1γ y NXP2; además la DM seronegativa &gt;40 años y la MNIM seronegativa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¿Por qué un LIA negativo no descarta TIF1γ?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Epítopo conformacional: 40 % de falsos negativos con LIA y 76 % con dot blot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¿Qué troponina se usa y por qué?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I; la T puede venir del músculo esquelético en regeneración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[BSR 2022]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¿Cuándo es obligatoria la biopsia muscular?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Sin MSA y en toda sospecha de MCI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¿Cuál es el único tratamiento aprobado para la DM con base en un ensayo fase 3?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IGIV (ProDERM)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MNIM anti-HMGCR frente a anti-SRP: ¿qué se añade a GC + metotrexato?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HMGCR: IGIV. SRP: rituximab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¿Qué DMARD evitar en la EPI y qué usar para la artritis en ese caso?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Evitar metotrexato (neumonitis); usar leflunomida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¿Cuál es el inmunosupresor preferido en la primera línea de la EPI (ACR/CHEST)?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Micofenolato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¿Qué esquema se usa en la EPI-RP con MDA5?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Terapia triple de entrada: GC + CNI + JAKi, ciclofosfamida o rituximab; TMP-SMX; derivación temprana a trasplante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¿Cuáles son los signos de falla diafragmática?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Hipercapnia, CVF &lt;50 % sin EPI, caída &gt;20 % de la CVF en supino; tratar con GC + IGIV + CNI y VNI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[CTOR 2025]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¿Se busca cáncer en la DM juvenil?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de rutina (BSR 1B).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¿Qué sugiere la falta de respuesta a GC?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MCI o miopatía genética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¿Cuál es la mortalidad de las MII en el primer año?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~10 %, por cáncer y causas respiratorias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¿Qué dos anticuerpos acompañan a TIF1γ y reducen el riesgo de cáncer?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CCAR1 y Sp4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[NRR 2025]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¿Cuál es la supervivencia a 10 años del SAS con Jo-1 frente a sin Jo-1?</w:t>
            </w:r>
          </w:p>
        </w:tc>
        <w:tc>
          <w:tcPr>
            <w:tcW w:type="dxa" w:w="5480"/>
            <w:tcBorders>
              <w:top w:val="single" w:color="C9D1D8" w:sz="4"/>
              <w:left w:val="single" w:color="C9D1D8" w:sz="4"/>
              <w:bottom w:val="single" w:color="C9D1D8" w:sz="4"/>
              <w:right w:val="single" w:color="C9D1D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70 % frente a 47 % </w:t>
            </w:r>
            <w:r>
              <w:rPr>
                <w:b w:val="false"/>
                <w:bCs w:val="false"/>
                <w:color w:val="0E5E6F"/>
                <w:sz w:val="17"/>
                <w:szCs w:val="17"/>
              </w:rPr>
              <w:t xml:space="preserve">[NEJM 2026]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18. Referencias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Allenbach Y, Benveniste O. Inflammatory Myopathies. N Engl J Med 2026;394:1925-38. doi:10.1056/NEJMra2415426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Allameen NA, Ramos-Lisbona AI, Wedderburn LR, Lundberg IE, Isenberg DA. An update on autoantibodies in the idiopathic inflammatory myopathies. Nat Rev Rheumatol 2025;21:46-62. doi:10.1038/s41584-024-01188-4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Selva-O’Callaghan A, Trallero-Araguás E, Gil-Vila A, Matas-Garcia A, Edo C, Milisenda J, Pinal-Fernández I. Treatment Algorithms for Inflammatory Myopathies in Adults: from Guidelines to Clinical Practice. Curr Treat Options Rheum 2025;11:21. doi:10.1007/s40674-025-00239-5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Oldroyd AGS, Lilleker JB, Amin T, et al. British Society for Rheumatology guideline on management of paediatric, adolescent and adult patients with idiopathic inflammatory myopathy. Rheumatology 2022;61:1760-8. doi:10.1093/rheumatology/keac115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Larson ST, Wilbur J. Muscle Weakness in Adults: Evaluation and Differential Diagnosis. Am Fam Physician 2020;101(2):95-108.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Complementaria citada como </w:t>
      </w:r>
      <w:r>
        <w:rPr>
          <w:b w:val="false"/>
          <w:bCs w:val="false"/>
          <w:color w:val="0E5E6F"/>
          <w:sz w:val="17"/>
          <w:szCs w:val="17"/>
        </w:rPr>
        <w:t xml:space="preserve">[Fuera de los 5 artículos]</w:t>
      </w:r>
      <w:r>
        <w:t xml:space="preserve">: Lundberg IE, et al. 2017 EULAR/ACR classification criteria for adult and juvenile idiopathic inflammatory myopathies. Ann Rheum Dis 2017;76:1955-64. Oldroyd AGS, et al. International Guideline for IIM-Associated Cancer Screening (IMACS). Nat Rev Rheumatol 2023;19:805-17.</w:t>
      </w:r>
    </w:p>
    <w:p>
      <w:pPr>
        <w:spacing w:after="110" w:line="276"/>
      </w:pPr>
      <w:r>
        <w:rPr>
          <w:i/>
          <w:iCs/>
          <w:color w:val="5B6770"/>
          <w:sz w:val="18"/>
          <w:szCs w:val="18"/>
        </w:rPr>
        <w:t xml:space="preserve">Material de estudio. No sustituye el juicio clínico ni las guías locales.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Miopatías inflamatorias idiopáticas · Revisión para fellow de reumatología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Georgia" w:cs="Georgia" w:eastAsia="Georgia" w:hAnsi="Georgia"/>
      <w:b/>
      <w:bCs/>
      <w:color w:val="7A1F3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0E5E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22313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Miopatías inflamatorias idiopáticas</dc:title>
  <dc:creator>Revisión de estudio</dc:creator>
  <dc:description>Revisión integral basada en 5 artículos</dc:description>
  <cp:lastModifiedBy>Un-named</cp:lastModifiedBy>
  <cp:revision>1</cp:revision>
  <dcterms:created xsi:type="dcterms:W3CDTF">2026-10-13T18:15:04.380Z</dcterms:created>
  <dcterms:modified xsi:type="dcterms:W3CDTF">2026-10-13T18:15:04.380Z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