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03059" w14:textId="104378F4" w:rsidR="005D1D70" w:rsidRDefault="00000000">
      <w:pPr>
        <w:jc w:val="center"/>
        <w:rPr>
          <w:b/>
          <w:bCs/>
          <w:sz w:val="24"/>
          <w:szCs w:val="24"/>
        </w:rPr>
      </w:pPr>
      <w:r>
        <w:rPr>
          <w:b/>
          <w:bCs/>
          <w:sz w:val="24"/>
          <w:szCs w:val="24"/>
        </w:rPr>
        <w:t>Complicaciones mayores y mortalidad intrahospitalaria según el tipo de cirugía cardíaca en pacientes Testigos de Jehová: cohorte retrospectiva en Barranquilla, 2020–2025</w:t>
      </w:r>
    </w:p>
    <w:p w14:paraId="068B94A3" w14:textId="77777777" w:rsidR="005D1D70" w:rsidRDefault="005D1D70">
      <w:pPr>
        <w:rPr>
          <w:b/>
          <w:bCs/>
          <w:sz w:val="24"/>
          <w:szCs w:val="24"/>
        </w:rPr>
      </w:pPr>
    </w:p>
    <w:p w14:paraId="33D1DD93" w14:textId="77777777" w:rsidR="005D1D70" w:rsidRDefault="005D1D70">
      <w:pPr>
        <w:rPr>
          <w:b/>
          <w:bCs/>
          <w:sz w:val="24"/>
          <w:szCs w:val="24"/>
        </w:rPr>
      </w:pPr>
    </w:p>
    <w:p w14:paraId="152E1843" w14:textId="77777777" w:rsidR="005D1D70" w:rsidRDefault="005D1D70">
      <w:pPr>
        <w:rPr>
          <w:b/>
          <w:bCs/>
          <w:sz w:val="24"/>
          <w:szCs w:val="24"/>
        </w:rPr>
      </w:pPr>
    </w:p>
    <w:p w14:paraId="24657D3C" w14:textId="77777777" w:rsidR="005D1D70" w:rsidRDefault="005D1D70">
      <w:pPr>
        <w:rPr>
          <w:b/>
          <w:bCs/>
          <w:sz w:val="24"/>
          <w:szCs w:val="24"/>
        </w:rPr>
      </w:pPr>
    </w:p>
    <w:p w14:paraId="648237CB" w14:textId="77777777" w:rsidR="005D1D70" w:rsidRDefault="005D1D70">
      <w:pPr>
        <w:rPr>
          <w:b/>
          <w:bCs/>
          <w:sz w:val="24"/>
          <w:szCs w:val="24"/>
        </w:rPr>
      </w:pPr>
    </w:p>
    <w:p w14:paraId="72A34E25" w14:textId="77777777" w:rsidR="005D1D70" w:rsidRDefault="005D1D70">
      <w:pPr>
        <w:rPr>
          <w:b/>
          <w:bCs/>
          <w:sz w:val="24"/>
          <w:szCs w:val="24"/>
        </w:rPr>
      </w:pPr>
    </w:p>
    <w:p w14:paraId="7DF9D4C1" w14:textId="77777777" w:rsidR="005D1D70" w:rsidRDefault="005D1D70">
      <w:pPr>
        <w:rPr>
          <w:b/>
          <w:bCs/>
          <w:sz w:val="24"/>
          <w:szCs w:val="24"/>
        </w:rPr>
      </w:pPr>
    </w:p>
    <w:p w14:paraId="7463DEEE" w14:textId="77777777" w:rsidR="005D1D70" w:rsidRDefault="005D1D70">
      <w:pPr>
        <w:jc w:val="center"/>
        <w:rPr>
          <w:b/>
          <w:bCs/>
          <w:sz w:val="24"/>
          <w:szCs w:val="24"/>
        </w:rPr>
      </w:pPr>
    </w:p>
    <w:p w14:paraId="366C432D" w14:textId="77777777" w:rsidR="005D1D70" w:rsidRDefault="00000000">
      <w:pPr>
        <w:spacing w:after="0"/>
        <w:jc w:val="center"/>
        <w:rPr>
          <w:b/>
          <w:bCs/>
          <w:sz w:val="24"/>
          <w:szCs w:val="24"/>
        </w:rPr>
      </w:pPr>
      <w:r>
        <w:rPr>
          <w:b/>
          <w:bCs/>
          <w:sz w:val="24"/>
          <w:szCs w:val="24"/>
        </w:rPr>
        <w:t>Autores:</w:t>
      </w:r>
    </w:p>
    <w:p w14:paraId="0B51209D" w14:textId="1406DFBE" w:rsidR="0070336B" w:rsidRDefault="0070336B">
      <w:pPr>
        <w:spacing w:after="0"/>
        <w:jc w:val="center"/>
        <w:rPr>
          <w:b/>
          <w:bCs/>
          <w:sz w:val="24"/>
          <w:szCs w:val="24"/>
        </w:rPr>
      </w:pPr>
      <w:r>
        <w:rPr>
          <w:b/>
          <w:bCs/>
          <w:sz w:val="24"/>
          <w:szCs w:val="24"/>
        </w:rPr>
        <w:t xml:space="preserve">Daily Daniela Torres Villazon </w:t>
      </w:r>
    </w:p>
    <w:p w14:paraId="61845E3F" w14:textId="4F5B953F" w:rsidR="0070336B" w:rsidRDefault="0070336B">
      <w:pPr>
        <w:spacing w:after="0"/>
        <w:jc w:val="center"/>
        <w:rPr>
          <w:b/>
          <w:bCs/>
          <w:sz w:val="24"/>
          <w:szCs w:val="24"/>
        </w:rPr>
      </w:pPr>
      <w:r>
        <w:rPr>
          <w:b/>
          <w:bCs/>
          <w:sz w:val="24"/>
          <w:szCs w:val="24"/>
        </w:rPr>
        <w:t>Nestor Fabian Sanabria Duarte</w:t>
      </w:r>
    </w:p>
    <w:p w14:paraId="5A7F5536" w14:textId="77777777" w:rsidR="0070336B" w:rsidRDefault="0070336B">
      <w:pPr>
        <w:spacing w:after="0"/>
        <w:jc w:val="center"/>
        <w:rPr>
          <w:b/>
          <w:bCs/>
          <w:sz w:val="24"/>
          <w:szCs w:val="24"/>
        </w:rPr>
      </w:pPr>
    </w:p>
    <w:p w14:paraId="160BA451" w14:textId="77777777" w:rsidR="005D1D70" w:rsidRDefault="005D1D70">
      <w:pPr>
        <w:rPr>
          <w:b/>
          <w:bCs/>
          <w:sz w:val="24"/>
          <w:szCs w:val="24"/>
        </w:rPr>
      </w:pPr>
    </w:p>
    <w:p w14:paraId="57AB7158" w14:textId="77777777" w:rsidR="005D1D70" w:rsidRDefault="005D1D70">
      <w:pPr>
        <w:rPr>
          <w:b/>
          <w:bCs/>
          <w:sz w:val="24"/>
          <w:szCs w:val="24"/>
        </w:rPr>
      </w:pPr>
    </w:p>
    <w:p w14:paraId="0412BB8E" w14:textId="6A3048E7" w:rsidR="005D1D70" w:rsidRDefault="005D1D70">
      <w:pPr>
        <w:rPr>
          <w:b/>
          <w:bCs/>
          <w:sz w:val="24"/>
          <w:szCs w:val="24"/>
        </w:rPr>
      </w:pPr>
    </w:p>
    <w:p w14:paraId="5DB1E005" w14:textId="77777777" w:rsidR="005D1D70" w:rsidRDefault="005D1D70">
      <w:pPr>
        <w:rPr>
          <w:b/>
          <w:bCs/>
          <w:sz w:val="24"/>
          <w:szCs w:val="24"/>
        </w:rPr>
      </w:pPr>
    </w:p>
    <w:p w14:paraId="0BEC0AD1" w14:textId="77777777" w:rsidR="005D1D70" w:rsidRDefault="00000000">
      <w:pPr>
        <w:rPr>
          <w:b/>
          <w:bCs/>
          <w:sz w:val="24"/>
          <w:szCs w:val="24"/>
        </w:rPr>
      </w:pPr>
      <w:r>
        <w:rPr>
          <w:noProof/>
        </w:rPr>
        <w:drawing>
          <wp:anchor distT="0" distB="0" distL="114300" distR="114300" simplePos="0" relativeHeight="251664384" behindDoc="0" locked="0" layoutInCell="1" hidden="0" allowOverlap="1" wp14:anchorId="27B4228F" wp14:editId="449E998C">
            <wp:simplePos x="0" y="0"/>
            <wp:positionH relativeFrom="column">
              <wp:posOffset>2597040</wp:posOffset>
            </wp:positionH>
            <wp:positionV relativeFrom="paragraph">
              <wp:posOffset>50800</wp:posOffset>
            </wp:positionV>
            <wp:extent cx="848931" cy="832144"/>
            <wp:effectExtent l="0" t="0" r="0" b="0"/>
            <wp:wrapNone/>
            <wp:docPr id="7" name="image2.jpg" descr="http://www.universitarios.co/wp-content/uploads/2012/04/libre-barranquilla-logo.jpg"/>
            <wp:cNvGraphicFramePr/>
            <a:graphic xmlns:a="http://schemas.openxmlformats.org/drawingml/2006/main">
              <a:graphicData uri="http://schemas.openxmlformats.org/drawingml/2006/picture">
                <pic:pic xmlns:pic="http://schemas.openxmlformats.org/drawingml/2006/picture">
                  <pic:nvPicPr>
                    <pic:cNvPr id="0" name="image2.jpg" descr="http://www.universitarios.co/wp-content/uploads/2012/04/libre-barranquilla-logo.jpg"/>
                    <pic:cNvPicPr preferRelativeResize="0"/>
                  </pic:nvPicPr>
                  <pic:blipFill>
                    <a:blip r:embed="rId8"/>
                    <a:srcRect/>
                    <a:stretch>
                      <a:fillRect/>
                    </a:stretch>
                  </pic:blipFill>
                  <pic:spPr>
                    <a:xfrm>
                      <a:off x="0" y="0"/>
                      <a:ext cx="848931" cy="832144"/>
                    </a:xfrm>
                    <a:prstGeom prst="rect">
                      <a:avLst/>
                    </a:prstGeom>
                    <a:ln/>
                  </pic:spPr>
                </pic:pic>
              </a:graphicData>
            </a:graphic>
          </wp:anchor>
        </w:drawing>
      </w:r>
    </w:p>
    <w:p w14:paraId="7967B616" w14:textId="77777777" w:rsidR="005D1D70" w:rsidRDefault="005D1D70">
      <w:pPr>
        <w:rPr>
          <w:b/>
          <w:bCs/>
          <w:sz w:val="24"/>
          <w:szCs w:val="24"/>
        </w:rPr>
      </w:pPr>
    </w:p>
    <w:p w14:paraId="1AC152BF" w14:textId="77777777" w:rsidR="005D1D70" w:rsidRDefault="005D1D70">
      <w:pPr>
        <w:spacing w:after="0"/>
        <w:jc w:val="center"/>
        <w:rPr>
          <w:b/>
          <w:bCs/>
          <w:sz w:val="24"/>
          <w:szCs w:val="24"/>
        </w:rPr>
      </w:pPr>
    </w:p>
    <w:p w14:paraId="05901A52" w14:textId="77777777" w:rsidR="005D1D70" w:rsidRDefault="00000000">
      <w:pPr>
        <w:spacing w:after="0"/>
        <w:jc w:val="center"/>
        <w:rPr>
          <w:b/>
          <w:bCs/>
          <w:sz w:val="24"/>
          <w:szCs w:val="24"/>
        </w:rPr>
      </w:pPr>
      <w:r>
        <w:rPr>
          <w:b/>
          <w:bCs/>
          <w:sz w:val="24"/>
          <w:szCs w:val="24"/>
        </w:rPr>
        <w:t>UNIVERSIDAD LIBRE SECCIONAL BARRANQUILLA</w:t>
      </w:r>
    </w:p>
    <w:p w14:paraId="044E605C" w14:textId="77777777" w:rsidR="005D1D70" w:rsidRDefault="00000000">
      <w:pPr>
        <w:spacing w:after="0"/>
        <w:jc w:val="center"/>
        <w:rPr>
          <w:b/>
          <w:bCs/>
          <w:sz w:val="24"/>
          <w:szCs w:val="24"/>
        </w:rPr>
      </w:pPr>
      <w:r>
        <w:rPr>
          <w:b/>
          <w:bCs/>
          <w:sz w:val="24"/>
          <w:szCs w:val="24"/>
        </w:rPr>
        <w:t>FACULTAD DE CIENCIAS DE LA SALUD, EXACTAS Y NATURALES</w:t>
      </w:r>
    </w:p>
    <w:p w14:paraId="4DD34F1C" w14:textId="77777777" w:rsidR="005D1D70" w:rsidRDefault="00000000">
      <w:pPr>
        <w:spacing w:after="0"/>
        <w:jc w:val="center"/>
        <w:rPr>
          <w:b/>
          <w:bCs/>
          <w:sz w:val="24"/>
          <w:szCs w:val="24"/>
        </w:rPr>
      </w:pPr>
      <w:r>
        <w:rPr>
          <w:b/>
          <w:bCs/>
          <w:sz w:val="24"/>
          <w:szCs w:val="24"/>
        </w:rPr>
        <w:t>ESPECIALIZACIÓN EN MEDICINA INTERNA</w:t>
      </w:r>
    </w:p>
    <w:p w14:paraId="3E8ECD06" w14:textId="77777777" w:rsidR="005D1D70" w:rsidRDefault="00000000">
      <w:pPr>
        <w:spacing w:after="0"/>
        <w:jc w:val="center"/>
        <w:rPr>
          <w:b/>
          <w:bCs/>
          <w:sz w:val="24"/>
          <w:szCs w:val="24"/>
        </w:rPr>
      </w:pPr>
      <w:r>
        <w:rPr>
          <w:b/>
          <w:bCs/>
          <w:sz w:val="24"/>
          <w:szCs w:val="24"/>
        </w:rPr>
        <w:t>Barranquilla – Colombia</w:t>
      </w:r>
    </w:p>
    <w:p w14:paraId="075C2F95" w14:textId="77777777" w:rsidR="005D1D70" w:rsidRDefault="00000000">
      <w:pPr>
        <w:spacing w:after="0"/>
        <w:jc w:val="center"/>
        <w:rPr>
          <w:b/>
          <w:bCs/>
          <w:sz w:val="24"/>
          <w:szCs w:val="24"/>
        </w:rPr>
      </w:pPr>
      <w:r>
        <w:rPr>
          <w:b/>
          <w:bCs/>
          <w:sz w:val="24"/>
          <w:szCs w:val="24"/>
        </w:rPr>
        <w:t>2026</w:t>
      </w:r>
    </w:p>
    <w:p w14:paraId="47C5FD3F" w14:textId="77777777" w:rsidR="0070336B" w:rsidRDefault="0070336B">
      <w:pPr>
        <w:spacing w:after="0"/>
        <w:jc w:val="center"/>
        <w:rPr>
          <w:b/>
          <w:bCs/>
          <w:sz w:val="24"/>
          <w:szCs w:val="24"/>
        </w:rPr>
      </w:pPr>
    </w:p>
    <w:p w14:paraId="769A16C8" w14:textId="77777777" w:rsidR="005D1D70" w:rsidRDefault="00000000">
      <w:pPr>
        <w:spacing w:after="0"/>
        <w:jc w:val="center"/>
        <w:rPr>
          <w:b/>
          <w:bCs/>
          <w:sz w:val="24"/>
          <w:szCs w:val="24"/>
        </w:rPr>
      </w:pPr>
      <w:r>
        <w:rPr>
          <w:b/>
          <w:bCs/>
          <w:sz w:val="24"/>
          <w:szCs w:val="24"/>
        </w:rPr>
        <w:lastRenderedPageBreak/>
        <w:t>Complicaciones mayores y mortalidad intrahospitalaria según el tipo de cirugía cardiaca en pacientes Testigos de Jehová: cohorte retrospectiva en Barranquilla, 2020–2025</w:t>
      </w:r>
    </w:p>
    <w:p w14:paraId="2315C73A" w14:textId="77777777" w:rsidR="005D1D70" w:rsidRDefault="005D1D70">
      <w:pPr>
        <w:rPr>
          <w:b/>
          <w:bCs/>
          <w:sz w:val="24"/>
          <w:szCs w:val="24"/>
        </w:rPr>
      </w:pPr>
    </w:p>
    <w:p w14:paraId="39F3E650" w14:textId="77777777" w:rsidR="005D1D70" w:rsidRDefault="005D1D70">
      <w:pPr>
        <w:rPr>
          <w:b/>
          <w:bCs/>
          <w:sz w:val="24"/>
          <w:szCs w:val="24"/>
        </w:rPr>
      </w:pPr>
    </w:p>
    <w:p w14:paraId="5CD76679" w14:textId="77777777" w:rsidR="005D1D70" w:rsidRDefault="00000000">
      <w:pPr>
        <w:spacing w:after="0"/>
        <w:jc w:val="center"/>
        <w:rPr>
          <w:b/>
          <w:bCs/>
          <w:sz w:val="24"/>
          <w:szCs w:val="24"/>
        </w:rPr>
      </w:pPr>
      <w:r>
        <w:rPr>
          <w:b/>
          <w:bCs/>
          <w:sz w:val="24"/>
          <w:szCs w:val="24"/>
        </w:rPr>
        <w:t>Autores:</w:t>
      </w:r>
    </w:p>
    <w:p w14:paraId="1A19DE01" w14:textId="77777777" w:rsidR="0070336B" w:rsidRDefault="0070336B" w:rsidP="0070336B">
      <w:pPr>
        <w:spacing w:after="0"/>
        <w:jc w:val="center"/>
        <w:rPr>
          <w:b/>
          <w:bCs/>
          <w:sz w:val="24"/>
          <w:szCs w:val="24"/>
        </w:rPr>
      </w:pPr>
      <w:r>
        <w:rPr>
          <w:b/>
          <w:bCs/>
          <w:sz w:val="24"/>
          <w:szCs w:val="24"/>
        </w:rPr>
        <w:t xml:space="preserve">Daily Daniela Torres Villazon </w:t>
      </w:r>
    </w:p>
    <w:p w14:paraId="59584B09" w14:textId="1226170E" w:rsidR="005D1D70" w:rsidRDefault="0070336B" w:rsidP="0070336B">
      <w:pPr>
        <w:spacing w:after="0"/>
        <w:jc w:val="center"/>
        <w:rPr>
          <w:b/>
          <w:bCs/>
          <w:sz w:val="24"/>
          <w:szCs w:val="24"/>
        </w:rPr>
      </w:pPr>
      <w:r>
        <w:rPr>
          <w:b/>
          <w:bCs/>
          <w:sz w:val="24"/>
          <w:szCs w:val="24"/>
        </w:rPr>
        <w:t>Nestor Fabian Sanabria Duarte</w:t>
      </w:r>
    </w:p>
    <w:p w14:paraId="295754DE" w14:textId="77777777" w:rsidR="0070336B" w:rsidRDefault="0070336B" w:rsidP="0070336B">
      <w:pPr>
        <w:spacing w:after="0"/>
        <w:jc w:val="center"/>
        <w:rPr>
          <w:b/>
          <w:bCs/>
          <w:sz w:val="24"/>
          <w:szCs w:val="24"/>
        </w:rPr>
      </w:pPr>
    </w:p>
    <w:p w14:paraId="2B437FE6" w14:textId="77777777" w:rsidR="005D1D70" w:rsidRDefault="00000000">
      <w:pPr>
        <w:spacing w:after="0"/>
        <w:jc w:val="center"/>
        <w:rPr>
          <w:sz w:val="24"/>
          <w:szCs w:val="24"/>
        </w:rPr>
      </w:pPr>
      <w:r>
        <w:rPr>
          <w:sz w:val="24"/>
          <w:szCs w:val="24"/>
        </w:rPr>
        <w:t>Anteproyecto de trabajo de grado presentado como requisito parcial para optar por el título de:</w:t>
      </w:r>
    </w:p>
    <w:p w14:paraId="578E560C" w14:textId="77777777" w:rsidR="005D1D70" w:rsidRDefault="00000000">
      <w:pPr>
        <w:spacing w:after="0"/>
        <w:jc w:val="center"/>
        <w:rPr>
          <w:b/>
          <w:bCs/>
          <w:sz w:val="24"/>
          <w:szCs w:val="24"/>
        </w:rPr>
      </w:pPr>
      <w:r>
        <w:rPr>
          <w:b/>
          <w:bCs/>
          <w:sz w:val="24"/>
          <w:szCs w:val="24"/>
        </w:rPr>
        <w:t>ESPECIALISTA EN MEDICINA INTERNA</w:t>
      </w:r>
    </w:p>
    <w:p w14:paraId="1B91FB75" w14:textId="77777777" w:rsidR="005D1D70" w:rsidRDefault="005D1D70">
      <w:pPr>
        <w:rPr>
          <w:b/>
          <w:bCs/>
          <w:sz w:val="24"/>
          <w:szCs w:val="24"/>
        </w:rPr>
      </w:pPr>
    </w:p>
    <w:p w14:paraId="4A688774" w14:textId="77777777" w:rsidR="005D1D70" w:rsidRDefault="005D1D70">
      <w:pPr>
        <w:rPr>
          <w:b/>
          <w:bCs/>
          <w:sz w:val="24"/>
          <w:szCs w:val="24"/>
        </w:rPr>
      </w:pPr>
    </w:p>
    <w:p w14:paraId="27213FB7" w14:textId="7E728D27" w:rsidR="005D1D70" w:rsidRDefault="00000000">
      <w:pPr>
        <w:spacing w:after="0"/>
        <w:jc w:val="center"/>
        <w:rPr>
          <w:b/>
          <w:bCs/>
          <w:sz w:val="24"/>
          <w:szCs w:val="24"/>
        </w:rPr>
      </w:pPr>
      <w:r>
        <w:rPr>
          <w:b/>
          <w:bCs/>
          <w:sz w:val="24"/>
          <w:szCs w:val="24"/>
        </w:rPr>
        <w:t>Asesora metodológica:</w:t>
      </w:r>
    </w:p>
    <w:p w14:paraId="2690E062" w14:textId="1ED68C00" w:rsidR="00EB34DB" w:rsidRDefault="00EB34DB">
      <w:pPr>
        <w:spacing w:after="0"/>
        <w:jc w:val="center"/>
        <w:rPr>
          <w:b/>
          <w:bCs/>
          <w:sz w:val="24"/>
          <w:szCs w:val="24"/>
        </w:rPr>
      </w:pPr>
      <w:r>
        <w:rPr>
          <w:b/>
          <w:bCs/>
          <w:sz w:val="24"/>
          <w:szCs w:val="24"/>
        </w:rPr>
        <w:t xml:space="preserve">Evelyn Mendoza Torres, PhD. </w:t>
      </w:r>
    </w:p>
    <w:p w14:paraId="1E3E52D6" w14:textId="77777777" w:rsidR="005D1D70" w:rsidRDefault="005D1D70">
      <w:pPr>
        <w:jc w:val="center"/>
        <w:rPr>
          <w:b/>
          <w:bCs/>
          <w:sz w:val="24"/>
          <w:szCs w:val="24"/>
        </w:rPr>
      </w:pPr>
    </w:p>
    <w:p w14:paraId="471EFCF0" w14:textId="22935B98" w:rsidR="0070336B" w:rsidRDefault="0070336B">
      <w:pPr>
        <w:jc w:val="center"/>
        <w:rPr>
          <w:b/>
          <w:bCs/>
          <w:sz w:val="24"/>
          <w:szCs w:val="24"/>
        </w:rPr>
      </w:pPr>
      <w:r>
        <w:rPr>
          <w:b/>
          <w:bCs/>
          <w:sz w:val="24"/>
          <w:szCs w:val="24"/>
        </w:rPr>
        <w:t>Asesores científicos :</w:t>
      </w:r>
    </w:p>
    <w:p w14:paraId="2F72CD10" w14:textId="77777777" w:rsidR="0070336B" w:rsidRPr="0070336B" w:rsidRDefault="0070336B" w:rsidP="0070336B">
      <w:pPr>
        <w:spacing w:line="240" w:lineRule="auto"/>
        <w:jc w:val="center"/>
        <w:rPr>
          <w:b/>
          <w:bCs/>
          <w:sz w:val="24"/>
          <w:szCs w:val="24"/>
        </w:rPr>
      </w:pPr>
      <w:r>
        <w:rPr>
          <w:b/>
          <w:bCs/>
          <w:sz w:val="24"/>
          <w:szCs w:val="24"/>
        </w:rPr>
        <w:t>Carlos Alberto Danetra Novoa</w:t>
      </w:r>
    </w:p>
    <w:p w14:paraId="6231B427" w14:textId="77777777" w:rsidR="0070336B" w:rsidRPr="0070336B" w:rsidRDefault="0070336B" w:rsidP="0070336B">
      <w:pPr>
        <w:spacing w:line="240" w:lineRule="auto"/>
        <w:jc w:val="center"/>
        <w:rPr>
          <w:sz w:val="24"/>
          <w:szCs w:val="24"/>
        </w:rPr>
      </w:pPr>
      <w:r>
        <w:rPr>
          <w:sz w:val="24"/>
          <w:szCs w:val="24"/>
        </w:rPr>
        <w:t>Especialista en Medicina Interna</w:t>
      </w:r>
    </w:p>
    <w:p w14:paraId="534A018E" w14:textId="1B63242C" w:rsidR="0070336B" w:rsidRDefault="0070336B" w:rsidP="0070336B">
      <w:pPr>
        <w:spacing w:line="240" w:lineRule="auto"/>
        <w:jc w:val="center"/>
        <w:rPr>
          <w:sz w:val="24"/>
          <w:szCs w:val="24"/>
        </w:rPr>
      </w:pPr>
      <w:r>
        <w:rPr>
          <w:sz w:val="24"/>
          <w:szCs w:val="24"/>
        </w:rPr>
        <w:t>Especialista en Medicina Crítica y Cuidados Intensivos</w:t>
      </w:r>
    </w:p>
    <w:p w14:paraId="5CAE038A" w14:textId="77777777" w:rsidR="0070336B" w:rsidRPr="0070336B" w:rsidRDefault="0070336B" w:rsidP="0070336B">
      <w:pPr>
        <w:spacing w:line="240" w:lineRule="auto"/>
        <w:jc w:val="center"/>
        <w:rPr>
          <w:sz w:val="24"/>
          <w:szCs w:val="24"/>
        </w:rPr>
      </w:pPr>
    </w:p>
    <w:p w14:paraId="592A82B2" w14:textId="77777777" w:rsidR="0070336B" w:rsidRPr="0070336B" w:rsidRDefault="0070336B" w:rsidP="0070336B">
      <w:pPr>
        <w:jc w:val="center"/>
        <w:rPr>
          <w:b/>
          <w:bCs/>
          <w:sz w:val="24"/>
          <w:szCs w:val="24"/>
        </w:rPr>
      </w:pPr>
      <w:r>
        <w:rPr>
          <w:b/>
          <w:bCs/>
          <w:sz w:val="24"/>
          <w:szCs w:val="24"/>
        </w:rPr>
        <w:t>Edward Lozano Herrera</w:t>
      </w:r>
    </w:p>
    <w:p w14:paraId="57FCA3D2" w14:textId="4EE4C5E6" w:rsidR="005D1D70" w:rsidRPr="0070336B" w:rsidRDefault="0070336B" w:rsidP="0070336B">
      <w:pPr>
        <w:jc w:val="center"/>
        <w:rPr>
          <w:sz w:val="24"/>
          <w:szCs w:val="24"/>
        </w:rPr>
      </w:pPr>
      <w:r>
        <w:rPr>
          <w:sz w:val="24"/>
          <w:szCs w:val="24"/>
        </w:rPr>
        <w:t>Especialista en Cirugía Cardiovascular</w:t>
      </w:r>
    </w:p>
    <w:p>
      <w:pPr>
        <w:spacing w:after="0"/>
        <w:jc w:val="center"/>
      </w:pPr>
      <w:r>
        <w:rPr>
          <w:color w:val="000000"/>
          <w:sz w:val="20"/>
          <w:szCs w:val="20"/>
          <w:highlight w:val="yellow"/>
        </w:rPr>
        <w:t xml:space="preserve">Versión 2.0 – octubre de 2026. Ajustada según las observaciones del Comité de Bioética en Investigación de la Clínica General del Norte (8 de octubre de 2026). Ajustes resaltados en amarillo.</w:t>
      </w:r>
    </w:p>
    <w:p w14:paraId="74EC1DE3" w14:textId="77777777" w:rsidR="005D1D70" w:rsidRDefault="00000000">
      <w:pPr>
        <w:spacing w:after="0"/>
        <w:jc w:val="center"/>
        <w:rPr>
          <w:b/>
          <w:bCs/>
          <w:sz w:val="24"/>
          <w:szCs w:val="24"/>
        </w:rPr>
      </w:pPr>
      <w:r>
        <w:rPr>
          <w:b/>
          <w:bCs/>
          <w:sz w:val="24"/>
          <w:szCs w:val="24"/>
        </w:rPr>
        <w:t>UNIVERSIDAD LIBRE SECCIONAL BARRANQUILLA</w:t>
      </w:r>
    </w:p>
    <w:p w14:paraId="21438B1F" w14:textId="77777777" w:rsidR="005D1D70" w:rsidRDefault="00000000">
      <w:pPr>
        <w:spacing w:after="0"/>
        <w:jc w:val="center"/>
        <w:rPr>
          <w:b/>
          <w:bCs/>
          <w:sz w:val="24"/>
          <w:szCs w:val="24"/>
        </w:rPr>
      </w:pPr>
      <w:r>
        <w:rPr>
          <w:b/>
          <w:bCs/>
          <w:sz w:val="24"/>
          <w:szCs w:val="24"/>
        </w:rPr>
        <w:t>FACULTAD DE CIENCIAS DE LA SALUD, EXACTAS Y NATURALES</w:t>
      </w:r>
    </w:p>
    <w:p w14:paraId="373CEF44" w14:textId="77777777" w:rsidR="005D1D70" w:rsidRDefault="00000000">
      <w:pPr>
        <w:spacing w:after="0"/>
        <w:jc w:val="center"/>
        <w:rPr>
          <w:b/>
          <w:bCs/>
          <w:sz w:val="24"/>
          <w:szCs w:val="24"/>
        </w:rPr>
      </w:pPr>
      <w:r>
        <w:rPr>
          <w:b/>
          <w:bCs/>
          <w:sz w:val="24"/>
          <w:szCs w:val="24"/>
        </w:rPr>
        <w:t>ESPECIALIZACIÓN EN MEDICINA INTERNA</w:t>
      </w:r>
    </w:p>
    <w:p w14:paraId="37B3D6B9" w14:textId="77777777" w:rsidR="005D1D70" w:rsidRDefault="00000000">
      <w:pPr>
        <w:spacing w:after="0"/>
        <w:jc w:val="center"/>
        <w:rPr>
          <w:b/>
          <w:bCs/>
          <w:sz w:val="24"/>
          <w:szCs w:val="24"/>
        </w:rPr>
      </w:pPr>
      <w:r>
        <w:rPr>
          <w:b/>
          <w:bCs/>
          <w:sz w:val="24"/>
          <w:szCs w:val="24"/>
        </w:rPr>
        <w:t>Barranquilla – Colombia</w:t>
      </w:r>
    </w:p>
    <w:p w14:paraId="09415AF1" w14:textId="77777777" w:rsidR="005D1D70" w:rsidRDefault="00000000">
      <w:pPr>
        <w:spacing w:after="0"/>
        <w:jc w:val="center"/>
        <w:rPr>
          <w:b/>
          <w:bCs/>
          <w:sz w:val="24"/>
          <w:szCs w:val="24"/>
        </w:rPr>
      </w:pPr>
      <w:r>
        <w:rPr>
          <w:b/>
          <w:bCs/>
          <w:sz w:val="24"/>
          <w:szCs w:val="24"/>
        </w:rPr>
        <w:t>2026</w:t>
      </w:r>
    </w:p>
    <w:p w14:paraId="47DF88C3" w14:textId="2E2087CE" w:rsidR="005D1D70" w:rsidRDefault="005D1D70">
      <w:pPr>
        <w:rPr>
          <w:b/>
          <w:bCs/>
          <w:sz w:val="24"/>
          <w:szCs w:val="24"/>
        </w:rPr>
      </w:pPr>
    </w:p>
    <w:p w14:paraId="658E8DC9" w14:textId="4E4250CC" w:rsidR="005D1D70" w:rsidRDefault="00000000">
      <w:pPr>
        <w:pStyle w:val="Ttulo1"/>
        <w:spacing w:before="0"/>
        <w:ind w:left="357"/>
        <w:jc w:val="center"/>
        <w:rPr>
          <w:rFonts w:ascii="Calibri" w:eastAsia="Calibri" w:hAnsi="Calibri" w:cs="Calibri"/>
          <w:color w:val="000000"/>
        </w:rPr>
      </w:pPr>
      <w:bookmarkStart w:id="0" w:name="_heading=h.37yiawion5vn" w:colFirst="0" w:colLast="0"/>
      <w:bookmarkEnd w:id="0"/>
      <w:r>
        <w:rPr>
          <w:rFonts w:ascii="Calibri" w:eastAsia="Calibri" w:hAnsi="Calibri" w:cs="Calibri"/>
          <w:color w:val="000000"/>
        </w:rPr>
        <w:t>RESUMEN</w:t>
      </w:r>
    </w:p>
    <w:p w14:paraId="28E235E8" w14:textId="7B3A18D8" w:rsidR="0044299D" w:rsidRDefault="00000000">
      <w:pPr>
        <w:spacing w:after="160"/>
        <w:jc w:val="both"/>
      </w:pPr>
      <w:r>
        <w:rPr>
          <w:b/>
          <w:bCs/>
          <w:color w:val="000000"/>
          <w:sz w:val="24"/>
          <w:szCs w:val="24"/>
        </w:rPr>
        <w:t>Introducción:</w:t>
      </w:r>
      <w:r>
        <w:rPr>
          <w:color w:val="000000"/>
          <w:sz w:val="24"/>
          <w:szCs w:val="24"/>
        </w:rPr>
        <w:t xml:space="preserve"> Los pacientes Testigos de Jehová que rechazan la transfusión de glóbulos rojos y requieren cirugía cardíaca mayor dependen de estrategias de manejo de la sangre del paciente. La evidencia internacional, observacional y procedente de centros especializados no muestra diferencias significativas en mortalidad temprana frente a pacientes que aceptan transfusión, pero tampoco demuestra equivalencia, y no existen datos institucionales publicados en el Caribe colombiano.</w:t>
      </w:r>
    </w:p>
    <w:p w14:paraId="093ACF9D" w14:textId="0E59E09D" w:rsidR="0044299D" w:rsidRDefault="00000000">
      <w:pPr>
        <w:spacing w:after="160"/>
        <w:jc w:val="both"/>
      </w:pPr>
      <w:r>
        <w:rPr>
          <w:b/>
          <w:bCs/>
          <w:color w:val="000000"/>
          <w:sz w:val="24"/>
          <w:szCs w:val="24"/>
        </w:rPr>
        <w:t>Objetivo:</w:t>
      </w:r>
      <w:r>
        <w:rPr>
          <w:color w:val="000000"/>
          <w:sz w:val="24"/>
          <w:szCs w:val="24"/>
        </w:rPr>
        <w:t xml:space="preserve"> Estimar la frecuencia de complicación mayor o de muerte intrahospitalaria y describir los desenlaces según el tipo de cirugía (revascularización coronaria, cirugía valvular o combinada) en adultos Testigos de Jehová con rechazo transfusional documentado, operados en la Clínica General del Norte de Barranquilla entre 2020 y 2025.</w:t>
      </w:r>
    </w:p>
    <w:p w14:paraId="303B74B5" w14:textId="14304B4D" w:rsidR="0044299D" w:rsidRDefault="00000000">
      <w:pPr>
        <w:spacing w:after="160"/>
        <w:jc w:val="both"/>
      </w:pPr>
      <w:r>
        <w:rPr>
          <w:b/>
          <w:bCs/>
          <w:color w:val="000000"/>
          <w:sz w:val="24"/>
          <w:szCs w:val="24"/>
        </w:rPr>
        <w:t>Metodología:</w:t>
      </w:r>
      <w:r>
        <w:rPr>
          <w:color w:val="000000"/>
          <w:sz w:val="24"/>
          <w:szCs w:val="24"/>
        </w:rPr>
        <w:t xml:space="preserve"> Cohorte retrospectiva institucional de tipo censal a partir de historias clínicas electrónicas. El desenlace primario es un compuesto de muerte, accidente cerebrovascular, shock cardiogénico, lesión renal aguda estadio 2 o 3, ventilación prolongada o reintubación, infección grave y reintervención. Se estimarán proporciones con intervalos de confianza del 95 % (método de Wilson), tanto globalmente como por tipo de cirugía; las comparaciones entre procedimientos serán exploratorias. Se describirán el riesgo quirúrgico basal (EuroSCORE II), el perfil de aceptación de alternativas, las estrategias de conservación sanguínea y la evolución de la hemoglobina, incluida la anemia posoperatoria grave.</w:t>
      </w:r>
    </w:p>
    <w:p w14:paraId="73F8FFD8" w14:textId="77777777" w:rsidR="0044299D" w:rsidRDefault="00000000">
      <w:pPr>
        <w:spacing w:after="160"/>
        <w:jc w:val="both"/>
      </w:pPr>
      <w:r>
        <w:rPr>
          <w:b/>
          <w:bCs/>
          <w:color w:val="000000"/>
          <w:sz w:val="24"/>
          <w:szCs w:val="24"/>
        </w:rPr>
        <w:t>Resultados esperados:</w:t>
      </w:r>
      <w:r>
        <w:rPr>
          <w:color w:val="000000"/>
          <w:sz w:val="24"/>
          <w:szCs w:val="24"/>
        </w:rPr>
        <w:t xml:space="preserve"> Una caracterización institucional de la morbimortalidad y de las prácticas de conservación sanguínea que sirva de línea de base para mejorar los protocolos locales de manejo de la sangre del paciente.</w:t>
      </w:r>
    </w:p>
    <w:p w14:paraId="327BF53C" w14:textId="77777777" w:rsidR="0044299D" w:rsidRDefault="00000000">
      <w:pPr>
        <w:spacing w:after="160"/>
        <w:jc w:val="both"/>
      </w:pPr>
      <w:r>
        <w:rPr>
          <w:b/>
          <w:bCs/>
          <w:color w:val="000000"/>
          <w:sz w:val="24"/>
          <w:szCs w:val="24"/>
        </w:rPr>
        <w:t>Palabras clave (DeCS):</w:t>
      </w:r>
      <w:r>
        <w:rPr>
          <w:color w:val="000000"/>
          <w:sz w:val="24"/>
          <w:szCs w:val="24"/>
        </w:rPr>
        <w:t xml:space="preserve"> Testigos de Jehová; Procedimientos Quirúrgicos Cardíacos; Procedimientos Médicos y Quirúrgicos sin Sangre; Anemia; Complicaciones Posoperatorias; Mortalidad Hospitalaria.</w:t>
      </w:r>
    </w:p>
    <w:p w14:paraId="587BCAB3" w14:textId="77777777" w:rsidR="0044299D" w:rsidRDefault="0044299D">
      <w:pPr>
        <w:spacing w:after="120"/>
        <w:jc w:val="both"/>
      </w:pPr>
    </w:p>
    <w:p w14:paraId="78B1C089" w14:textId="77777777" w:rsidR="00EB34DB" w:rsidRDefault="00EB34DB">
      <w:pPr>
        <w:spacing w:after="120"/>
        <w:jc w:val="both"/>
      </w:pPr>
    </w:p>
    <w:p w14:paraId="2EB42D77" w14:textId="77777777" w:rsidR="00EB34DB" w:rsidRDefault="00EB34DB">
      <w:pPr>
        <w:spacing w:after="120"/>
        <w:jc w:val="both"/>
      </w:pPr>
    </w:p>
    <w:p w14:paraId="4355F4F3" w14:textId="77777777" w:rsidR="00EB34DB" w:rsidRDefault="00EB34DB">
      <w:pPr>
        <w:spacing w:after="120"/>
        <w:jc w:val="both"/>
      </w:pPr>
    </w:p>
    <w:p w14:paraId="2AAFC415" w14:textId="77777777" w:rsidR="00EB34DB" w:rsidRDefault="00EB34DB">
      <w:pPr>
        <w:spacing w:after="120"/>
        <w:jc w:val="both"/>
      </w:pPr>
    </w:p>
    <w:p w14:paraId="50E55224" w14:textId="77777777" w:rsidR="00EB34DB" w:rsidRDefault="00EB34DB">
      <w:pPr>
        <w:spacing w:after="120"/>
        <w:jc w:val="both"/>
      </w:pPr>
    </w:p>
    <w:p w14:paraId="24799E1B" w14:textId="77777777" w:rsidR="00EB34DB" w:rsidRDefault="00EB34DB">
      <w:pPr>
        <w:spacing w:after="120"/>
        <w:jc w:val="both"/>
      </w:pPr>
    </w:p>
    <w:p w14:paraId="016F6306" w14:textId="29368E42" w:rsidR="00EB34DB" w:rsidRPr="00EB34DB" w:rsidRDefault="00EB34DB" w:rsidP="00EB34DB">
      <w:pPr>
        <w:spacing w:after="120"/>
        <w:jc w:val="center"/>
        <w:rPr>
          <w:b/>
          <w:bCs/>
          <w:sz w:val="28"/>
          <w:szCs w:val="28"/>
        </w:rPr>
      </w:pPr>
      <w:r>
        <w:rPr>
          <w:b/>
          <w:bCs/>
          <w:color w:val="000000"/>
          <w:sz w:val="28"/>
          <w:szCs w:val="28"/>
        </w:rPr>
        <w:t>ABSTRACT</w:t>
      </w:r>
    </w:p>
    <w:p w14:paraId="201C0EF2" w14:textId="77777777" w:rsidR="0044299D" w:rsidRDefault="00000000">
      <w:pPr>
        <w:spacing w:after="160"/>
        <w:jc w:val="both"/>
      </w:pPr>
      <w:r>
        <w:rPr>
          <w:b/>
          <w:bCs/>
          <w:color w:val="000000"/>
          <w:sz w:val="24"/>
          <w:szCs w:val="24"/>
        </w:rPr>
        <w:t>Background:</w:t>
      </w:r>
      <w:r>
        <w:rPr>
          <w:color w:val="000000"/>
          <w:sz w:val="24"/>
          <w:szCs w:val="24"/>
        </w:rPr>
        <w:t xml:space="preserve"> Jehovah’s Witness patients who decline red blood cell transfusion and require major cardiac surgery depend on patient blood management strategies. International evidence, observational and derived from specialized centers, shows no significant differences in early mortality compared with patients who accept transfusion, but it does not demonstrate equivalence, and no institutional data have been published from the Colombian Caribbean region.</w:t>
      </w:r>
    </w:p>
    <w:p w14:paraId="6F760C30" w14:textId="77777777" w:rsidR="0044299D" w:rsidRDefault="00000000">
      <w:pPr>
        <w:spacing w:after="160"/>
        <w:jc w:val="both"/>
      </w:pPr>
      <w:r>
        <w:rPr>
          <w:b/>
          <w:bCs/>
          <w:color w:val="000000"/>
          <w:sz w:val="24"/>
          <w:szCs w:val="24"/>
        </w:rPr>
        <w:t>Objective:</w:t>
      </w:r>
      <w:r>
        <w:rPr>
          <w:color w:val="000000"/>
          <w:sz w:val="24"/>
          <w:szCs w:val="24"/>
        </w:rPr>
        <w:t xml:space="preserve"> To estimate the frequency of major complication or in-hospital death and to describe outcomes by type of surgery (coronary artery bypass grafting, valve surgery or combined surgery) in adult Jehovah’s Witnesses with documented transfusion refusal operated on at Clínica General del Norte, Barranquilla, between 2020 and 2025.</w:t>
      </w:r>
    </w:p>
    <w:p w14:paraId="1EBE8912" w14:textId="77777777" w:rsidR="0044299D" w:rsidRDefault="00000000">
      <w:pPr>
        <w:spacing w:after="160"/>
        <w:jc w:val="both"/>
      </w:pPr>
      <w:r>
        <w:rPr>
          <w:b/>
          <w:bCs/>
          <w:color w:val="000000"/>
          <w:sz w:val="24"/>
          <w:szCs w:val="24"/>
        </w:rPr>
        <w:t>Methods:</w:t>
      </w:r>
      <w:r>
        <w:rPr>
          <w:color w:val="000000"/>
          <w:sz w:val="24"/>
          <w:szCs w:val="24"/>
        </w:rPr>
        <w:t xml:space="preserve"> Retrospective institutional census cohort based on electronic health records. The primary outcome is a composite of death, stroke, cardiogenic shock, stage 2–3 acute kidney injury, prolonged ventilation or reintubation, severe infection and reoperation. Proportions with 95% Wilson confidence intervals will be estimated overall and by type of surgery; comparisons between procedures will be exploratory. Baseline surgical risk (EuroSCORE II), acceptance profile, blood conservation strategies and hemoglobin trajectory, including severe postoperative anemia, will be described.</w:t>
      </w:r>
    </w:p>
    <w:p w14:paraId="0E9D4624" w14:textId="77777777" w:rsidR="0044299D" w:rsidRDefault="00000000">
      <w:pPr>
        <w:spacing w:after="160"/>
        <w:jc w:val="both"/>
      </w:pPr>
      <w:r>
        <w:rPr>
          <w:b/>
          <w:bCs/>
          <w:color w:val="000000"/>
          <w:sz w:val="24"/>
          <w:szCs w:val="24"/>
        </w:rPr>
        <w:t xml:space="preserve">Expected results:</w:t>
      </w:r>
      <w:r>
        <w:rPr>
          <w:color w:val="000000"/>
          <w:sz w:val="24"/>
          <w:szCs w:val="24"/>
        </w:rPr>
        <w:t xml:space="preserve"> An institutional characterization of morbidity, mortality and blood conservation practices to serve as a baseline for improving local patient blood management protocols.</w:t>
      </w:r>
    </w:p>
    <w:p w14:paraId="42989B4F" w14:textId="77777777" w:rsidR="0044299D" w:rsidRDefault="00000000">
      <w:pPr>
        <w:spacing w:after="160"/>
        <w:jc w:val="both"/>
      </w:pPr>
      <w:r>
        <w:rPr>
          <w:b/>
          <w:bCs/>
          <w:color w:val="000000"/>
          <w:sz w:val="24"/>
          <w:szCs w:val="24"/>
        </w:rPr>
        <w:t xml:space="preserve">Keywords (MeSH):</w:t>
      </w:r>
      <w:r>
        <w:rPr>
          <w:color w:val="000000"/>
          <w:sz w:val="24"/>
          <w:szCs w:val="24"/>
        </w:rPr>
        <w:t xml:space="preserve"> Jehovah’s Witnesses; Cardiac Surgical Procedures; Bloodless Medical and Surgical Procedures; Anemia; Postoperative Complications; Hospital Mortality.</w:t>
      </w:r>
    </w:p>
    <w:p w14:paraId="738B036F" w14:textId="77777777" w:rsidR="005D1D70" w:rsidRDefault="00000000">
      <w:pPr>
        <w:rPr>
          <w:b/>
          <w:bCs/>
          <w:sz w:val="24"/>
          <w:szCs w:val="24"/>
        </w:rPr>
      </w:pPr>
      <w:r>
        <w:br w:type="page"/>
      </w:r>
    </w:p>
    <w:p w14:paraId="370F9C15" w14:textId="77777777" w:rsidR="005D1D70" w:rsidRDefault="00000000">
      <w:pPr>
        <w:spacing w:after="0"/>
        <w:jc w:val="center"/>
        <w:rPr>
          <w:b/>
          <w:bCs/>
          <w:sz w:val="28"/>
          <w:szCs w:val="28"/>
        </w:rPr>
      </w:pPr>
      <w:r>
        <w:rPr>
          <w:b/>
          <w:bCs/>
          <w:sz w:val="28"/>
          <w:szCs w:val="28"/>
        </w:rPr>
        <w:lastRenderedPageBreak/>
        <w:t>TABLA DE CONTENIDO</w:t>
      </w:r>
    </w:p>
    <w:p w14:paraId="6CE3948A" w14:textId="77777777" w:rsidR="005D1D70" w:rsidRDefault="005D1D70">
      <w:pPr>
        <w:spacing w:after="0"/>
        <w:jc w:val="center"/>
        <w:rPr>
          <w:b/>
          <w:bCs/>
          <w:sz w:val="24"/>
          <w:szCs w:val="24"/>
        </w:rPr>
      </w:pPr>
    </w:p>
    <w:p w14:paraId="71C653D6" w14:textId="77777777" w:rsidR="005D1D70" w:rsidRDefault="005D1D70">
      <w:pPr>
        <w:spacing w:after="0"/>
        <w:jc w:val="center"/>
        <w:rPr>
          <w:b/>
          <w:bCs/>
          <w:sz w:val="24"/>
          <w:szCs w:val="24"/>
        </w:rPr>
      </w:pPr>
    </w:p>
    <w:p w14:paraId="608B338C" w14:textId="77777777" w:rsidR="005D1D70" w:rsidRDefault="00000000">
      <w:pPr>
        <w:spacing w:after="0"/>
        <w:jc w:val="right"/>
        <w:rPr>
          <w:b/>
          <w:bCs/>
          <w:sz w:val="24"/>
          <w:szCs w:val="24"/>
        </w:rPr>
      </w:pPr>
      <w:r>
        <w:rPr>
          <w:b/>
          <w:bCs/>
          <w:sz w:val="24"/>
          <w:szCs w:val="24"/>
        </w:rPr>
        <w:t>Pág.</w:t>
      </w:r>
    </w:p>
    <w:p w14:paraId="574576F9" w14:textId="3CF34E37" w:rsidR="0044299D" w:rsidRDefault="00000000">
      <w:pPr>
        <w:tabs>
          <w:tab w:val="right" w:leader="dot" w:pos="9394"/>
        </w:tabs>
        <w:spacing w:after="20" w:line="240" w:lineRule="auto"/>
      </w:pPr>
      <w:r>
        <w:rPr>
          <w:sz w:val="21"/>
          <w:szCs w:val="21"/>
        </w:rPr>
        <w:t>RESUMEN Y ABSTRACT</w:t>
        <w:tab/>
        <w:t>3</w:t>
      </w:r>
    </w:p>
    <w:p w14:paraId="1EF204A0" w14:textId="3D62CB0D" w:rsidR="0044299D" w:rsidRDefault="00000000">
      <w:pPr>
        <w:tabs>
          <w:tab w:val="right" w:leader="dot" w:pos="9394"/>
        </w:tabs>
        <w:spacing w:after="20" w:line="240" w:lineRule="auto"/>
      </w:pPr>
      <w:r>
        <w:rPr>
          <w:sz w:val="21"/>
          <w:szCs w:val="21"/>
        </w:rPr>
        <w:t>INTRODUCCIÓN</w:t>
        <w:tab/>
        <w:t>6</w:t>
      </w:r>
    </w:p>
    <w:p w14:paraId="45A8439E" w14:textId="3AE451D8" w:rsidR="0044299D" w:rsidRDefault="00000000">
      <w:pPr>
        <w:tabs>
          <w:tab w:val="right" w:leader="dot" w:pos="9394"/>
        </w:tabs>
        <w:spacing w:after="20" w:line="240" w:lineRule="auto"/>
      </w:pPr>
      <w:r>
        <w:rPr>
          <w:sz w:val="21"/>
          <w:szCs w:val="21"/>
        </w:rPr>
        <w:t>1. MARCO DEL PROBLEMA</w:t>
        <w:tab/>
        <w:t>8</w:t>
      </w:r>
    </w:p>
    <w:p w14:paraId="6336E7E7" w14:textId="6D6AD36B" w:rsidR="0044299D" w:rsidRDefault="00000000">
      <w:pPr>
        <w:tabs>
          <w:tab w:val="right" w:leader="dot" w:pos="9394"/>
        </w:tabs>
        <w:spacing w:after="20" w:line="240" w:lineRule="auto"/>
        <w:ind w:left="220"/>
      </w:pPr>
      <w:r>
        <w:rPr>
          <w:sz w:val="21"/>
          <w:szCs w:val="21"/>
        </w:rPr>
        <w:t>1.1 PLANTEAMIENTO DEL PROBLEMA</w:t>
        <w:tab/>
        <w:t>8</w:t>
      </w:r>
    </w:p>
    <w:p w14:paraId="4C6B6B26" w14:textId="77DD978B" w:rsidR="0044299D" w:rsidRDefault="00000000">
      <w:pPr>
        <w:tabs>
          <w:tab w:val="right" w:leader="dot" w:pos="9394"/>
        </w:tabs>
        <w:spacing w:after="20" w:line="240" w:lineRule="auto"/>
        <w:ind w:left="440"/>
      </w:pPr>
      <w:r>
        <w:rPr>
          <w:sz w:val="21"/>
          <w:szCs w:val="21"/>
        </w:rPr>
        <w:t>1.1.1 Descripción y Delimitación del Problema</w:t>
        <w:tab/>
        <w:t>8</w:t>
      </w:r>
    </w:p>
    <w:p w14:paraId="4FFA6FAA" w14:textId="580772BA" w:rsidR="0044299D" w:rsidRDefault="00000000">
      <w:pPr>
        <w:tabs>
          <w:tab w:val="right" w:leader="dot" w:pos="9394"/>
        </w:tabs>
        <w:spacing w:after="20" w:line="240" w:lineRule="auto"/>
        <w:ind w:left="440"/>
      </w:pPr>
      <w:r>
        <w:rPr>
          <w:sz w:val="21"/>
          <w:szCs w:val="21"/>
        </w:rPr>
        <w:t>1.1.2 Formulación del Problema</w:t>
        <w:tab/>
        <w:t>9</w:t>
      </w:r>
    </w:p>
    <w:p w14:paraId="559AA4F3" w14:textId="31E707B8" w:rsidR="0044299D" w:rsidRDefault="00000000">
      <w:pPr>
        <w:tabs>
          <w:tab w:val="right" w:leader="dot" w:pos="9394"/>
        </w:tabs>
        <w:spacing w:after="20" w:line="240" w:lineRule="auto"/>
        <w:ind w:left="440"/>
      </w:pPr>
      <w:r>
        <w:rPr>
          <w:sz w:val="21"/>
          <w:szCs w:val="21"/>
        </w:rPr>
        <w:t>1.1.3 Formulación de la Hipótesis</w:t>
        <w:tab/>
        <w:t>9</w:t>
      </w:r>
    </w:p>
    <w:p w14:paraId="28B6D01A" w14:textId="6F627245" w:rsidR="0044299D" w:rsidRDefault="00000000">
      <w:pPr>
        <w:tabs>
          <w:tab w:val="right" w:leader="dot" w:pos="9394"/>
        </w:tabs>
        <w:spacing w:after="20" w:line="240" w:lineRule="auto"/>
        <w:ind w:left="220"/>
      </w:pPr>
      <w:r>
        <w:rPr>
          <w:sz w:val="21"/>
          <w:szCs w:val="21"/>
        </w:rPr>
        <w:t>1.2 JUSTIFICACIÓN DE LA INVESTIGACIÓN</w:t>
        <w:tab/>
        <w:t>10</w:t>
      </w:r>
    </w:p>
    <w:p w14:paraId="085A3669" w14:textId="19D1A72A" w:rsidR="0044299D" w:rsidRDefault="00000000">
      <w:pPr>
        <w:tabs>
          <w:tab w:val="right" w:leader="dot" w:pos="9394"/>
        </w:tabs>
        <w:spacing w:after="20" w:line="240" w:lineRule="auto"/>
        <w:ind w:left="220"/>
      </w:pPr>
      <w:r>
        <w:rPr>
          <w:sz w:val="21"/>
          <w:szCs w:val="21"/>
        </w:rPr>
        <w:t>1.3 OBJETIVOS</w:t>
        <w:tab/>
        <w:t>12</w:t>
      </w:r>
    </w:p>
    <w:p w14:paraId="07E62022" w14:textId="6AA477B7" w:rsidR="0044299D" w:rsidRDefault="00000000">
      <w:pPr>
        <w:tabs>
          <w:tab w:val="right" w:leader="dot" w:pos="9394"/>
        </w:tabs>
        <w:spacing w:after="20" w:line="240" w:lineRule="auto"/>
        <w:ind w:left="440"/>
      </w:pPr>
      <w:r>
        <w:rPr>
          <w:sz w:val="21"/>
          <w:szCs w:val="21"/>
        </w:rPr>
        <w:t>1.3.1 Objetivo General</w:t>
        <w:tab/>
        <w:t>12</w:t>
      </w:r>
    </w:p>
    <w:p w14:paraId="226B5E7E" w14:textId="66CCADE9" w:rsidR="0044299D" w:rsidRDefault="00000000">
      <w:pPr>
        <w:tabs>
          <w:tab w:val="right" w:leader="dot" w:pos="9394"/>
        </w:tabs>
        <w:spacing w:after="20" w:line="240" w:lineRule="auto"/>
        <w:ind w:left="440"/>
      </w:pPr>
      <w:r>
        <w:rPr>
          <w:sz w:val="21"/>
          <w:szCs w:val="21"/>
        </w:rPr>
        <w:t>1.3.2 Objetivos Específicos</w:t>
        <w:tab/>
        <w:t>13</w:t>
      </w:r>
    </w:p>
    <w:p w14:paraId="0C14CCB6" w14:textId="7BB5E4E9" w:rsidR="0044299D" w:rsidRDefault="00000000">
      <w:pPr>
        <w:tabs>
          <w:tab w:val="right" w:leader="dot" w:pos="9394"/>
        </w:tabs>
        <w:spacing w:after="20" w:line="240" w:lineRule="auto"/>
        <w:ind w:left="220"/>
      </w:pPr>
      <w:r>
        <w:rPr>
          <w:sz w:val="21"/>
          <w:szCs w:val="21"/>
        </w:rPr>
        <w:t>1.4 PROPÓSITO</w:t>
        <w:tab/>
        <w:t>14</w:t>
      </w:r>
    </w:p>
    <w:p w14:paraId="14FE19CB" w14:textId="1C30E224" w:rsidR="0044299D" w:rsidRDefault="00000000">
      <w:pPr>
        <w:tabs>
          <w:tab w:val="right" w:leader="dot" w:pos="9394"/>
        </w:tabs>
        <w:spacing w:after="20" w:line="240" w:lineRule="auto"/>
      </w:pPr>
      <w:r>
        <w:rPr>
          <w:sz w:val="21"/>
          <w:szCs w:val="21"/>
        </w:rPr>
        <w:t>2. MARCO DE REFERENCIA</w:t>
        <w:tab/>
        <w:t>15</w:t>
      </w:r>
    </w:p>
    <w:p w14:paraId="733032A5" w14:textId="78ED52D5" w:rsidR="0044299D" w:rsidRDefault="00000000">
      <w:pPr>
        <w:tabs>
          <w:tab w:val="right" w:leader="dot" w:pos="9394"/>
        </w:tabs>
        <w:spacing w:after="20" w:line="240" w:lineRule="auto"/>
        <w:ind w:left="220"/>
      </w:pPr>
      <w:r>
        <w:rPr>
          <w:sz w:val="21"/>
          <w:szCs w:val="21"/>
        </w:rPr>
        <w:t>2.1 MARCO TEÓRICO–CONCEPTUAL</w:t>
        <w:tab/>
        <w:t>15</w:t>
      </w:r>
    </w:p>
    <w:p w14:paraId="1B13E319" w14:textId="7772F21F" w:rsidR="0044299D" w:rsidRDefault="00000000">
      <w:pPr>
        <w:tabs>
          <w:tab w:val="right" w:leader="dot" w:pos="9394"/>
        </w:tabs>
        <w:spacing w:after="20" w:line="240" w:lineRule="auto"/>
        <w:ind w:left="220"/>
      </w:pPr>
      <w:r>
        <w:rPr>
          <w:sz w:val="21"/>
          <w:szCs w:val="21"/>
        </w:rPr>
        <w:t>2.2 MARCO DE ANTECEDENTES</w:t>
        <w:tab/>
        <w:t>21</w:t>
      </w:r>
    </w:p>
    <w:p w14:paraId="64FBF2FF" w14:textId="42CA3B95" w:rsidR="0044299D" w:rsidRDefault="00000000">
      <w:pPr>
        <w:tabs>
          <w:tab w:val="right" w:leader="dot" w:pos="9394"/>
        </w:tabs>
        <w:spacing w:after="20" w:line="240" w:lineRule="auto"/>
        <w:ind w:left="220"/>
      </w:pPr>
      <w:r>
        <w:rPr>
          <w:sz w:val="21"/>
          <w:szCs w:val="21"/>
        </w:rPr>
        <w:t>2.3 MARCO LEGAL O NORMATIVO</w:t>
        <w:tab/>
        <w:t>23</w:t>
      </w:r>
    </w:p>
    <w:p w14:paraId="30A61454" w14:textId="7534EE49" w:rsidR="0044299D" w:rsidRDefault="00000000">
      <w:pPr>
        <w:tabs>
          <w:tab w:val="right" w:leader="dot" w:pos="9394"/>
        </w:tabs>
        <w:spacing w:after="20" w:line="240" w:lineRule="auto"/>
      </w:pPr>
      <w:r>
        <w:rPr>
          <w:sz w:val="21"/>
          <w:szCs w:val="21"/>
        </w:rPr>
        <w:t>3. MARCO METODOLÓGICO</w:t>
        <w:tab/>
        <w:t>27</w:t>
      </w:r>
    </w:p>
    <w:p w14:paraId="6E669F5F" w14:textId="2BBFC464" w:rsidR="0044299D" w:rsidRDefault="00000000">
      <w:pPr>
        <w:tabs>
          <w:tab w:val="right" w:leader="dot" w:pos="9394"/>
        </w:tabs>
        <w:spacing w:after="20" w:line="240" w:lineRule="auto"/>
        <w:ind w:left="220"/>
      </w:pPr>
      <w:r>
        <w:rPr>
          <w:sz w:val="21"/>
          <w:szCs w:val="21"/>
        </w:rPr>
        <w:t>3.1 DISEÑO Y TIPO DE ESTUDIO</w:t>
        <w:tab/>
        <w:t>27</w:t>
      </w:r>
    </w:p>
    <w:p w14:paraId="71FCFCF0" w14:textId="3CA0E32B" w:rsidR="0044299D" w:rsidRDefault="00000000">
      <w:pPr>
        <w:tabs>
          <w:tab w:val="right" w:leader="dot" w:pos="9394"/>
        </w:tabs>
        <w:spacing w:after="20" w:line="240" w:lineRule="auto"/>
        <w:ind w:left="220"/>
      </w:pPr>
      <w:r>
        <w:rPr>
          <w:sz w:val="21"/>
          <w:szCs w:val="21"/>
        </w:rPr>
        <w:t>3.2 UNIVERSO, POBLACIÓN Y MUESTRA</w:t>
        <w:tab/>
        <w:t>27</w:t>
      </w:r>
    </w:p>
    <w:p w14:paraId="118085F1" w14:textId="0C0C877A" w:rsidR="0044299D" w:rsidRDefault="00000000">
      <w:pPr>
        <w:tabs>
          <w:tab w:val="right" w:leader="dot" w:pos="9394"/>
        </w:tabs>
        <w:spacing w:after="20" w:line="240" w:lineRule="auto"/>
        <w:ind w:left="220"/>
      </w:pPr>
      <w:r>
        <w:rPr>
          <w:sz w:val="21"/>
          <w:szCs w:val="21"/>
        </w:rPr>
        <w:t>3.3 CRITERIOS DE INCLUSIÓN Y EXCLUSIÓN</w:t>
        <w:tab/>
        <w:t>29</w:t>
      </w:r>
    </w:p>
    <w:p w14:paraId="0A9F20AE" w14:textId="7BA2FA9E" w:rsidR="0044299D" w:rsidRDefault="00000000">
      <w:pPr>
        <w:tabs>
          <w:tab w:val="right" w:leader="dot" w:pos="9394"/>
        </w:tabs>
        <w:spacing w:after="20" w:line="240" w:lineRule="auto"/>
        <w:ind w:left="220"/>
      </w:pPr>
      <w:r>
        <w:rPr>
          <w:sz w:val="21"/>
          <w:szCs w:val="21"/>
        </w:rPr>
        <w:t>3.4 INSTRUMENTOS</w:t>
        <w:tab/>
        <w:t>31</w:t>
      </w:r>
    </w:p>
    <w:p w14:paraId="15B57A8C" w14:textId="55B29CD9" w:rsidR="0044299D" w:rsidRDefault="00000000">
      <w:pPr>
        <w:tabs>
          <w:tab w:val="right" w:leader="dot" w:pos="9394"/>
        </w:tabs>
        <w:spacing w:after="20" w:line="240" w:lineRule="auto"/>
        <w:ind w:left="220"/>
      </w:pPr>
      <w:r>
        <w:rPr>
          <w:sz w:val="21"/>
          <w:szCs w:val="21"/>
        </w:rPr>
        <w:t>3.5 TÉCNICA DE RECOLECCIÓN DE LA INFORMACIÓN</w:t>
        <w:tab/>
        <w:t>32</w:t>
      </w:r>
    </w:p>
    <w:p w14:paraId="6E2AFD56" w14:textId="42378C0F" w:rsidR="0044299D" w:rsidRDefault="00000000">
      <w:pPr>
        <w:tabs>
          <w:tab w:val="right" w:leader="dot" w:pos="9394"/>
        </w:tabs>
        <w:spacing w:after="20" w:line="240" w:lineRule="auto"/>
        <w:ind w:left="220"/>
      </w:pPr>
      <w:r>
        <w:rPr>
          <w:sz w:val="21"/>
          <w:szCs w:val="21"/>
        </w:rPr>
        <w:t>3.6 FUENTES DE INFORMACIÓN</w:t>
        <w:tab/>
        <w:t>33</w:t>
      </w:r>
    </w:p>
    <w:p w14:paraId="0245BA17" w14:textId="22DDF710" w:rsidR="0044299D" w:rsidRDefault="00000000">
      <w:pPr>
        <w:tabs>
          <w:tab w:val="right" w:leader="dot" w:pos="9394"/>
        </w:tabs>
        <w:spacing w:after="20" w:line="240" w:lineRule="auto"/>
        <w:ind w:left="220"/>
      </w:pPr>
      <w:r>
        <w:rPr>
          <w:sz w:val="21"/>
          <w:szCs w:val="21"/>
        </w:rPr>
        <w:t>3.7 PROCESAMIENTO Y ANÁLISIS DE LA INFORMACIÓN</w:t>
        <w:tab/>
        <w:t>34</w:t>
      </w:r>
    </w:p>
    <w:p w14:paraId="4800C2C5" w14:textId="3986A30B" w:rsidR="0044299D" w:rsidRDefault="00000000">
      <w:pPr>
        <w:tabs>
          <w:tab w:val="right" w:leader="dot" w:pos="9394"/>
        </w:tabs>
        <w:spacing w:after="20" w:line="240" w:lineRule="auto"/>
        <w:ind w:left="220"/>
      </w:pPr>
      <w:r>
        <w:rPr>
          <w:sz w:val="21"/>
          <w:szCs w:val="21"/>
        </w:rPr>
        <w:t>3.8 OPERACIONALIZACIÓN DE VARIABLES</w:t>
        <w:tab/>
        <w:t>36</w:t>
      </w:r>
    </w:p>
    <w:p w14:paraId="603CE52B" w14:textId="4180C222" w:rsidR="0044299D" w:rsidRDefault="00000000">
      <w:pPr>
        <w:tabs>
          <w:tab w:val="right" w:leader="dot" w:pos="9394"/>
        </w:tabs>
        <w:spacing w:after="20" w:line="240" w:lineRule="auto"/>
        <w:ind w:left="220"/>
      </w:pPr>
      <w:r>
        <w:rPr>
          <w:sz w:val="21"/>
          <w:szCs w:val="21"/>
        </w:rPr>
        <w:t>3.9 CONSIDERACIONES ÉTICAS</w:t>
        <w:tab/>
        <w:t>40</w:t>
      </w:r>
    </w:p>
    <w:p>
      <w:pPr>
        <w:tabs>
          <w:tab w:val="right" w:leader="dot" w:pos="9394"/>
        </w:tabs>
        <w:spacing w:after="20" w:line="240" w:lineRule="auto"/>
        <w:ind w:left="440"/>
      </w:pPr>
      <w:r>
        <w:rPr>
          <w:sz w:val="21"/>
          <w:szCs w:val="21"/>
          <w:highlight w:val="yellow"/>
        </w:rPr>
        <w:t xml:space="preserve">3.9.1 Plan de protección de datos personales y sensibles</w:t>
        <w:tab/>
        <w:t>43</w:t>
      </w:r>
    </w:p>
    <w:p>
      <w:pPr>
        <w:tabs>
          <w:tab w:val="right" w:leader="dot" w:pos="9394"/>
        </w:tabs>
        <w:spacing w:after="20" w:line="240" w:lineRule="auto"/>
        <w:ind w:left="440"/>
      </w:pPr>
      <w:r>
        <w:rPr>
          <w:sz w:val="21"/>
          <w:szCs w:val="21"/>
          <w:highlight w:val="yellow"/>
        </w:rPr>
        <w:t xml:space="preserve">3.9.2 Medidas para una interpretación y publicación responsables</w:t>
        <w:tab/>
        <w:t>45</w:t>
      </w:r>
    </w:p>
    <w:p w14:paraId="1B309F28" w14:textId="56CE9A59" w:rsidR="0044299D" w:rsidRDefault="00000000">
      <w:pPr>
        <w:tabs>
          <w:tab w:val="right" w:leader="dot" w:pos="9394"/>
        </w:tabs>
        <w:spacing w:after="20" w:line="240" w:lineRule="auto"/>
        <w:ind w:left="220"/>
      </w:pPr>
      <w:r>
        <w:rPr>
          <w:sz w:val="21"/>
          <w:szCs w:val="21"/>
        </w:rPr>
        <w:t>3.10 DIFUSIÓN Y SOCIALIZACIÓN DE RESULTADOS</w:t>
        <w:tab/>
        <w:t>46</w:t>
      </w:r>
    </w:p>
    <w:p w14:paraId="335670AA" w14:textId="70EF91FE" w:rsidR="0044299D" w:rsidRDefault="00000000">
      <w:pPr>
        <w:tabs>
          <w:tab w:val="right" w:leader="dot" w:pos="9394"/>
        </w:tabs>
        <w:spacing w:after="20" w:line="240" w:lineRule="auto"/>
        <w:ind w:left="220"/>
      </w:pPr>
      <w:r>
        <w:rPr>
          <w:sz w:val="21"/>
          <w:szCs w:val="21"/>
        </w:rPr>
        <w:t>3.11 CRONOGRAMA DE LA INVESTIGACIÓN</w:t>
        <w:tab/>
        <w:t>46</w:t>
      </w:r>
    </w:p>
    <w:p w14:paraId="162CE6E7" w14:textId="48B09466" w:rsidR="0044299D" w:rsidRDefault="00000000">
      <w:pPr>
        <w:tabs>
          <w:tab w:val="right" w:leader="dot" w:pos="9394"/>
        </w:tabs>
        <w:spacing w:after="20" w:line="240" w:lineRule="auto"/>
        <w:ind w:left="220"/>
      </w:pPr>
      <w:r>
        <w:rPr>
          <w:sz w:val="21"/>
          <w:szCs w:val="21"/>
        </w:rPr>
        <w:t>3.12 PRESUPUESTO DE LA INVESTIGACIÓN</w:t>
        <w:tab/>
        <w:t>47</w:t>
      </w:r>
    </w:p>
    <w:p w14:paraId="53A2E7C9" w14:textId="7ADAADB3" w:rsidR="0044299D" w:rsidRDefault="00000000">
      <w:pPr>
        <w:tabs>
          <w:tab w:val="right" w:leader="dot" w:pos="9394"/>
        </w:tabs>
        <w:spacing w:after="20" w:line="240" w:lineRule="auto"/>
      </w:pPr>
      <w:r>
        <w:rPr>
          <w:sz w:val="21"/>
          <w:szCs w:val="21"/>
        </w:rPr>
        <w:t>4. MARCO DE RESULTADOS Y CONCLUSIONES</w:t>
        <w:tab/>
        <w:t>48</w:t>
      </w:r>
    </w:p>
    <w:p w14:paraId="2BA2E8E1" w14:textId="5BF6C8DB" w:rsidR="0044299D" w:rsidRDefault="00000000">
      <w:pPr>
        <w:tabs>
          <w:tab w:val="right" w:leader="dot" w:pos="9394"/>
        </w:tabs>
        <w:spacing w:after="20" w:line="240" w:lineRule="auto"/>
      </w:pPr>
      <w:r>
        <w:rPr>
          <w:sz w:val="21"/>
          <w:szCs w:val="21"/>
        </w:rPr>
        <w:t>REFERENCIAS BIBLIOGRÁFICAS</w:t>
        <w:tab/>
        <w:t>49</w:t>
      </w:r>
    </w:p>
    <w:p w14:paraId="23CCD7EE" w14:textId="77777777" w:rsidR="0044299D" w:rsidRDefault="00000000">
      <w:pPr>
        <w:tabs>
          <w:tab w:val="right" w:leader="dot" w:pos="9394"/>
        </w:tabs>
        <w:spacing w:after="20" w:line="240" w:lineRule="auto"/>
      </w:pPr>
      <w:r>
        <w:rPr>
          <w:sz w:val="21"/>
          <w:szCs w:val="21"/>
        </w:rPr>
        <w:t>ANEXOS</w:t>
        <w:tab/>
        <w:t>55</w:t>
      </w:r>
    </w:p>
    <w:p w14:paraId="0F963708" w14:textId="77777777" w:rsidR="005D1D70" w:rsidRDefault="00000000">
      <w:pPr>
        <w:rPr>
          <w:b/>
          <w:bCs/>
          <w:sz w:val="24"/>
          <w:szCs w:val="24"/>
        </w:rPr>
      </w:pPr>
      <w:r>
        <w:br w:type="page"/>
      </w:r>
      <w:r>
        <w:rPr>
          <w:noProof/>
        </w:rPr>
        <mc:AlternateContent>
          <mc:Choice Requires="wps">
            <w:drawing>
              <wp:anchor distT="0" distB="0" distL="114300" distR="114300" simplePos="0" relativeHeight="251665408" behindDoc="0" locked="0" layoutInCell="1" hidden="0" allowOverlap="1" wp14:anchorId="13756249" wp14:editId="19483681">
                <wp:simplePos x="0" y="0"/>
                <wp:positionH relativeFrom="column">
                  <wp:posOffset>5669598</wp:posOffset>
                </wp:positionH>
                <wp:positionV relativeFrom="paragraph">
                  <wp:posOffset>2573973</wp:posOffset>
                </wp:positionV>
                <wp:extent cx="514350" cy="397510"/>
                <wp:effectExtent l="0" t="0" r="0" b="0"/>
                <wp:wrapNone/>
                <wp:docPr id="2" name="Rectángulo redondeado 2"/>
                <wp:cNvGraphicFramePr/>
                <a:graphic xmlns:a="http://schemas.openxmlformats.org/drawingml/2006/main">
                  <a:graphicData uri="http://schemas.microsoft.com/office/word/2010/wordprocessingShape">
                    <wps:wsp>
                      <wps:cNvSpPr/>
                      <wps:spPr>
                        <a:xfrm>
                          <a:off x="5093588" y="3586008"/>
                          <a:ext cx="504825" cy="387985"/>
                        </a:xfrm>
                        <a:prstGeom prst="roundRect">
                          <a:avLst>
                            <a:gd name="adj" fmla="val 16667"/>
                          </a:avLst>
                        </a:prstGeom>
                        <a:solidFill>
                          <a:srgbClr val="FFFFFF"/>
                        </a:solidFill>
                        <a:ln w="9525" cap="flat" cmpd="sng">
                          <a:solidFill>
                            <a:schemeClr val="lt1"/>
                          </a:solidFill>
                          <a:prstDash val="solid"/>
                          <a:round/>
                          <a:headEnd type="none" w="sm" len="sm"/>
                          <a:tailEnd type="none" w="sm" len="sm"/>
                        </a:ln>
                      </wps:spPr>
                      <wps:txbx>
                        <w:txbxContent>
                          <w:p w14:paraId="76237536" w14:textId="77777777" w:rsidR="005D1D70" w:rsidRDefault="005D1D7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
            <w:pict>
              <v:roundrect w14:anchorId="13756249" id="Rectángulo redondeado 2" o:spid="_x0000_s1026" style="position:absolute;margin-left:446.45pt;margin-top:202.7pt;width:40.5pt;height:31.3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F5+cLgIAAG8EAAAOAAAAZHJzL2Uyb0RvYy54bWysVNuO0zAQfUfiHyy/s0nKtptGTVdoSxHS&#13;&#10;iq1Y+ICp7TRBvmG7Tfr3jN3QdgEJCdEHd6YeH59zPNPF/aAkOQjnO6NrWtzklAjNDO/0rqZfv6zf&#13;&#10;lJT4AJqDNFrU9Cg8vV++frXobSUmpjWSC0cQRPuqtzVtQ7BVlnnWCgX+xlihcbMxTkHA1O0y7qBH&#13;&#10;dCWzSZ7Pst44bp1hwnv8dXXapMuE3zSChaem8SIQWVPkFtLq0rqNa7ZcQLVzYNuOjTTgH1go6DRe&#13;&#10;eoZaQQCyd91vUKpjznjThBtmVGaapmMiaUA1Rf6LmucWrEha0Bxvzzb5/wfLPh2e7cahDb31lccw&#13;&#10;qhgap+I38iNDTaf5/O20xJc81hSDWZ6XJ+PEEAhLBbflZEoJiwXl3bycxv3sAmSdDx+EUSQGNXVm&#13;&#10;r/lnfJzkGRwefUjmcaJBYZcA/0ZJoyQ+xQEkKWaz2d2IOBYj9k/MeNIb2fF1J2VK3G77IB3BozVd&#13;&#10;p894+EWZ1KSv6XyaiAP2XiMhoAZleU293iVuL06krhRnaBmKP+FGXivw7en+BBDLoEqqU9QK4O81&#13;&#10;J+FoUa3GyaCRi1eUSIFzhEGqC9DJv9ehF1Kj3ZcXjFEYtgOCxHBr+HHjiLds3SG5R/BhAw7NLfBa&#13;&#10;7H288PseHJKQHzU217y4jaaE68RdJ9vrBDRrDY4UC46SU/IQ0ohF0dq82wfTdAG5JIYnMmOCXZ36&#13;&#10;ZJzAODbXeaq6/E8sfwAAAP//AwBQSwMEFAAGAAgAAAAhAFBpDFnkAAAAEAEAAA8AAABkcnMvZG93&#13;&#10;bnJldi54bWxMT8lOwzAQvSPxD9YgcaN2S2mTNE5VsVxYDqRVz25s4kA8DrHTBr6e4QSXkebNm7fk&#13;&#10;69G17Gj60HiUMJ0IYAYrrxusJey2D1cJsBAVatV6NBK+TIB1cX6Wq0z7E76aYxlrRiIYMiXBxthl&#13;&#10;nIfKGqfCxHcG6fbme6cirX3Nda9OJO5aPhNiwZ1qkBys6sytNdVHOTgJYvjU98vp+8vz/nHnbPmd&#13;&#10;PvlNlPLyYrxb0disgEUzxr8P+O1A+aGgYAc/oA6slZCks5SoEubiZg6MGOnympADIYtEAC9y/r9I&#13;&#10;8QMAAP//AwBQSwECLQAUAAYACAAAACEAtoM4kv4AAADhAQAAEwAAAAAAAAAAAAAAAAAAAAAAW0Nv&#13;&#10;bnRlbnRfVHlwZXNdLnhtbFBLAQItABQABgAIAAAAIQA4/SH/1gAAAJQBAAALAAAAAAAAAAAAAAAA&#13;&#10;AC8BAABfcmVscy8ucmVsc1BLAQItABQABgAIAAAAIQDvF5+cLgIAAG8EAAAOAAAAAAAAAAAAAAAA&#13;&#10;AC4CAABkcnMvZTJvRG9jLnhtbFBLAQItABQABgAIAAAAIQBQaQxZ5AAAABABAAAPAAAAAAAAAAAA&#13;&#10;AAAAAIgEAABkcnMvZG93bnJldi54bWxQSwUGAAAAAAQABADzAAAAmQUAAAAA&#13;&#10;" strokecolor="white [3201]">
                <v:stroke startarrowwidth="narrow" startarrowlength="short" endarrowwidth="narrow" endarrowlength="short"/>
                <v:textbox inset="2.53958mm,2.53958mm,2.53958mm,2.53958mm">
                  <w:txbxContent>
                    <w:p w14:paraId="76237536" w14:textId="77777777" w:rsidR="005D1D70" w:rsidRDefault="005D1D70">
                      <w:pPr>
                        <w:spacing w:after="0" w:line="240" w:lineRule="auto"/>
                        <w:textDirection w:val="btLr"/>
                      </w:pPr>
                    </w:p>
                  </w:txbxContent>
                </v:textbox>
              </v:roundrect>
            </w:pict>
          </mc:Fallback>
        </mc:AlternateContent>
      </w:r>
    </w:p>
    <w:p w14:paraId="10C9FA69" w14:textId="77777777" w:rsidR="005D1D70" w:rsidRDefault="00000000">
      <w:pPr>
        <w:pStyle w:val="Ttulo1"/>
        <w:shd w:val="clear" w:color="auto" w:fill="BFBFBF"/>
        <w:jc w:val="center"/>
        <w:rPr>
          <w:rFonts w:ascii="Calibri" w:eastAsia="Calibri" w:hAnsi="Calibri" w:cs="Calibri"/>
          <w:color w:val="000000"/>
        </w:rPr>
      </w:pPr>
      <w:bookmarkStart w:id="1" w:name="_heading=h.dzeja1xvx567" w:colFirst="0" w:colLast="0"/>
      <w:bookmarkEnd w:id="1"/>
      <w:r>
        <w:rPr>
          <w:rFonts w:ascii="Calibri" w:eastAsia="Calibri" w:hAnsi="Calibri" w:cs="Calibri"/>
          <w:color w:val="000000"/>
        </w:rPr>
        <w:lastRenderedPageBreak/>
        <w:t>INTRODUCCIÓN</w:t>
      </w:r>
    </w:p>
    <w:p w14:paraId="2F985314" w14:textId="77777777" w:rsidR="005D1D70" w:rsidRDefault="005D1D70">
      <w:pPr>
        <w:spacing w:after="0"/>
        <w:jc w:val="both"/>
      </w:pPr>
    </w:p>
    <w:p w14:paraId="01B8044E" w14:textId="77777777" w:rsidR="005D1D70" w:rsidRDefault="00000000">
      <w:pPr>
        <w:jc w:val="both"/>
        <w:rPr>
          <w:sz w:val="24"/>
          <w:szCs w:val="24"/>
        </w:rPr>
      </w:pPr>
      <w:r>
        <w:rPr>
          <w:sz w:val="24"/>
          <w:szCs w:val="24"/>
        </w:rPr>
        <w:t xml:space="preserve">Los Testigos de Jehová constituyen un grupo religioso con presencia global y nacional, cuyas convicciones incluyen el rechazo de la transfusión de componentes sanguíneos (glóbulos rojos, plasma y plaquetas), y cuyo manejo clínico se fundamenta en el respeto por la autonomía del paciente y en la obtención de consentimiento informado como eje del acto médico (1).</w:t>
      </w:r>
      <w:r>
        <w:rPr>
          <w:color w:val="000000"/>
          <w:sz w:val="24"/>
          <w:szCs w:val="24"/>
          <w:highlight w:val="yellow"/>
        </w:rPr>
        <w:t xml:space="preserve"> Esta descripción corresponde a la posición vigente durante el periodo estudiado (2020–2025); con posterioridad, en marzo y en septiembre de 2026, la organización religiosa trasladó a la conciencia individual las decisiones sobre el uso de la propia sangre y sobre la aceptación de los componentes principales de la sangre de otra persona, aspecto que se analiza en el numeral 2.1.5 (51,52).</w:t>
      </w:r>
      <w:r>
        <w:rPr>
          <w:sz w:val="24"/>
          <w:szCs w:val="24"/>
        </w:rPr>
        <w:t xml:space="preserve"> En el informe 2025 del sitio oficial de los Testigos de Jehová se reportan 9.205.326 miembros a nivel mundial (2), y para Colombia se reportan 193.778 “evangelizadores” y una proporción aproximada de 1 Testigo de Jehová por cada 274 habitantes (3). En términos clínicos, esta población plantea retos particulares en escenarios de alto riesgo hemorrágico, en especial en la cirugía cardiaca mayor, donde la circulación extracorpórea, la hemodilución y el sangrado perioperatorio se asocian a una utilización históricamente frecuente de transfusiones en la práctica habitual (1,4).</w:t>
      </w:r>
    </w:p>
    <w:p w14:paraId="0B89D63E" w14:textId="77777777" w:rsidR="005D1D70" w:rsidRDefault="00000000">
      <w:pPr>
        <w:jc w:val="both"/>
        <w:rPr>
          <w:sz w:val="24"/>
          <w:szCs w:val="24"/>
        </w:rPr>
      </w:pPr>
      <w:r>
        <w:rPr>
          <w:sz w:val="24"/>
          <w:szCs w:val="24"/>
        </w:rPr>
        <w:t>En ese contexto, el foco clínico no es simplemente “operar sin transfundir”, sino construir un plan perioperatorio que reduzca la probabilidad de anemia crítica y sus complicaciones. Las recomendaciones contemporáneas para pacientes que rechazan sangre enfatizan una estrategia integral: identificación y corrección de anemia preoperatoria, optimización de la hemostasia, minimización de pérdidas durante el procedimiento, uso racional de medidas de conservación sanguínea y vigilancia posoperatoria estricta para evitar anemia iatrogénica y coagulopatía (1,4). Este enfoque se articula con los programas de manejo perioperatorio de la sangre del paciente, que han cobrado relevancia tanto por su potencial para disminuir exposición transfusional como por su coherencia con la seguridad del paciente en cirugía de alta complejidad (1,4).</w:t>
      </w:r>
    </w:p>
    <w:p w14:paraId="41ECBAF4" w14:textId="77777777" w:rsidR="005D1D70" w:rsidRDefault="00000000">
      <w:pPr>
        <w:jc w:val="both"/>
        <w:rPr>
          <w:sz w:val="24"/>
          <w:szCs w:val="24"/>
        </w:rPr>
      </w:pPr>
      <w:r>
        <w:rPr>
          <w:sz w:val="24"/>
          <w:szCs w:val="24"/>
        </w:rPr>
        <w:t>La evidencia internacional describe resultados tempranos favorables en centros con programas de manejo perioperatorio de la sangre. Un metaanálisis de diez estudios incluyó 780 Testigos de Jehová y 1.182 comparadores que aceptaban transfusión, sin detectar una diferencia estadísticamente significativa en mortalidad perioperatoria (razón de momios 0,91; intervalo de confianza del 95 %: 0,55–1,52); esta ausencia de significación no demuestra equivalencia ni garantiza seguridad individual (5). Una cohorte institucional de 329 procedimientos informó mortalidad hospitalaria del 0,6 % bajo un protocolo de conservación sanguínea (6), y en la mayor cohorte emparejada por puntaje de propensión (322 Testigos de Jehová frente a 322 pacientes transfundidos) la mortalidad hospitalaria fue de 3,1 % frente a 4,3 % (7). La selección de pacientes y las diferencias entre centros limitan la extrapolación de estas cifras a la institución del presente estudio.</w:t>
      </w:r>
    </w:p>
    <w:p w14:paraId="31CCF67A" w14:textId="77777777" w:rsidR="005D1D70" w:rsidRDefault="00000000">
      <w:pPr>
        <w:jc w:val="both"/>
        <w:rPr>
          <w:sz w:val="24"/>
          <w:szCs w:val="24"/>
        </w:rPr>
      </w:pPr>
      <w:r>
        <w:rPr>
          <w:sz w:val="24"/>
          <w:szCs w:val="24"/>
        </w:rPr>
        <w:t xml:space="preserve">No obstante, el riesgo no desaparece: la anemia aguda grave posoperatoria se asocia con desenlaces adversos en este grupo. En una cohorte de 48 pacientes de un centro académico, la </w:t>
        <w:lastRenderedPageBreak/>
        <w:t xml:space="preserve">anemia aguda grave definida por hematocrito menor de 21 % se relacionó con mayor mortalidad a 30 días, 90 días y un año, concentrando los desenlaces fatales en el grupo con anemia grave (8). Este hallazgo es particularmente relevante para cirugía cardiaca, donde el margen fisiológico puede ser estrecho y la tolerancia a anemia profunda depende de la reserva cardiopulmonar y del curso postoperatorio (4,8). En pacientes quirúrgicos que rechazaron la transfusión, la mortalidad fue baja con hemoglobina posoperatoria de 7,1 a 8,0 g/dL y aumentó progresivamente por debajo de ese valor (9). Por ello, el reto clínico exige decisiones anticipadas, monitorización estrecha y equipos entrenados para manejar complicaciones dentro de límites terapéuticos acordados.</w:t>
      </w:r>
    </w:p>
    <w:p w14:paraId="1F187AB1" w14:textId="77777777" w:rsidR="005D1D70" w:rsidRDefault="00000000">
      <w:pPr>
        <w:jc w:val="both"/>
        <w:rPr>
          <w:sz w:val="24"/>
          <w:szCs w:val="24"/>
        </w:rPr>
      </w:pPr>
      <w:r>
        <w:rPr>
          <w:sz w:val="24"/>
          <w:szCs w:val="24"/>
        </w:rPr>
        <w:t>En paralelo, este escenario tiene un peso bioético ineludible. La negativa informada a transfundir, en un procedimiento de alto riesgo hemorrágico, pone a prueba la calidad del proceso de consentimiento: no basta con registrar una decisión; se requiere que el paciente comprenda riesgos previsibles, alternativas disponibles y consecuencias potenciales, y que sus preferencias queden documentadas con claridad, incluyendo la aceptación o rechazo de medidas específicas (1). Desde los marcos éticos clásicos de la investigación en seres humanos, la atención y la producción de conocimiento en este campo deben orientar su propósito a maximizar seguridad, reducir daño y generar evidencia útil sin instrumentalizar a los participantes (10,11).</w:t>
      </w:r>
    </w:p>
    <w:p w14:paraId="0927A003" w14:textId="77777777" w:rsidR="005D1D70" w:rsidRDefault="00000000">
      <w:pPr>
        <w:jc w:val="both"/>
        <w:rPr>
          <w:sz w:val="24"/>
          <w:szCs w:val="24"/>
        </w:rPr>
      </w:pPr>
      <w:r>
        <w:rPr>
          <w:sz w:val="24"/>
          <w:szCs w:val="24"/>
        </w:rPr>
        <w:t>En Colombia, además, la discusión ética debe leerse a la luz del marco normativo vigente: la Ley 23 de 1981 establece deberes de ética médica y confidencialidad en la relación asistencial (12); la Resolución 8430 de 1993 fija los principios, requisitos y clasificación del riesgo en investigación en salud (13);  y la Ley 1581 de 2012 regula la protección de datos personales, incluyendo datos sensibles como la información en salud y las creencias, lo que obliga a salvaguardas estrictas de confidencialidad y manejo seguro de la información (14). En síntesis, abordar la cirugía cardiaca sin transfusión en Testigos de Jehová no solo es un reto técnico; también exige rigor ético y normativo, y una narrativa clínica centrada en el respeto por la persona, la prevención del daño y la seguridad del paciente (1,10-14).</w:t>
      </w:r>
      <w:r>
        <w:br w:type="page"/>
      </w:r>
    </w:p>
    <w:p w14:paraId="5032400C" w14:textId="77777777" w:rsidR="005D1D70" w:rsidRDefault="00000000">
      <w:pPr>
        <w:pStyle w:val="Ttulo1"/>
        <w:numPr>
          <w:ilvl w:val="0"/>
          <w:numId w:val="2"/>
        </w:numPr>
        <w:shd w:val="clear" w:color="auto" w:fill="BFBFBF"/>
        <w:spacing w:before="0"/>
        <w:ind w:left="714" w:hanging="357"/>
        <w:jc w:val="center"/>
        <w:rPr>
          <w:rFonts w:ascii="Calibri" w:eastAsia="Calibri" w:hAnsi="Calibri" w:cs="Calibri"/>
          <w:color w:val="000000"/>
        </w:rPr>
      </w:pPr>
      <w:bookmarkStart w:id="2" w:name="_heading=h.gm1gk9iaw8mu" w:colFirst="0" w:colLast="0"/>
      <w:bookmarkEnd w:id="2"/>
      <w:r>
        <w:rPr>
          <w:rFonts w:ascii="Calibri" w:eastAsia="Calibri" w:hAnsi="Calibri" w:cs="Calibri"/>
          <w:color w:val="000000"/>
        </w:rPr>
        <w:lastRenderedPageBreak/>
        <w:t>MARCO DEL PROBLEMA</w:t>
      </w:r>
    </w:p>
    <w:p w14:paraId="32CFE59A" w14:textId="77777777" w:rsidR="005D1D70" w:rsidRDefault="005D1D70">
      <w:pPr>
        <w:spacing w:after="0"/>
        <w:jc w:val="both"/>
        <w:rPr>
          <w:sz w:val="24"/>
          <w:szCs w:val="24"/>
        </w:rPr>
      </w:pPr>
    </w:p>
    <w:p w14:paraId="6CA8053B" w14:textId="77777777" w:rsidR="005D1D70" w:rsidRDefault="00000000">
      <w:pPr>
        <w:pStyle w:val="Ttulo2"/>
        <w:numPr>
          <w:ilvl w:val="1"/>
          <w:numId w:val="2"/>
        </w:numPr>
        <w:spacing w:before="0"/>
        <w:rPr>
          <w:rFonts w:ascii="Calibri" w:eastAsia="Calibri" w:hAnsi="Calibri" w:cs="Calibri"/>
          <w:color w:val="000000"/>
        </w:rPr>
      </w:pPr>
      <w:bookmarkStart w:id="3" w:name="_heading=h.3c3o1ubtcfx0" w:colFirst="0" w:colLast="0"/>
      <w:bookmarkEnd w:id="3"/>
      <w:r>
        <w:rPr>
          <w:rFonts w:ascii="Calibri" w:eastAsia="Calibri" w:hAnsi="Calibri" w:cs="Calibri"/>
          <w:color w:val="000000"/>
        </w:rPr>
        <w:t>PLANTEAMIENTO DEL PROBLEMA</w:t>
      </w:r>
    </w:p>
    <w:p w14:paraId="04DDA2CC" w14:textId="77777777" w:rsidR="005D1D70" w:rsidRDefault="005D1D70">
      <w:pPr>
        <w:spacing w:after="0"/>
        <w:rPr>
          <w:sz w:val="24"/>
          <w:szCs w:val="24"/>
        </w:rPr>
      </w:pPr>
    </w:p>
    <w:p w14:paraId="45BB110D" w14:textId="77777777" w:rsidR="005D1D70" w:rsidRDefault="00000000">
      <w:pPr>
        <w:pStyle w:val="Ttulo3"/>
        <w:numPr>
          <w:ilvl w:val="2"/>
          <w:numId w:val="2"/>
        </w:numPr>
        <w:spacing w:before="0"/>
        <w:rPr>
          <w:rFonts w:ascii="Calibri" w:eastAsia="Calibri" w:hAnsi="Calibri" w:cs="Calibri"/>
          <w:color w:val="000000"/>
          <w:sz w:val="24"/>
          <w:szCs w:val="24"/>
        </w:rPr>
      </w:pPr>
      <w:bookmarkStart w:id="4" w:name="_heading=h.96rr1ggt1o1n" w:colFirst="0" w:colLast="0"/>
      <w:bookmarkEnd w:id="4"/>
      <w:r>
        <w:rPr>
          <w:rFonts w:ascii="Calibri" w:eastAsia="Calibri" w:hAnsi="Calibri" w:cs="Calibri"/>
          <w:color w:val="000000"/>
          <w:sz w:val="24"/>
          <w:szCs w:val="24"/>
        </w:rPr>
        <w:t>Descripción y Delimitación del Problema</w:t>
      </w:r>
    </w:p>
    <w:p w14:paraId="3489E841" w14:textId="77777777" w:rsidR="005D1D70" w:rsidRDefault="005D1D70">
      <w:pPr>
        <w:spacing w:after="0"/>
        <w:jc w:val="both"/>
        <w:rPr>
          <w:i/>
          <w:iCs/>
          <w:color w:val="000000"/>
          <w:sz w:val="24"/>
          <w:szCs w:val="24"/>
        </w:rPr>
      </w:pPr>
    </w:p>
    <w:p w14:paraId="299FD8DC" w14:textId="77777777" w:rsidR="005D1D70" w:rsidRDefault="00000000">
      <w:pPr>
        <w:spacing w:after="0"/>
        <w:jc w:val="both"/>
        <w:rPr>
          <w:color w:val="000000"/>
          <w:sz w:val="24"/>
          <w:szCs w:val="24"/>
        </w:rPr>
      </w:pPr>
      <w:r>
        <w:rPr>
          <w:color w:val="000000"/>
          <w:sz w:val="24"/>
          <w:szCs w:val="24"/>
        </w:rPr>
        <w:t>La cirugía cardiaca mayor implica riesgo de hemorragia, hemodilución y alteraciones de la hemostasia, que pueden acompañarse de anemia aguda, disfunción orgánica y muerte. La complejidad del procedimiento y las condiciones basales del paciente modifican ese riesgo; por ello, la evaluación de complicaciones posoperatorias requiere distinguir los tipos de cirugía y describir las características clínicas previas (15,16).</w:t>
      </w:r>
    </w:p>
    <w:p w14:paraId="744F4231" w14:textId="77777777" w:rsidR="005D1D70" w:rsidRDefault="005D1D70">
      <w:pPr>
        <w:spacing w:after="0"/>
        <w:jc w:val="both"/>
        <w:rPr>
          <w:color w:val="000000"/>
          <w:sz w:val="24"/>
          <w:szCs w:val="24"/>
        </w:rPr>
      </w:pPr>
    </w:p>
    <w:p w14:paraId="1FAB3C93" w14:textId="77777777" w:rsidR="005D1D70" w:rsidRDefault="00000000">
      <w:pPr>
        <w:spacing w:after="0"/>
        <w:jc w:val="both"/>
        <w:rPr>
          <w:color w:val="000000"/>
          <w:sz w:val="24"/>
          <w:szCs w:val="24"/>
        </w:rPr>
      </w:pPr>
      <w:r>
        <w:rPr>
          <w:color w:val="000000"/>
          <w:sz w:val="24"/>
          <w:szCs w:val="24"/>
        </w:rPr>
        <w:t>En pacientes Testigos de Jehová con rechazo transfusional documentado, el equipo tratante debe acordar previamente las intervenciones aceptables para cada persona y planear la prevención y el tratamiento del sangrado y la anemia. La optimización de la hemoglobina antes de la cirugía, la hemostasia intraoperatoria y la reducción de pérdidas posoperatorias son componentes de este abordaje (1,4). La decisión individual sobre productos o técnicas específicas debe verificarse en el consentimiento clínico.</w:t>
      </w:r>
    </w:p>
    <w:p w14:paraId="073FA71A" w14:textId="77777777" w:rsidR="005D1D70" w:rsidRDefault="005D1D70">
      <w:pPr>
        <w:spacing w:after="0"/>
        <w:jc w:val="both"/>
        <w:rPr>
          <w:color w:val="000000"/>
          <w:sz w:val="24"/>
          <w:szCs w:val="24"/>
        </w:rPr>
      </w:pPr>
    </w:p>
    <w:p w14:paraId="2FFA3FCD" w14:textId="77777777" w:rsidR="005D1D70" w:rsidRDefault="00000000">
      <w:pPr>
        <w:spacing w:after="0"/>
        <w:jc w:val="both"/>
        <w:rPr>
          <w:color w:val="000000"/>
          <w:sz w:val="24"/>
          <w:szCs w:val="24"/>
        </w:rPr>
      </w:pPr>
      <w:r>
        <w:rPr>
          <w:color w:val="000000"/>
          <w:sz w:val="24"/>
          <w:szCs w:val="24"/>
        </w:rPr>
        <w:t>Dos metaanálisis de cohortes internacionales no detectaron diferencias estadísticamente significativas en mortalidad temprana entre Testigos de Jehová y comparadores que podían recibir transfusión (5,17); incluyen estudios observacionales parcialmente coincidentes y no deben interpretarse como demostraciones independientes de equivalencia. La mayor cohorte emparejada por puntaje de propensión tampoco mostró diferencias significativas en mortalidad hospitalaria (7). Una serie de un centro especializado documentó mortalidad hospitalaria del 0,6 % en 329 procedimientos (6). En Colombia se dispone de un póster de la Fundación Cardiovascular de Colombia que describe 30 pacientes operados entre 2012 y 2021, con una muerte posoperatoria (18). La serie de Bernal et al. corresponde a Santander, España, y no constituye evidencia nacional (19).</w:t>
      </w:r>
    </w:p>
    <w:p w14:paraId="2E6E6D85" w14:textId="77777777" w:rsidR="005D1D70" w:rsidRDefault="005D1D70">
      <w:pPr>
        <w:spacing w:after="0"/>
        <w:jc w:val="both"/>
        <w:rPr>
          <w:color w:val="000000"/>
          <w:sz w:val="24"/>
          <w:szCs w:val="24"/>
        </w:rPr>
      </w:pPr>
    </w:p>
    <w:p w14:paraId="5D6C5D2F" w14:textId="77777777" w:rsidR="005D1D70" w:rsidRDefault="00000000">
      <w:pPr>
        <w:spacing w:after="0"/>
        <w:jc w:val="both"/>
        <w:rPr>
          <w:color w:val="000000"/>
          <w:sz w:val="24"/>
          <w:szCs w:val="24"/>
        </w:rPr>
      </w:pPr>
      <w:r>
        <w:rPr>
          <w:color w:val="000000"/>
          <w:sz w:val="24"/>
          <w:szCs w:val="24"/>
        </w:rPr>
        <w:t xml:space="preserve">La interpretación de esa evidencia está limitada por el predominio de estudios observacionales, diferencias en la selección de pacientes, mezcla de procedimientos, variación entre protocolos de conservación sanguínea y definiciones no uniformes de complicaciones. La ausencia de una diferencia estadísticamente significativa entre grupos tampoco demuestra equivalencia. Además, en una cohorte de Testigos de Jehová, la anemia posoperatoria severa se asoció con mayor </w:t>
        <w:lastRenderedPageBreak/>
        <w:t>mortalidad a 30 días, 90 días y un año (8). Estas limitaciones exigen resultados institucionales con desenlaces y periodos de observación definidos de antemano (5,6,8,17,20).</w:t>
      </w:r>
    </w:p>
    <w:p w14:paraId="213FB40F" w14:textId="77777777" w:rsidR="005D1D70" w:rsidRDefault="005D1D70">
      <w:pPr>
        <w:spacing w:after="0"/>
        <w:jc w:val="both"/>
        <w:rPr>
          <w:color w:val="000000"/>
          <w:sz w:val="24"/>
          <w:szCs w:val="24"/>
        </w:rPr>
      </w:pPr>
    </w:p>
    <w:p w14:paraId="23EB7114" w14:textId="77777777" w:rsidR="005D1D70" w:rsidRPr="004A3622" w:rsidRDefault="00000000">
      <w:pPr>
        <w:spacing w:after="0"/>
        <w:jc w:val="both"/>
        <w:rPr>
          <w:color w:val="000000"/>
          <w:sz w:val="24"/>
          <w:szCs w:val="24"/>
        </w:rPr>
      </w:pPr>
      <w:r>
        <w:rPr>
          <w:color w:val="000000"/>
          <w:sz w:val="24"/>
          <w:szCs w:val="24"/>
        </w:rPr>
        <w:t>No se dispone de una caracterización institucional consolidada de la frecuencia de complicaciones mayores y muerte tras revascularización coronaria, cirugía valvular y cirugía combinada en pacientes Testigos de Jehová de la Clínica General del Norte, ni se han publicado series de esta población en la región Caribe colombiana. Esta ausencia de evidencia local limita la evaluación de los resultados propios y la identificación de oportunidades para mejorar el cuidado perioperatorio.</w:t>
      </w:r>
    </w:p>
    <w:p w14:paraId="1A5DC6A3" w14:textId="77777777" w:rsidR="005D1D70" w:rsidRDefault="005D1D70">
      <w:pPr>
        <w:spacing w:after="0"/>
        <w:rPr>
          <w:sz w:val="24"/>
          <w:szCs w:val="24"/>
        </w:rPr>
      </w:pPr>
    </w:p>
    <w:p w14:paraId="1A9A21CD" w14:textId="77777777" w:rsidR="005D1D70" w:rsidRDefault="005D1D70">
      <w:pPr>
        <w:spacing w:after="0"/>
        <w:rPr>
          <w:sz w:val="24"/>
          <w:szCs w:val="24"/>
        </w:rPr>
      </w:pPr>
    </w:p>
    <w:p w14:paraId="260F6CFF" w14:textId="77777777" w:rsidR="005D1D70" w:rsidRDefault="00000000">
      <w:pPr>
        <w:pStyle w:val="Ttulo3"/>
        <w:numPr>
          <w:ilvl w:val="2"/>
          <w:numId w:val="2"/>
        </w:numPr>
        <w:spacing w:before="0"/>
        <w:rPr>
          <w:rFonts w:ascii="Calibri" w:eastAsia="Calibri" w:hAnsi="Calibri" w:cs="Calibri"/>
          <w:color w:val="000000"/>
          <w:sz w:val="24"/>
          <w:szCs w:val="24"/>
        </w:rPr>
      </w:pPr>
      <w:bookmarkStart w:id="5" w:name="_heading=h.cd59j6w0086m" w:colFirst="0" w:colLast="0"/>
      <w:bookmarkEnd w:id="5"/>
      <w:r>
        <w:rPr>
          <w:rFonts w:ascii="Calibri" w:eastAsia="Calibri" w:hAnsi="Calibri" w:cs="Calibri"/>
          <w:color w:val="000000"/>
          <w:sz w:val="24"/>
          <w:szCs w:val="24"/>
        </w:rPr>
        <w:t>Formulación del Problema</w:t>
      </w:r>
    </w:p>
    <w:p w14:paraId="38D53CF7" w14:textId="77777777" w:rsidR="005D1D70" w:rsidRDefault="005D1D70">
      <w:pPr>
        <w:spacing w:after="0"/>
        <w:jc w:val="both"/>
        <w:rPr>
          <w:sz w:val="24"/>
          <w:szCs w:val="24"/>
        </w:rPr>
      </w:pPr>
    </w:p>
    <w:p w14:paraId="6790B0C3" w14:textId="77777777" w:rsidR="005D1D70" w:rsidRDefault="00000000">
      <w:pPr>
        <w:pBdr>
          <w:top w:val="nil"/>
          <w:left w:val="nil"/>
          <w:bottom w:val="nil"/>
          <w:right w:val="nil"/>
          <w:between w:val="nil"/>
        </w:pBdr>
        <w:spacing w:line="240" w:lineRule="auto"/>
        <w:jc w:val="both"/>
        <w:rPr>
          <w:color w:val="000000"/>
          <w:sz w:val="24"/>
          <w:szCs w:val="24"/>
        </w:rPr>
      </w:pPr>
      <w:r>
        <w:rPr>
          <w:color w:val="000000"/>
          <w:sz w:val="24"/>
          <w:szCs w:val="24"/>
        </w:rPr>
        <w:t>Los tres tipos de procedimiento difieren en complejidad y características basales. Describir los desenlaces por procedimiento puede aportar información institucional; las diferencias observadas se interpretarán con cautela por la urgencia, la complejidad, la baja frecuencia de casos y la imprecisión de las estimaciones.</w:t>
      </w:r>
    </w:p>
    <w:p w14:paraId="34DA0B4C" w14:textId="77777777" w:rsidR="005D1D70" w:rsidRDefault="00000000">
      <w:pPr>
        <w:pBdr>
          <w:top w:val="nil"/>
          <w:left w:val="nil"/>
          <w:bottom w:val="nil"/>
          <w:right w:val="nil"/>
          <w:between w:val="nil"/>
        </w:pBdr>
        <w:spacing w:line="240" w:lineRule="auto"/>
        <w:jc w:val="both"/>
        <w:rPr>
          <w:color w:val="000000"/>
          <w:sz w:val="24"/>
          <w:szCs w:val="24"/>
        </w:rPr>
      </w:pPr>
      <w:r>
        <w:rPr>
          <w:color w:val="000000"/>
          <w:sz w:val="24"/>
          <w:szCs w:val="24"/>
        </w:rPr>
        <w:t xml:space="preserve">El problema de investigación se delimita a pacientes adultos Testigos de Jehová con rechazo transfusional documentado, sometidos a revascularización coronaria, cirugía valvular o cirugía combinada en la Clínica General del Norte de Barranquilla entre el 1 de enero de 2020 y el 31 de diciembre de 2025. La cohorte incluirá a quienes posteriormente hayan recibido hemocomponentes, para evitar que una decisión o complicación ocurrida tras la cirugía determine su inclusión.</w:t>
      </w:r>
    </w:p>
    <w:p w14:paraId="2BF03003" w14:textId="77777777" w:rsidR="005D1D70" w:rsidRDefault="00000000">
      <w:pPr>
        <w:pBdr>
          <w:top w:val="nil"/>
          <w:left w:val="nil"/>
          <w:bottom w:val="nil"/>
          <w:right w:val="nil"/>
          <w:between w:val="nil"/>
        </w:pBdr>
        <w:spacing w:line="240" w:lineRule="auto"/>
        <w:jc w:val="both"/>
        <w:rPr>
          <w:color w:val="000000"/>
          <w:sz w:val="24"/>
          <w:szCs w:val="24"/>
        </w:rPr>
      </w:pPr>
      <w:r>
        <w:rPr>
          <w:color w:val="000000"/>
          <w:sz w:val="24"/>
          <w:szCs w:val="24"/>
        </w:rPr>
        <w:t>La seguridad se describirá mediante un desenlace compuesto y desenlaces individuales definidos previamente. Sin un grupo de comparación de pacientes que acepten transfusión o un umbral de seguridad preestablecido, el estudio no podrá concluir que la estrategia sin transfusión sea segura o equivalente a otra.</w:t>
      </w:r>
    </w:p>
    <w:p w14:paraId="386EAEEB" w14:textId="77777777" w:rsidR="005D1D70" w:rsidRDefault="00000000">
      <w:pPr>
        <w:pBdr>
          <w:top w:val="nil"/>
          <w:left w:val="nil"/>
          <w:bottom w:val="nil"/>
          <w:right w:val="nil"/>
          <w:between w:val="nil"/>
        </w:pBdr>
        <w:spacing w:line="240" w:lineRule="auto"/>
        <w:jc w:val="both"/>
        <w:rPr>
          <w:b/>
          <w:bCs/>
          <w:sz w:val="24"/>
          <w:szCs w:val="24"/>
        </w:rPr>
      </w:pPr>
      <w:r>
        <w:rPr>
          <w:color w:val="000000"/>
          <w:sz w:val="24"/>
          <w:szCs w:val="24"/>
        </w:rPr>
        <w:t>La pregunta de investigación es:</w:t>
      </w:r>
    </w:p>
    <w:p w14:paraId="0E933474" w14:textId="490664CB" w:rsidR="00EB34DB" w:rsidRPr="0070336B" w:rsidRDefault="00EB34DB">
      <w:pPr>
        <w:spacing w:before="240" w:after="240"/>
        <w:jc w:val="both"/>
        <w:rPr>
          <w:b/>
          <w:bCs/>
          <w:color w:val="000000" w:themeColor="text1"/>
          <w:sz w:val="24"/>
          <w:szCs w:val="24"/>
        </w:rPr>
      </w:pPr>
      <w:r>
        <w:rPr>
          <w:b/>
          <w:bCs/>
          <w:color w:val="000000" w:themeColor="text1"/>
          <w:sz w:val="24"/>
          <w:szCs w:val="24"/>
        </w:rPr>
        <w:t>¿Cuál es la frecuencia de complicación mayor o muerte intrahospitalaria según el tipo de cirugía cardíaca en pacientes Testigos de Jehová con rechazo transfusional documentado sometidos a cirugía cardíaca mayor en la Clínica General del Norte de Barranquilla entre 2020 y 2025?</w:t>
      </w:r>
    </w:p>
    <w:p w14:paraId="7465402F" w14:textId="77777777" w:rsidR="005D1D70" w:rsidRDefault="00000000">
      <w:pPr>
        <w:pStyle w:val="Ttulo3"/>
        <w:numPr>
          <w:ilvl w:val="2"/>
          <w:numId w:val="2"/>
        </w:numPr>
        <w:spacing w:before="0"/>
        <w:rPr>
          <w:rFonts w:ascii="Calibri" w:eastAsia="Calibri" w:hAnsi="Calibri" w:cs="Calibri"/>
          <w:color w:val="000000"/>
          <w:sz w:val="24"/>
          <w:szCs w:val="24"/>
        </w:rPr>
      </w:pPr>
      <w:r>
        <w:rPr>
          <w:rFonts w:ascii="Calibri" w:eastAsia="Calibri" w:hAnsi="Calibri" w:cs="Calibri"/>
          <w:color w:val="000000"/>
          <w:sz w:val="24"/>
          <w:szCs w:val="24"/>
        </w:rPr>
        <w:t>Formulación de la Hipótesis</w:t>
      </w:r>
    </w:p>
    <w:p w14:paraId="6B5C4654" w14:textId="77777777" w:rsidR="0044299D" w:rsidRDefault="00000000">
      <w:pPr>
        <w:spacing w:after="160"/>
        <w:jc w:val="both"/>
      </w:pPr>
      <w:r>
        <w:rPr>
          <w:color w:val="000000"/>
          <w:sz w:val="24"/>
          <w:szCs w:val="24"/>
        </w:rPr>
        <w:t>El objetivo general es descriptivo y no requiere contraste de hipótesis. Para el objetivo específico 5, de carácter exploratorio, se plantean las siguientes hipótesis estadísticas, cuya evaluación dependerá del número de pacientes y eventos observados:</w:t>
      </w:r>
    </w:p>
    <w:p w14:paraId="4E02FD13" w14:textId="6F687631" w:rsidR="0044299D" w:rsidRDefault="00000000">
      <w:pPr>
        <w:spacing w:after="160"/>
        <w:jc w:val="both"/>
      </w:pPr>
      <w:r>
        <w:rPr>
          <w:b/>
          <w:bCs/>
          <w:color w:val="000000"/>
          <w:sz w:val="24"/>
          <w:szCs w:val="24"/>
        </w:rPr>
        <w:lastRenderedPageBreak/>
        <w:t>Hipótesis nula (H0):</w:t>
      </w:r>
      <w:r>
        <w:rPr>
          <w:color w:val="000000"/>
          <w:sz w:val="24"/>
          <w:szCs w:val="24"/>
        </w:rPr>
        <w:t xml:space="preserve"> la proporción de pacientes que presentan el desenlace primario compuesto (complicación mayor o muerte intrahospitalaria) es la misma en revascularización coronaria, cirugía valvular y cirugía combinada.</w:t>
      </w:r>
    </w:p>
    <w:p w14:paraId="63B3A5C8" w14:textId="14F4C088" w:rsidR="0044299D" w:rsidRDefault="00000000">
      <w:pPr>
        <w:spacing w:after="160"/>
        <w:jc w:val="both"/>
      </w:pPr>
      <w:r>
        <w:rPr>
          <w:b/>
          <w:bCs/>
          <w:color w:val="000000"/>
          <w:sz w:val="24"/>
          <w:szCs w:val="24"/>
        </w:rPr>
        <w:t>Hipótesis alternativa (H1):</w:t>
      </w:r>
      <w:r>
        <w:rPr>
          <w:color w:val="000000"/>
          <w:sz w:val="24"/>
          <w:szCs w:val="24"/>
        </w:rPr>
        <w:t xml:space="preserve"> la proporción de pacientes que presentan el desenlace primario compuesto difiere en al menos uno de los tres tipos de cirugía cardíaca mayor.</w:t>
      </w:r>
    </w:p>
    <w:p w14:paraId="7DEBC85D" w14:textId="77777777" w:rsidR="005D1D70" w:rsidRDefault="00000000">
      <w:pPr>
        <w:pStyle w:val="Ttulo2"/>
        <w:numPr>
          <w:ilvl w:val="1"/>
          <w:numId w:val="2"/>
        </w:numPr>
        <w:spacing w:before="0"/>
        <w:rPr>
          <w:rFonts w:ascii="Calibri" w:eastAsia="Calibri" w:hAnsi="Calibri" w:cs="Calibri"/>
          <w:color w:val="000000"/>
        </w:rPr>
      </w:pPr>
      <w:bookmarkStart w:id="6" w:name="_heading=h.1b7563g693d1" w:colFirst="0" w:colLast="0"/>
      <w:bookmarkEnd w:id="6"/>
      <w:r>
        <w:rPr>
          <w:rFonts w:ascii="Calibri" w:eastAsia="Calibri" w:hAnsi="Calibri" w:cs="Calibri"/>
          <w:color w:val="000000"/>
        </w:rPr>
        <w:t>JUSTIFICACIÓN DE LA INVESTIGACIÓN</w:t>
      </w:r>
    </w:p>
    <w:p w14:paraId="59728867" w14:textId="77777777" w:rsidR="005D1D70" w:rsidRDefault="005D1D70">
      <w:pPr>
        <w:spacing w:after="0"/>
        <w:rPr>
          <w:sz w:val="24"/>
          <w:szCs w:val="24"/>
        </w:rPr>
      </w:pPr>
    </w:p>
    <w:p w14:paraId="19E7B18F" w14:textId="4768B901" w:rsidR="005D1D70" w:rsidRDefault="00000000">
      <w:pPr>
        <w:jc w:val="both"/>
        <w:rPr>
          <w:sz w:val="24"/>
          <w:szCs w:val="24"/>
        </w:rPr>
      </w:pPr>
      <w:r>
        <w:rPr>
          <w:sz w:val="24"/>
          <w:szCs w:val="24"/>
        </w:rPr>
        <w:t>La pertinencia de investigar los desenlaces de la cirugía cardíaca sin transfusión en pacientes Testigos de Jehová se sustenta en tres componentes complementarios: magnitud, trascendencia y vulnerabilidad del problema, a los que se añade la factibilidad del estudio.</w:t>
      </w:r>
    </w:p>
    <w:p w14:paraId="68938221" w14:textId="442ECDFD" w:rsidR="005D1D70" w:rsidRDefault="00000000">
      <w:pPr>
        <w:jc w:val="both"/>
        <w:rPr>
          <w:sz w:val="24"/>
          <w:szCs w:val="24"/>
        </w:rPr>
      </w:pPr>
      <w:r>
        <w:rPr>
          <w:sz w:val="24"/>
          <w:szCs w:val="24"/>
        </w:rPr>
        <w:t>En términos de magnitud, la cirugía cardíaca mayor es un escenario de riesgo de sangrado perioperatorio, coagulopatía y variabilidad en las prácticas transfusionales. Las guías de manejo de la sangre del paciente recomiendan evaluar y tratar la anemia, disminuir las pérdidas sanguíneas y utilizar criterios clínicos y protocolos para decidir sobre la transfusión cuando esta sea aceptada (15). En pacientes que rechazan los glóbulos rojos, la planificación de alternativas y de las preferencias individuales debe comenzar antes de la operación (1,15). Los consensos recientes también proponen medir el sangrado y el manejo transfusional con indicadores institucionales explícitos (16). En Colombia, con aproximadamente un Testigo de Jehová por cada 274 habitantes (3), una institución de referencia cardiovascular del Caribe colombiano atiende de manera recurrente a pacientes de esta población, sin que exista un registro que permita dimensionar sus resultados.</w:t>
      </w:r>
    </w:p>
    <w:p w14:paraId="7DF41B41" w14:textId="77777777" w:rsidR="005D1D70" w:rsidRDefault="00000000">
      <w:pPr>
        <w:jc w:val="both"/>
        <w:rPr>
          <w:sz w:val="24"/>
          <w:szCs w:val="24"/>
        </w:rPr>
      </w:pPr>
      <w:r>
        <w:rPr>
          <w:sz w:val="24"/>
          <w:szCs w:val="24"/>
        </w:rPr>
        <w:t xml:space="preserve">La trascendencia del problema radica en su impacto pronóstico. En cirugía cardiaca, un metaanálisis de 39 estudios con 180.074 pacientes encontró una asociación entre transfusión perioperatoria y mortalidad temprana (OR 3,87) y a largo plazo (OR 2,01), pero el sangrado y la mayor gravedad clínica de quienes reciben transfusiones impiden atribuir causalidad a esa asociación (21). En pacientes Testigos de Jehová, un metaanálisis de diez estudios retrospectivos con 2.302 pacientes —950 Testigos de Jehová y 1.352 comparadores— no detectó diferencias concluyentes en mortalidad temprana ni reexploración por sangrado; el intervalo de confianza de la mortalidad (OR 1,13; IC del 95 %: 0,74–1,73) no permite demostrar equivalencia (17). Las cohortes emparejadas también presentan riesgos de selección y confusión residual (22). La urgencia modifica sustancialmente el pronóstico: en una cohorte reciente de Testigos de Jehová, la mortalidad a 30 días fue de 42,9 % en cirugía emergente frente a 2,9 % en cirugía electiva, y la cirugía emergente y la anemia posoperatoria grave fueron predictores independientes de mortalidad (23). Por ello resulta pertinente describir los resultados institucionales, la anemia </w:t>
        <w:lastRenderedPageBreak/>
        <w:t>posoperatoria y las complicaciones mayores sin extrapolar la seguridad observada en centros seleccionados a esta población local (8,17,22,24).</w:t>
      </w:r>
    </w:p>
    <w:p w14:paraId="18C682B4" w14:textId="77777777" w:rsidR="005D1D70" w:rsidRDefault="00000000">
      <w:pPr>
        <w:jc w:val="both"/>
        <w:rPr>
          <w:sz w:val="24"/>
          <w:szCs w:val="24"/>
        </w:rPr>
      </w:pPr>
      <w:r>
        <w:rPr>
          <w:sz w:val="24"/>
          <w:szCs w:val="24"/>
        </w:rPr>
        <w:t>El problema es vulnerable, es decir, susceptible de intervención: la anemia preoperatoria, la pérdida sanguínea y la anemia iatrogénica son factores modificables mediante programas de manejo de la sangre del paciente (15,25), y conocer su frecuencia local permite priorizar acciones. En cuanto a la factibilidad, primero, el diseño planteado (cohorte retrospectiva institucional) permite aprovechar registros clínicos existentes y reconstruir de forma cronológica la exposición (tipo de procedimiento: revascularización coronaria, cirugía valvular o cirugía combinada) y los desenlaces (morbimortalidad, accidente cerebrovascular, lesión renal aguda, shock cardiogénico, complicaciones respiratorias e infecciones graves), sin interferir con la práctica clínica habitual. Esto favorece la producción de evidencia aplicable a la toma de decisiones y al mejoramiento de protocolos locales, en consonancia con la tendencia internacional a implementar programas formales de manejo de hemoderivados y métricas de calidad centradas en control del sangrado (15,16). Segundo, el estudio es éticamente viable y socialmente valioso, siempre que se ejecute con salvaguardas estrictas para información sensible: en Colombia, la Ley 23 de 1981 establece obligaciones de ética médica y confidencialidad (12), la Resolución 8430 de 1993 regula la investigación en salud y su clasificación de riesgo en estudios con fuentes secundarias (13), y la Ley 1581 de 2012 exige protección reforzada de datos personales, incluidos datos sensibles como información de salud y convicciones religiosas (14). En conjunto, estas normas respaldan la viabilidad de un estudio retrospectivo que use datos anonimizados, con acceso restringido y fines científicos legítimos, y al mismo tiempo obligan a una ejecución metodológicamente cuidadosa para evitar vulneraciones de privacidad o uso inadecuado de información.</w:t>
      </w:r>
    </w:p>
    <w:p>
      <w:pPr>
        <w:jc w:val="both"/>
      </w:pPr>
      <w:r>
        <w:rPr>
          <w:b/>
          <w:bCs/>
          <w:color w:val="000000"/>
          <w:sz w:val="24"/>
          <w:szCs w:val="24"/>
          <w:highlight w:val="yellow"/>
        </w:rPr>
        <w:t xml:space="preserve">Justificación de la población de estudio.</w:t>
      </w:r>
      <w:r>
        <w:rPr>
          <w:color w:val="000000"/>
          <w:sz w:val="24"/>
          <w:szCs w:val="24"/>
          <w:highlight w:val="yellow"/>
        </w:rPr>
        <w:t xml:space="preserve"> La delimitación de la cohorte a pacientes Testigos de Jehová con rechazo transfusional documentado responde a razones científicas, clínicas y éticas, y no a un juicio sobre la afiliación religiosa. En primer lugar, permite la comparabilidad externa: la evidencia de referencia sobre cirugía cardiaca sin transfusión —metaanálisis, cohortes emparejadas y series institucionales— define su población como Testigos de Jehová (5-8,17,19,22,23,34,35,44,62,63), y «Testigos de Jehová» es un descriptor controlado en DeCS y MeSH. Definir la cohorte de otra manera impediría contrastar los resultados institucionales con ese cuerpo de evidencia, que es precisamente el vacío que el estudio busca llenar. Esa comparación es necesaria porque los resultados no son extrapolables entre centros: frente a la baja mortalidad de los centros especializados (6,7), una serie de un hospital terciario brasileño informó una mortalidad del 18,8 % en Testigos de Jehová frente al 4,2 % en controles (63).</w:t>
      </w:r>
    </w:p>
    <w:p>
      <w:pPr>
        <w:jc w:val="both"/>
      </w:pPr>
      <w:r>
        <w:rPr>
          <w:color w:val="000000"/>
          <w:sz w:val="24"/>
          <w:szCs w:val="24"/>
          <w:highlight w:val="yellow"/>
        </w:rPr>
        <w:t xml:space="preserve">En segundo lugar, garantiza la homogeneidad del fenómeno clínico. Durante 2020–2025, la condición de Testigo de Jehová se asociaba con una negativa anticipada, estable y documentada —a menudo mediante un documento de directrices médicas anticipadas— a los componentes principales de la sangre, que activaba desde el preoperatorio una ruta de cirugía sin transfusión: optimización de la hemoglobina, planificación de alternativas aceptables y límites terapéuticos acordados (1,4). El rechazo transfusional de pacientes sin esta condición es excepcional en cirugía cardiaca, suele ser parcial, circunstancial o revocable y carece de documentación estandarizada; incluirlo mezclaría situaciones clínicas no comparables y aumentaría el error de clasificación de la estrategia sin transfusión. Este enfoque tiene precedente en la cohorte de Pattakos et al., que estudió el rechazo de transfusión en Testigos de Jehová por ser la población en la que esa negativa constituye un «experimento natural» de conservación sanguínea estricta (7).</w:t>
      </w:r>
    </w:p>
    <w:p>
      <w:pPr>
        <w:jc w:val="both"/>
      </w:pPr>
      <w:r>
        <w:rPr>
          <w:color w:val="000000"/>
          <w:sz w:val="24"/>
          <w:szCs w:val="24"/>
          <w:highlight w:val="yellow"/>
        </w:rPr>
        <w:t xml:space="preserve">En tercer lugar, responde a criterios de justicia y valor social. La Corte Constitucional ha reconocido el derecho de los pacientes Testigos de Jehová plenamente capaces a recibir tratamiento sin transfusión, incluida la cirugía cardiovascular, y ha ordenado garantizarlo (58,59); las instituciones necesitan, por tanto, evidencia local sobre los resultados de esa atención. Excluir a este grupo o diluirlo en una población heterogénea lo privaría de información directamente útil para sus propias decisiones, en contravía de la distribución equitativa de las cargas y los beneficios de la investigación (10,54). Finalmente, la condición religiosa no es una variable de exposición ni de análisis: es constante en toda la cohorte y no se compararán Testigos de Jehová con otros grupos, de modo que el diseño no permite ni pretende atribuir desenlaces a la religión. La elegibilidad operativa la define la decisión clínica individual documentada (numeral 3.2.2).</w:t>
      </w:r>
    </w:p>
    <w:p w14:paraId="1290F10F" w14:textId="77777777" w:rsidR="005D1D70" w:rsidRDefault="00000000">
      <w:pPr>
        <w:jc w:val="both"/>
        <w:rPr>
          <w:sz w:val="24"/>
          <w:szCs w:val="24"/>
        </w:rPr>
      </w:pPr>
      <w:r>
        <w:rPr>
          <w:sz w:val="24"/>
          <w:szCs w:val="24"/>
        </w:rPr>
        <w:t>En síntesis, investigar este problema tiene mérito social (mejorar seguridad del paciente y respeto por decisiones informadas), mérito científico (aportar evidencia institucional sobre desenlaces sistémicos y morbimortalidad en cirugía sin transfusión) y mérito disciplinar (fortalecer la práctica de medicina Interna, cirugía cardiovascular y cuidado crítico en cumplimiento ético-normativo) (12-17,21,22).</w:t>
      </w:r>
    </w:p>
    <w:p w14:paraId="5D7C92BB" w14:textId="77777777" w:rsidR="005D1D70" w:rsidRDefault="005D1D70">
      <w:pPr>
        <w:rPr>
          <w:sz w:val="24"/>
          <w:szCs w:val="24"/>
        </w:rPr>
      </w:pPr>
    </w:p>
    <w:p w14:paraId="0F15F850" w14:textId="77777777" w:rsidR="005D1D70" w:rsidRDefault="00000000">
      <w:pPr>
        <w:pStyle w:val="Ttulo2"/>
        <w:numPr>
          <w:ilvl w:val="1"/>
          <w:numId w:val="2"/>
        </w:numPr>
        <w:spacing w:before="0"/>
        <w:rPr>
          <w:rFonts w:ascii="Calibri" w:eastAsia="Calibri" w:hAnsi="Calibri" w:cs="Calibri"/>
          <w:color w:val="000000"/>
        </w:rPr>
      </w:pPr>
      <w:bookmarkStart w:id="7" w:name="_heading=h.wcya4j19t0yi" w:colFirst="0" w:colLast="0"/>
      <w:bookmarkEnd w:id="7"/>
      <w:r>
        <w:rPr>
          <w:rFonts w:ascii="Calibri" w:eastAsia="Calibri" w:hAnsi="Calibri" w:cs="Calibri"/>
          <w:color w:val="000000"/>
        </w:rPr>
        <w:t>OBJETIVOS</w:t>
      </w:r>
    </w:p>
    <w:p w14:paraId="58E3C983" w14:textId="77777777" w:rsidR="005D1D70" w:rsidRDefault="005D1D70">
      <w:pPr>
        <w:spacing w:after="0"/>
        <w:jc w:val="both"/>
        <w:rPr>
          <w:sz w:val="24"/>
          <w:szCs w:val="24"/>
        </w:rPr>
      </w:pPr>
    </w:p>
    <w:p w14:paraId="35B68620" w14:textId="77777777" w:rsidR="005D1D70" w:rsidRDefault="005D1D70">
      <w:pPr>
        <w:spacing w:after="0"/>
        <w:jc w:val="both"/>
        <w:rPr>
          <w:sz w:val="24"/>
          <w:szCs w:val="24"/>
        </w:rPr>
      </w:pPr>
    </w:p>
    <w:p w14:paraId="364443CE" w14:textId="77777777" w:rsidR="005D1D70" w:rsidRDefault="00000000">
      <w:pPr>
        <w:pStyle w:val="Ttulo3"/>
        <w:numPr>
          <w:ilvl w:val="2"/>
          <w:numId w:val="2"/>
        </w:numPr>
        <w:spacing w:before="0"/>
        <w:jc w:val="both"/>
        <w:rPr>
          <w:rFonts w:ascii="Calibri" w:eastAsia="Calibri" w:hAnsi="Calibri" w:cs="Calibri"/>
          <w:color w:val="000000"/>
          <w:sz w:val="24"/>
          <w:szCs w:val="24"/>
        </w:rPr>
      </w:pPr>
      <w:bookmarkStart w:id="8" w:name="_heading=h.7yhrqtxztqbw" w:colFirst="0" w:colLast="0"/>
      <w:bookmarkEnd w:id="8"/>
      <w:r>
        <w:rPr>
          <w:rFonts w:ascii="Calibri" w:eastAsia="Calibri" w:hAnsi="Calibri" w:cs="Calibri"/>
          <w:color w:val="000000"/>
          <w:sz w:val="24"/>
          <w:szCs w:val="24"/>
        </w:rPr>
        <w:t>Objetivo General</w:t>
      </w:r>
    </w:p>
    <w:p w14:paraId="73EA08EE" w14:textId="77777777" w:rsidR="005D1D70" w:rsidRDefault="005D1D70">
      <w:pPr>
        <w:spacing w:after="0"/>
        <w:jc w:val="both"/>
      </w:pPr>
    </w:p>
    <w:p w14:paraId="74657D28" w14:textId="77777777" w:rsidR="005D1D70" w:rsidRDefault="00000000">
      <w:pPr>
        <w:spacing w:after="0"/>
        <w:jc w:val="both"/>
        <w:rPr>
          <w:rFonts w:ascii="Aptos" w:eastAsia="Aptos" w:hAnsi="Aptos" w:cs="Aptos"/>
        </w:rPr>
      </w:pPr>
      <w:r>
        <w:rPr>
          <w:rFonts w:ascii="Aptos" w:eastAsia="Aptos" w:hAnsi="Aptos" w:cs="Aptos"/>
        </w:rPr>
        <w:lastRenderedPageBreak/>
        <w:t>Estimar la frecuencia de complicación mayor o muerte intrahospitalaria y describir los desenlaces según el tipo de cirugía cardiaca mayor —revascularización coronaria, cirugía valvular o cirugía combinada— en pacientes adultos Testigos de Jehová con rechazo transfusional documentado atendidos en la Clínica General del Norte entre 2020 y 2025.</w:t>
      </w:r>
    </w:p>
    <w:p w14:paraId="0C851BDE" w14:textId="77777777" w:rsidR="00EB34DB" w:rsidRDefault="00EB34DB">
      <w:pPr>
        <w:spacing w:after="0"/>
        <w:jc w:val="both"/>
        <w:rPr>
          <w:rFonts w:ascii="Aptos" w:eastAsia="Aptos" w:hAnsi="Aptos" w:cs="Aptos"/>
        </w:rPr>
      </w:pPr>
    </w:p>
    <w:p w14:paraId="747F5A8B" w14:textId="77777777" w:rsidR="005D1D70" w:rsidRDefault="00000000">
      <w:pPr>
        <w:pStyle w:val="Ttulo3"/>
        <w:numPr>
          <w:ilvl w:val="2"/>
          <w:numId w:val="2"/>
        </w:numPr>
        <w:spacing w:before="0"/>
        <w:jc w:val="both"/>
        <w:rPr>
          <w:rFonts w:ascii="Calibri" w:eastAsia="Calibri" w:hAnsi="Calibri" w:cs="Calibri"/>
          <w:color w:val="000000"/>
          <w:sz w:val="24"/>
          <w:szCs w:val="24"/>
        </w:rPr>
      </w:pPr>
      <w:bookmarkStart w:id="9" w:name="_heading=h.sna6qlci3qoa" w:colFirst="0" w:colLast="0"/>
      <w:bookmarkEnd w:id="9"/>
      <w:r>
        <w:rPr>
          <w:rFonts w:ascii="Calibri" w:eastAsia="Calibri" w:hAnsi="Calibri" w:cs="Calibri"/>
          <w:color w:val="000000"/>
          <w:sz w:val="24"/>
          <w:szCs w:val="24"/>
        </w:rPr>
        <w:t>Objetivos Específicos</w:t>
      </w:r>
    </w:p>
    <w:p w14:paraId="54C17FCE" w14:textId="77777777" w:rsidR="005D1D70" w:rsidRDefault="005D1D70">
      <w:pPr>
        <w:spacing w:after="0"/>
        <w:jc w:val="both"/>
        <w:rPr>
          <w:b/>
          <w:bCs/>
          <w:sz w:val="24"/>
          <w:szCs w:val="24"/>
        </w:rPr>
      </w:pPr>
    </w:p>
    <w:p w14:paraId="1E50DEAD" w14:textId="77777777" w:rsidR="005D1D70" w:rsidRDefault="00000000">
      <w:pPr>
        <w:numPr>
          <w:ilvl w:val="0"/>
          <w:numId w:val="5"/>
        </w:numPr>
        <w:spacing w:after="0"/>
        <w:jc w:val="both"/>
        <w:rPr>
          <w:sz w:val="24"/>
          <w:szCs w:val="24"/>
        </w:rPr>
      </w:pPr>
      <w:r>
        <w:rPr>
          <w:sz w:val="24"/>
          <w:szCs w:val="24"/>
        </w:rPr>
        <w:t xml:space="preserve">Describir las características sociodemográficas, clínicas, de riesgo quirúrgico basal (EuroSCORE II) y quirúrgicas de los pacientes Testigos de Jehová con rechazo transfusional documentado sometidos a cirugía cardiaca mayor.</w:t>
      </w:r>
    </w:p>
    <w:p w14:paraId="57934C55" w14:textId="77777777" w:rsidR="005D1D70" w:rsidRDefault="00000000">
      <w:pPr>
        <w:numPr>
          <w:ilvl w:val="0"/>
          <w:numId w:val="5"/>
        </w:numPr>
        <w:spacing w:after="0"/>
        <w:jc w:val="both"/>
        <w:rPr>
          <w:sz w:val="24"/>
          <w:szCs w:val="24"/>
        </w:rPr>
      </w:pPr>
      <w:r>
        <w:rPr>
          <w:sz w:val="24"/>
          <w:szCs w:val="24"/>
        </w:rPr>
        <w:t>Describir la trayectoria perioperatoria de la hemoglobina y el hematocrito, la pérdida sanguínea posoperatoria y la frecuencia de anemia preoperatoria y de anemia posoperatoria grave.</w:t>
      </w:r>
    </w:p>
    <w:p w14:paraId="48E43617" w14:textId="52F956FD" w:rsidR="005D1D70" w:rsidRDefault="00000000">
      <w:pPr>
        <w:numPr>
          <w:ilvl w:val="0"/>
          <w:numId w:val="5"/>
        </w:numPr>
        <w:spacing w:after="0"/>
        <w:jc w:val="both"/>
        <w:rPr>
          <w:sz w:val="24"/>
          <w:szCs w:val="24"/>
        </w:rPr>
      </w:pPr>
      <w:r>
        <w:rPr>
          <w:sz w:val="24"/>
          <w:szCs w:val="24"/>
        </w:rPr>
        <w:t xml:space="preserve">Estimar la frecuencia del desenlace primario compuesto y de cada uno de sus componentes, así como de los desenlaces secundarios —mortalidad a 30 días, infarto de miocardio perioperatorio, fibrilación auricular posoperatoria, sangrado mayor, estancia en cuidados intensivos y estancia hospitalaria—, globalmente y según el tipo de cirugía.</w:t>
      </w:r>
    </w:p>
    <w:p w14:paraId="75FBE8B1" w14:textId="400BB5C0" w:rsidR="005D1D70" w:rsidRDefault="00000000">
      <w:pPr>
        <w:numPr>
          <w:ilvl w:val="0"/>
          <w:numId w:val="5"/>
        </w:numPr>
        <w:spacing w:after="0"/>
        <w:jc w:val="both"/>
        <w:rPr>
          <w:sz w:val="24"/>
          <w:szCs w:val="24"/>
        </w:rPr>
      </w:pPr>
      <w:r>
        <w:rPr>
          <w:sz w:val="24"/>
          <w:szCs w:val="24"/>
        </w:rPr>
        <w:t xml:space="preserve">Explorar, si el número de pacientes y eventos lo permite, las diferencias en el desenlace primario según el tipo de cirugía, teniendo en cuenta la urgencia, el riesgo quirúrgico basal y la incertidumbre de las estimaciones.</w:t>
      </w:r>
    </w:p>
    <w:p w14:paraId="5C1AD46C" w14:textId="77777777" w:rsidR="005D1D70" w:rsidRDefault="005D1D70">
      <w:pPr>
        <w:pBdr>
          <w:top w:val="nil"/>
          <w:left w:val="nil"/>
          <w:bottom w:val="nil"/>
          <w:right w:val="nil"/>
          <w:between w:val="nil"/>
        </w:pBdr>
        <w:spacing w:after="0"/>
        <w:jc w:val="both"/>
        <w:rPr>
          <w:sz w:val="24"/>
          <w:szCs w:val="24"/>
        </w:rPr>
      </w:pPr>
    </w:p>
    <w:p w14:paraId="0C541252" w14:textId="77777777" w:rsidR="005D1D70" w:rsidRDefault="005D1D70">
      <w:pPr>
        <w:spacing w:after="0"/>
        <w:jc w:val="both"/>
        <w:rPr>
          <w:b/>
          <w:bCs/>
          <w:sz w:val="24"/>
          <w:szCs w:val="24"/>
        </w:rPr>
      </w:pPr>
    </w:p>
    <w:p w14:paraId="104F9A86" w14:textId="77777777" w:rsidR="005D1D70" w:rsidRDefault="005D1D70">
      <w:pPr>
        <w:spacing w:after="0"/>
        <w:jc w:val="both"/>
        <w:rPr>
          <w:b/>
          <w:bCs/>
          <w:sz w:val="24"/>
          <w:szCs w:val="24"/>
        </w:rPr>
      </w:pPr>
    </w:p>
    <w:p w14:paraId="58E7CC23" w14:textId="77777777" w:rsidR="005D1D70" w:rsidRDefault="005D1D70">
      <w:pPr>
        <w:spacing w:after="0"/>
        <w:jc w:val="both"/>
        <w:rPr>
          <w:b/>
          <w:bCs/>
          <w:sz w:val="24"/>
          <w:szCs w:val="24"/>
        </w:rPr>
      </w:pPr>
    </w:p>
    <w:p w14:paraId="4F8F432A" w14:textId="77777777" w:rsidR="005D1D70" w:rsidRDefault="00000000">
      <w:pPr>
        <w:rPr>
          <w:b/>
          <w:bCs/>
          <w:sz w:val="24"/>
          <w:szCs w:val="24"/>
        </w:rPr>
      </w:pPr>
      <w:r>
        <w:br w:type="page"/>
      </w:r>
    </w:p>
    <w:p w14:paraId="4610840A" w14:textId="77777777" w:rsidR="005D1D70" w:rsidRDefault="00000000">
      <w:pPr>
        <w:pStyle w:val="Ttulo2"/>
        <w:numPr>
          <w:ilvl w:val="1"/>
          <w:numId w:val="2"/>
        </w:numPr>
        <w:spacing w:before="0"/>
        <w:rPr>
          <w:rFonts w:ascii="Calibri" w:eastAsia="Calibri" w:hAnsi="Calibri" w:cs="Calibri"/>
          <w:color w:val="000000"/>
        </w:rPr>
      </w:pPr>
      <w:bookmarkStart w:id="10" w:name="_heading=h.h0zmu8sauxo4" w:colFirst="0" w:colLast="0"/>
      <w:bookmarkEnd w:id="10"/>
      <w:r>
        <w:rPr>
          <w:rFonts w:ascii="Calibri" w:eastAsia="Calibri" w:hAnsi="Calibri" w:cs="Calibri"/>
          <w:color w:val="000000"/>
        </w:rPr>
        <w:lastRenderedPageBreak/>
        <w:t>PROPÓSITO</w:t>
      </w:r>
    </w:p>
    <w:p w14:paraId="02A64F0D" w14:textId="77777777" w:rsidR="0044299D" w:rsidRDefault="00000000">
      <w:pPr>
        <w:spacing w:after="160"/>
        <w:jc w:val="both"/>
      </w:pPr>
      <w:r>
        <w:rPr>
          <w:color w:val="000000"/>
          <w:sz w:val="24"/>
          <w:szCs w:val="24"/>
        </w:rPr>
        <w:t>Este estudio busca estimar la frecuencia institucional de complicación mayor o muerte intrahospitalaria tras cirugía cardiaca en adultos Testigos de Jehová con rechazo transfusional documentado durante 2020–2025. Se describirán las características clínicas, las estrategias de conservación sanguínea, los parámetros hematológicos y los desenlaces secundarios, globalmente y por tipo de procedimiento.</w:t>
      </w:r>
    </w:p>
    <w:p w14:paraId="413349EA" w14:textId="77777777" w:rsidR="0044299D" w:rsidRDefault="00000000">
      <w:pPr>
        <w:spacing w:after="160"/>
        <w:jc w:val="both"/>
      </w:pPr>
      <w:r>
        <w:rPr>
          <w:color w:val="000000"/>
          <w:sz w:val="24"/>
          <w:szCs w:val="24"/>
        </w:rPr>
        <w:t>La interpretación de las diferencias entre procedimientos tendrá en cuenta la precisión de las estimaciones, la posibilidad de confusión y las limitaciones del seguimiento retrospectivo. Los hallazgos podrán orientar la revisión de procesos institucionales de manejo perioperatorio, sin atribuir causalidad al tipo de cirugía ni afirmar equivalencia con pacientes que aceptan transfusión.</w:t>
      </w:r>
    </w:p>
    <w:p w14:paraId="67A76595" w14:textId="77777777" w:rsidR="0044299D" w:rsidRDefault="00000000">
      <w:pPr>
        <w:spacing w:after="160"/>
        <w:jc w:val="both"/>
      </w:pPr>
      <w:r>
        <w:rPr>
          <w:color w:val="000000"/>
          <w:sz w:val="24"/>
          <w:szCs w:val="24"/>
        </w:rPr>
        <w:t>En el ámbito institucional, los resultados podrán contribuir al fortalecimiento y eventual estandarización de protocolos de manejo de la sangre del paciente, promover la articulación entre los servicios de Medicina Interna, Cardiología, Cirugía Cardiovascular, Anestesiología, Cuidado Intensivo y Hematología, y favorecer una atención más segura, eficiente y basada en evidencia. Asimismo, el proyecto busca aportar información útil para la evaluación de la calidad asistencial, la reducción de complicaciones potencialmente prevenibles y el respeto de la autonomía del paciente, consolidando un modelo de atención clínica integral aplicable a otros escenarios de cirugía mayor con restricciones transfusionales.</w:t>
      </w:r>
    </w:p>
    <w:p w14:paraId="1BF0F23A" w14:textId="77777777" w:rsidR="005D1D70" w:rsidRDefault="005D1D70">
      <w:pPr>
        <w:spacing w:before="240" w:after="240" w:line="240" w:lineRule="auto"/>
        <w:jc w:val="both"/>
        <w:rPr>
          <w:sz w:val="24"/>
          <w:szCs w:val="24"/>
        </w:rPr>
      </w:pPr>
    </w:p>
    <w:p w14:paraId="05896088" w14:textId="77777777" w:rsidR="005D1D70" w:rsidRDefault="005D1D70">
      <w:pPr>
        <w:pBdr>
          <w:top w:val="nil"/>
          <w:left w:val="nil"/>
          <w:bottom w:val="nil"/>
          <w:right w:val="nil"/>
          <w:between w:val="nil"/>
        </w:pBdr>
        <w:spacing w:line="240" w:lineRule="auto"/>
        <w:jc w:val="both"/>
        <w:rPr>
          <w:sz w:val="24"/>
          <w:szCs w:val="24"/>
        </w:rPr>
      </w:pPr>
    </w:p>
    <w:p w14:paraId="0249037F" w14:textId="77777777" w:rsidR="005D1D70" w:rsidRDefault="005D1D70">
      <w:pPr>
        <w:spacing w:after="0"/>
        <w:jc w:val="both"/>
        <w:rPr>
          <w:sz w:val="24"/>
          <w:szCs w:val="24"/>
        </w:rPr>
      </w:pPr>
    </w:p>
    <w:p w14:paraId="4617DA8E" w14:textId="77777777" w:rsidR="005D1D70" w:rsidRDefault="005D1D70">
      <w:pPr>
        <w:spacing w:after="0"/>
        <w:jc w:val="both"/>
        <w:rPr>
          <w:sz w:val="24"/>
          <w:szCs w:val="24"/>
        </w:rPr>
      </w:pPr>
    </w:p>
    <w:p w14:paraId="1C285501" w14:textId="77777777" w:rsidR="005D1D70" w:rsidRDefault="005D1D70">
      <w:pPr>
        <w:spacing w:after="0"/>
        <w:jc w:val="both"/>
        <w:rPr>
          <w:sz w:val="24"/>
          <w:szCs w:val="24"/>
        </w:rPr>
      </w:pPr>
    </w:p>
    <w:p w14:paraId="5251C28E" w14:textId="77777777" w:rsidR="005D1D70" w:rsidRDefault="005D1D70">
      <w:pPr>
        <w:spacing w:after="0"/>
        <w:jc w:val="both"/>
        <w:rPr>
          <w:sz w:val="24"/>
          <w:szCs w:val="24"/>
        </w:rPr>
      </w:pPr>
    </w:p>
    <w:p w14:paraId="25A1AE75" w14:textId="77777777" w:rsidR="005D1D70" w:rsidRDefault="005D1D70">
      <w:pPr>
        <w:spacing w:after="0"/>
        <w:jc w:val="both"/>
        <w:rPr>
          <w:sz w:val="24"/>
          <w:szCs w:val="24"/>
        </w:rPr>
      </w:pPr>
    </w:p>
    <w:p w14:paraId="46AE956C" w14:textId="77777777" w:rsidR="005D1D70" w:rsidRDefault="00000000">
      <w:pPr>
        <w:rPr>
          <w:b/>
          <w:bCs/>
          <w:sz w:val="28"/>
          <w:szCs w:val="28"/>
        </w:rPr>
      </w:pPr>
      <w:r>
        <w:br w:type="page"/>
      </w:r>
    </w:p>
    <w:p w14:paraId="32A71EAF" w14:textId="77777777" w:rsidR="005D1D70" w:rsidRDefault="00000000">
      <w:pPr>
        <w:pStyle w:val="Ttulo1"/>
        <w:numPr>
          <w:ilvl w:val="0"/>
          <w:numId w:val="2"/>
        </w:numPr>
        <w:shd w:val="clear" w:color="auto" w:fill="BFBFBF"/>
        <w:jc w:val="center"/>
        <w:rPr>
          <w:rFonts w:ascii="Calibri" w:eastAsia="Calibri" w:hAnsi="Calibri" w:cs="Calibri"/>
          <w:color w:val="000000"/>
        </w:rPr>
      </w:pPr>
      <w:bookmarkStart w:id="11" w:name="_heading=h.vvon4dc10gdr" w:colFirst="0" w:colLast="0"/>
      <w:bookmarkEnd w:id="11"/>
      <w:r>
        <w:rPr>
          <w:rFonts w:ascii="Calibri" w:eastAsia="Calibri" w:hAnsi="Calibri" w:cs="Calibri"/>
          <w:color w:val="000000"/>
        </w:rPr>
        <w:lastRenderedPageBreak/>
        <w:t>MARCO DE REFERENCIA</w:t>
      </w:r>
    </w:p>
    <w:p w14:paraId="5051003B" w14:textId="77777777" w:rsidR="005D1D70" w:rsidRDefault="005D1D70">
      <w:pPr>
        <w:spacing w:after="0"/>
        <w:rPr>
          <w:b/>
          <w:bCs/>
          <w:sz w:val="24"/>
          <w:szCs w:val="24"/>
        </w:rPr>
      </w:pPr>
    </w:p>
    <w:p w14:paraId="4E82BD69" w14:textId="77777777" w:rsidR="005D1D70" w:rsidRDefault="00000000">
      <w:pPr>
        <w:spacing w:after="0"/>
        <w:rPr>
          <w:b/>
          <w:bCs/>
          <w:sz w:val="24"/>
          <w:szCs w:val="24"/>
        </w:rPr>
      </w:pPr>
      <w:r>
        <w:rPr>
          <w:b/>
          <w:bCs/>
          <w:sz w:val="24"/>
          <w:szCs w:val="24"/>
        </w:rPr>
        <w:t>2.1 MARCO TEÓRICO–CONCEPTUAL</w:t>
      </w:r>
    </w:p>
    <w:p w14:paraId="08A94728" w14:textId="77777777" w:rsidR="005D1D70" w:rsidRDefault="00000000">
      <w:pPr>
        <w:spacing w:after="0"/>
        <w:rPr>
          <w:b/>
          <w:bCs/>
          <w:sz w:val="24"/>
          <w:szCs w:val="24"/>
        </w:rPr>
      </w:pPr>
      <w:r>
        <w:rPr>
          <w:b/>
          <w:bCs/>
          <w:sz w:val="24"/>
          <w:szCs w:val="24"/>
        </w:rPr>
        <w:t>2.1.1 Hemorragia, hemostasia y variabilidad transfusional en cirugía cardiaca mayor</w:t>
      </w:r>
    </w:p>
    <w:p w14:paraId="611B6D1F" w14:textId="77777777" w:rsidR="005D1D70" w:rsidRDefault="005D1D70">
      <w:pPr>
        <w:spacing w:after="0"/>
        <w:rPr>
          <w:b/>
          <w:bCs/>
          <w:sz w:val="24"/>
          <w:szCs w:val="24"/>
        </w:rPr>
      </w:pPr>
    </w:p>
    <w:p w14:paraId="743622D0" w14:textId="77777777" w:rsidR="005D1D70" w:rsidRDefault="00000000">
      <w:pPr>
        <w:spacing w:after="0"/>
        <w:jc w:val="both"/>
        <w:rPr>
          <w:sz w:val="24"/>
          <w:szCs w:val="24"/>
        </w:rPr>
      </w:pPr>
      <w:r>
        <w:rPr>
          <w:sz w:val="24"/>
          <w:szCs w:val="24"/>
        </w:rPr>
        <w:t>La cirugía cardiaca mayor se caracteriza por un riesgo relevante de sangrado perioperatorio y disfunción hemostática, influido por factores del paciente, la complejidad del procedimiento, la circulación extracorpórea (CEC) y la respuesta inflamatoria sistémica (15,26,27). En este contexto, el sangrado no es solo un evento técnico: se asocia con exposición transfusional, reintervención, prolongación de ventilación mecánica, estancia prolongada en unidad de cuidados intensivos (UCI) y aumento del riesgo de complicaciones orgánicas (16,24,25,28).</w:t>
      </w:r>
    </w:p>
    <w:p w14:paraId="5BE27C9F" w14:textId="77777777" w:rsidR="005D1D70" w:rsidRDefault="00000000">
      <w:pPr>
        <w:spacing w:before="240" w:after="240"/>
        <w:jc w:val="both"/>
        <w:rPr>
          <w:sz w:val="24"/>
          <w:szCs w:val="24"/>
        </w:rPr>
      </w:pPr>
      <w:r>
        <w:rPr>
          <w:sz w:val="24"/>
          <w:szCs w:val="24"/>
        </w:rPr>
        <w:t xml:space="preserve">En los últimos años, se ha consolidado la necesidad de estandarizar la respuesta institucional al sangrado y a la transfusión mediante guías, consensos y métricas de calidad. El consenso conjunto sobre Recuperación Mejorada Después de la Cirugía (Enhanced Recovery After Surgery, ERAS) y manejo de hemoderivados propone indicadores y procesos que trascienden la reintervención por sangrado e incluyen la evaluación estructurada del riesgo hemorrágico, el control temprano del sangrado y la toma de decisiones basada en protocolos (16). De forma complementaria, las recomendaciones ERAS para el cuidado perioperatorio en cirugía cardiaca enfatizan la integración de estrategias preoperatorias, intraoperatorias y postoperatorias orientadas a reducir la variabilidad clínica y mejorar los desenlaces, considerando el manejo de hemoderivados del paciente como un componente fundamental de la calidad asistencial (29).</w:t>
      </w:r>
    </w:p>
    <w:p w14:paraId="1AD3D1BB" w14:textId="77777777" w:rsidR="005D1D70" w:rsidRDefault="005D1D70">
      <w:pPr>
        <w:spacing w:after="0"/>
        <w:rPr>
          <w:sz w:val="24"/>
          <w:szCs w:val="24"/>
        </w:rPr>
      </w:pPr>
    </w:p>
    <w:p w14:paraId="4B21B0F9" w14:textId="77777777" w:rsidR="005D1D70" w:rsidRDefault="00000000">
      <w:pPr>
        <w:spacing w:after="0"/>
        <w:jc w:val="both"/>
        <w:rPr>
          <w:b/>
          <w:bCs/>
          <w:sz w:val="26"/>
          <w:szCs w:val="26"/>
        </w:rPr>
      </w:pPr>
      <w:r>
        <w:rPr>
          <w:b/>
          <w:bCs/>
          <w:sz w:val="24"/>
          <w:szCs w:val="24"/>
        </w:rPr>
        <w:t xml:space="preserve">2.1.2 </w:t>
      </w:r>
      <w:r>
        <w:rPr>
          <w:b/>
          <w:bCs/>
          <w:sz w:val="26"/>
          <w:szCs w:val="26"/>
        </w:rPr>
        <w:t>Manejo de la sangre del paciente como marco integrador del cuidado perioperatorio</w:t>
      </w:r>
    </w:p>
    <w:p w14:paraId="668F2994" w14:textId="77777777" w:rsidR="005D1D70" w:rsidRDefault="00000000">
      <w:pPr>
        <w:spacing w:before="240" w:after="240"/>
        <w:jc w:val="both"/>
        <w:rPr>
          <w:sz w:val="24"/>
          <w:szCs w:val="24"/>
        </w:rPr>
      </w:pPr>
      <w:r>
        <w:rPr>
          <w:sz w:val="24"/>
          <w:szCs w:val="24"/>
        </w:rPr>
        <w:t xml:space="preserve">El manejo de la sangre del paciente es un modelo multidisciplinario y multimodal orientado a identificar y tratar la anemia, reducir la pérdida de sangre y evitar transfusiones innecesarias en cirugía cardiaca (15,25). El documento de actualización de las guías de la Society of Thoracic Surgeons, la Society of Cardiovascular Anesthesiologists, la American Society of ExtraCorporeal Technology y la Society for the Advancement of Patient Blood Management enfatiza que el manejo de la sangre del paciente en cirugía cardiaca debe implementarse como un programa institucional y no como un conjunto de intervenciones aisladas. Este enfoque integra tres componentes principales: i) corrección preoperatoria de la anemia y de las deficiencias susceptibles de tratamiento; ii) implementación de estrategias intraoperatorias destinadas a </w:t>
        <w:lastRenderedPageBreak/>
        <w:t xml:space="preserve">reducir el sangrado y optimizar la hemostasia; y iii) prevención de la anemia iatrogénica y vigilancia posoperatoria (15).</w:t>
      </w:r>
    </w:p>
    <w:p w14:paraId="1D3B0CE7" w14:textId="77777777" w:rsidR="005D1D70" w:rsidRDefault="00000000">
      <w:pPr>
        <w:spacing w:before="240" w:after="240"/>
        <w:jc w:val="both"/>
        <w:rPr>
          <w:sz w:val="24"/>
          <w:szCs w:val="24"/>
        </w:rPr>
      </w:pPr>
      <w:r>
        <w:rPr>
          <w:sz w:val="24"/>
          <w:szCs w:val="24"/>
        </w:rPr>
        <w:t xml:space="preserve">Dentro de este marco, otras guías perioperatorias relevantes aportan componentes de apoyo para la estandarización del cuidado. Por ejemplo, las guías de la Society of Thoracic Surgeons, la Society of Cardiovascular Anesthesiologists y la American Society of ExtraCorporeal Technology sobre anticoagulación durante la circulación extracorpórea proporcionan fundamentos para mejorar la seguridad del bypass cardiopulmonar y prevenir complicaciones hemorrágicas y trombóticas asociadas con la perfusión (26). Asimismo, las guías de la European Association for Cardio-Thoracic Surgery sobre medicación perioperatoria en cirugía cardiaca ofrecen recomendaciones para el manejo de antiagregantes plaquetarios, anticoagulantes y otros tratamientos farmacológicos con repercusión sobre el riesgo de sangrado y la hemostasia perioperatoria (27).</w:t>
      </w:r>
    </w:p>
    <w:p w14:paraId="7D6AB03D" w14:textId="77777777" w:rsidR="005D1D70" w:rsidRDefault="005D1D70">
      <w:pPr>
        <w:spacing w:after="0"/>
        <w:rPr>
          <w:b/>
          <w:bCs/>
          <w:sz w:val="24"/>
          <w:szCs w:val="24"/>
        </w:rPr>
      </w:pPr>
    </w:p>
    <w:p w14:paraId="00F80874" w14:textId="77777777" w:rsidR="005D1D70" w:rsidRDefault="00000000">
      <w:pPr>
        <w:spacing w:after="0"/>
        <w:rPr>
          <w:b/>
          <w:bCs/>
          <w:sz w:val="26"/>
          <w:szCs w:val="26"/>
        </w:rPr>
      </w:pPr>
      <w:r>
        <w:rPr>
          <w:b/>
          <w:bCs/>
          <w:sz w:val="24"/>
          <w:szCs w:val="24"/>
        </w:rPr>
        <w:t xml:space="preserve">2.1.3 </w:t>
      </w:r>
      <w:r>
        <w:rPr>
          <w:b/>
          <w:bCs/>
          <w:sz w:val="26"/>
          <w:szCs w:val="26"/>
        </w:rPr>
        <w:t>Transfusión perioperatoria, desenlaces clínicos y confusión por gravedad</w:t>
      </w:r>
    </w:p>
    <w:p w14:paraId="4668FA05" w14:textId="77777777" w:rsidR="005D1D70" w:rsidRDefault="00000000">
      <w:pPr>
        <w:spacing w:before="240" w:after="240"/>
        <w:jc w:val="both"/>
        <w:rPr>
          <w:sz w:val="24"/>
          <w:szCs w:val="24"/>
        </w:rPr>
      </w:pPr>
      <w:r>
        <w:rPr>
          <w:sz w:val="24"/>
          <w:szCs w:val="24"/>
        </w:rPr>
        <w:t>En cirugía cardiaca, la transfusión perioperatoria se ha asociado de manera consistente con un aumento de la mortalidad a corto y largo plazo en múltiples estudios observacionales y síntesis cuantitativas. Sin embargo, esta relación debe interpretarse con cautela, dado que los pacientes transfundidos suelen presentar mayor gravedad clínica, sangrado más intenso, procedimientos urgentes o intervenciones de mayor complejidad. En consecuencia, la transfusión puede actuar no solo como una exposición, sino también como un marcador de peor condición basal o de una evolución perioperatoria más desfavorable, lo que introduce confusión residual y limita la posibilidad de establecer una relación causal directa (21).</w:t>
      </w:r>
    </w:p>
    <w:p w14:paraId="444C6E47" w14:textId="77777777" w:rsidR="005D1D70" w:rsidRDefault="00000000">
      <w:pPr>
        <w:spacing w:before="240" w:after="240"/>
        <w:jc w:val="both"/>
        <w:rPr>
          <w:sz w:val="24"/>
          <w:szCs w:val="24"/>
        </w:rPr>
      </w:pPr>
      <w:r>
        <w:rPr>
          <w:sz w:val="24"/>
          <w:szCs w:val="24"/>
        </w:rPr>
        <w:t>A pesar de estas limitaciones, la consistencia de la asociación respalda la implementación de estrategias institucionales orientadas a prevenir la anemia, reducir el sangrado y evitar transfusiones innecesarias, dentro de programas estructurados de manejo de la sangre del paciente y control hemostático. No obstante, el beneficio potencial de estas intervenciones debe analizarse sin atribuir automáticamente a la transfusión un efecto causal independiente sobre todos los desenlaces adversos observados (15,16,21).</w:t>
      </w:r>
    </w:p>
    <w:p w14:paraId="432F84A4" w14:textId="77777777" w:rsidR="005D1D70" w:rsidRDefault="00000000">
      <w:pPr>
        <w:spacing w:before="240" w:after="240"/>
        <w:jc w:val="both"/>
        <w:rPr>
          <w:sz w:val="24"/>
          <w:szCs w:val="24"/>
        </w:rPr>
      </w:pPr>
      <w:r>
        <w:rPr>
          <w:sz w:val="24"/>
          <w:szCs w:val="24"/>
        </w:rPr>
        <w:t xml:space="preserve">La evidencia observacional sobre transfusión de plaquetas después de cirugía cardiaca también requiere interpretar la confusión por indicación: quienes reciben plaquetas suelen presentar sangrado o coagulopatía de mayor gravedad. En una cohorte con emparejamiento, Fletcher et al. no encontraron asociación con mortalidad hospitalaria ni con mayor lesión renal aguda; comunicaron menor frecuencia de sospecha de infección y estancias más cortas en los pacientes </w:t>
        <w:lastRenderedPageBreak/>
        <w:t>transfundidos, sin que ello demuestre un beneficio causal (28). Las guías AABB/ICTMG de 2025 desaconsejan transfundir plaquetas de manera profiláctica a pacientes sin trombocitopenia sometidos a cirugía cardiovascular cuando no existe hemorragia mayor (30). La aceptación individual de este componente deberá verificarse en el registro preoperatorio (1).</w:t>
      </w:r>
    </w:p>
    <w:p w14:paraId="1100622B" w14:textId="77777777" w:rsidR="005D1D70" w:rsidRDefault="00000000">
      <w:pPr>
        <w:spacing w:before="240" w:after="240"/>
        <w:jc w:val="both"/>
        <w:rPr>
          <w:sz w:val="24"/>
          <w:szCs w:val="24"/>
        </w:rPr>
      </w:pPr>
      <w:r>
        <w:rPr>
          <w:sz w:val="24"/>
          <w:szCs w:val="24"/>
        </w:rPr>
        <w:t xml:space="preserve">Las guías AABB de 2023 permiten considerar un umbral restrictivo de 7,5 g/dL en pacientes sometidos a cirugía cardiaca que pueden recibir glóbulos rojos (31). Este valor contextualiza la atención habitual; no constituye una meta de seguridad ni una indicación aplicable a quienes han rechazado esa transfusión. En este estudio se registrará la aceptación o negativa preoperatoria, así como cualquier transfusión administrada durante el curso clínico, sin usar la transfusión posterior para excluir pacientes (1,31).</w:t>
      </w:r>
    </w:p>
    <w:p w14:paraId="56C2D640" w14:textId="77777777" w:rsidR="005D1D70" w:rsidRDefault="005D1D70">
      <w:pPr>
        <w:spacing w:after="0"/>
        <w:rPr>
          <w:b/>
          <w:bCs/>
          <w:sz w:val="24"/>
          <w:szCs w:val="24"/>
        </w:rPr>
      </w:pPr>
    </w:p>
    <w:p w14:paraId="0BA22BCC" w14:textId="77777777" w:rsidR="005D1D70" w:rsidRDefault="005D1D70">
      <w:pPr>
        <w:spacing w:after="0"/>
        <w:rPr>
          <w:sz w:val="24"/>
          <w:szCs w:val="24"/>
        </w:rPr>
      </w:pPr>
    </w:p>
    <w:p w14:paraId="6776DCB7" w14:textId="77777777" w:rsidR="005D1D70" w:rsidRDefault="00000000">
      <w:pPr>
        <w:spacing w:after="0"/>
        <w:rPr>
          <w:b/>
          <w:bCs/>
          <w:sz w:val="26"/>
          <w:szCs w:val="26"/>
        </w:rPr>
      </w:pPr>
      <w:r>
        <w:rPr>
          <w:b/>
          <w:bCs/>
          <w:sz w:val="24"/>
          <w:szCs w:val="24"/>
        </w:rPr>
        <w:t xml:space="preserve">2.1.4 </w:t>
      </w:r>
      <w:r>
        <w:rPr>
          <w:b/>
          <w:bCs/>
          <w:sz w:val="26"/>
          <w:szCs w:val="26"/>
        </w:rPr>
        <w:t>Anemia perioperatoria y desenlaces orgánicos</w:t>
      </w:r>
    </w:p>
    <w:p w14:paraId="55FE4DBE" w14:textId="77777777" w:rsidR="005D1D70" w:rsidRDefault="00000000">
      <w:pPr>
        <w:spacing w:before="240" w:after="240"/>
        <w:jc w:val="both"/>
        <w:rPr>
          <w:sz w:val="24"/>
          <w:szCs w:val="24"/>
        </w:rPr>
      </w:pPr>
      <w:r>
        <w:rPr>
          <w:sz w:val="24"/>
          <w:szCs w:val="24"/>
        </w:rPr>
        <w:t>La anemia perioperatoria en cirugía cardiaca se ha asociado con una evolución clínica desfavorable. Sin embargo, esta relación debe interpretarse con cautela, debido a la influencia de factores concomitantes como el sangrado, la respuesta inflamatoria, la necesidad de reintervención, la transfusión y la complejidad del procedimiento quirúrgico (24). Desde el punto de vista fisiopatológico, la disminución significativa de la concentración de hemoglobina reduce el aporte de oxígeno a los tejidos y limita la capacidad de compensación del organismo, especialmente en pacientes con reserva cardiaca reducida. En este contexto, la anemia puede contribuir a la hipoperfusión tisular y al desarrollo de disfunción orgánica (24,25,32).</w:t>
      </w:r>
    </w:p>
    <w:p w14:paraId="17F95621" w14:textId="77777777" w:rsidR="005D1D70" w:rsidRDefault="00000000">
      <w:pPr>
        <w:spacing w:before="240" w:after="240"/>
        <w:jc w:val="both"/>
        <w:rPr>
          <w:sz w:val="24"/>
          <w:szCs w:val="24"/>
        </w:rPr>
      </w:pPr>
      <w:r>
        <w:rPr>
          <w:sz w:val="24"/>
          <w:szCs w:val="24"/>
        </w:rPr>
        <w:t>Revisiones recientes han analizado la relación entre la anemia posoperatoria y los desenlaces clínicos, y destacan la importancia de identificar y tratar las causas corregibles de anemia desde el periodo preoperatorio, así como de prevenir la anemia iatrogénica durante la estancia en la unidad de cuidados intensivos y la hospitalización (24,25,32). En los pacientes que rechazan la transfusión sanguínea, este aspecto adquiere una relevancia particular, debido a que la prevención de la anemia crítica constituye un componente central de la seguridad perioperatoria y no una consideración secundaria del manejo clínico (1,4,8).</w:t>
      </w:r>
    </w:p>
    <w:p w14:paraId="5369FD3D" w14:textId="77777777" w:rsidR="0044299D" w:rsidRDefault="00000000">
      <w:pPr>
        <w:spacing w:after="160"/>
        <w:jc w:val="both"/>
      </w:pPr>
      <w:r>
        <w:rPr>
          <w:color w:val="000000"/>
          <w:sz w:val="24"/>
          <w:szCs w:val="24"/>
        </w:rPr>
        <w:t xml:space="preserve">En cirugía cardiaca, la guía europea de manejo de la sangre del paciente de 2024 propone definir la anemia preoperatoria como una hemoglobina menor de 13 g/dL en ambos sexos, porque las mujeres, con menor volumen sanguíneo circulante, alcanzan antes umbrales críticos tras la hemodilución de la circulación extracorpórea (25). Este criterio difiere de la definición clásica de </w:t>
        <w:lastRenderedPageBreak/>
        <w:t xml:space="preserve">la Organización Mundial de la Salud (menor de 13 g/dL en hombres y menor de 12 g/dL en mujeres), por lo que en este estudio se informarán ambas.</w:t>
      </w:r>
    </w:p>
    <w:p w14:paraId="2424F16B" w14:textId="77777777" w:rsidR="0044299D" w:rsidRDefault="00000000">
      <w:pPr>
        <w:spacing w:after="160"/>
        <w:jc w:val="both"/>
      </w:pPr>
      <w:r>
        <w:rPr>
          <w:color w:val="000000"/>
          <w:sz w:val="24"/>
          <w:szCs w:val="24"/>
        </w:rPr>
        <w:t xml:space="preserve">La relación entre la profundidad de la anemia y la mortalidad está mejor caracterizada en pacientes que rechazan la transfusión, porque en ellos la anemia no se corrige con glóbulos rojos. En una cohorte de pacientes quirúrgicos con hemoglobina posoperatoria de 8 g/dL o menos que rechazaron la transfusión, la mortalidad fue baja cuando la hemoglobina mínima se mantuvo entre 7,1 y 8,0 g/dL y aumentó de forma progresiva por debajo de ese valor, con un incremento marcado por debajo de 5 g/dL (9). Estos datos, junto con el punto de corte de hematocrito menor de 21 % asociado con mayor mortalidad en cirugía cardiaca de Testigos de Jehová (8), sustentan los umbrales de anemia posoperatoria grave y crítica empleados en este estudio.</w:t>
      </w:r>
    </w:p>
    <w:p w14:paraId="384E4AB2" w14:textId="77777777" w:rsidR="005D1D70" w:rsidRDefault="005D1D70">
      <w:pPr>
        <w:spacing w:after="0"/>
        <w:rPr>
          <w:b/>
          <w:bCs/>
          <w:sz w:val="24"/>
          <w:szCs w:val="24"/>
        </w:rPr>
      </w:pPr>
    </w:p>
    <w:p w14:paraId="2E946AAD" w14:textId="77777777" w:rsidR="005D1D70" w:rsidRDefault="005D1D70">
      <w:pPr>
        <w:spacing w:after="0"/>
        <w:rPr>
          <w:sz w:val="24"/>
          <w:szCs w:val="24"/>
        </w:rPr>
      </w:pPr>
    </w:p>
    <w:p w14:paraId="0ECD4ACA" w14:textId="77777777" w:rsidR="005D1D70" w:rsidRDefault="00000000">
      <w:pPr>
        <w:spacing w:after="0"/>
        <w:rPr>
          <w:b/>
          <w:bCs/>
          <w:sz w:val="24"/>
          <w:szCs w:val="24"/>
        </w:rPr>
      </w:pPr>
      <w:r>
        <w:rPr>
          <w:b/>
          <w:bCs/>
          <w:sz w:val="24"/>
          <w:szCs w:val="24"/>
        </w:rPr>
        <w:t>2.1.5 Cirugía cardiaca “sin transfusión” en Testigos de Jehová: concepto, estrategia y límites terapéuticos</w:t>
      </w:r>
    </w:p>
    <w:p w14:paraId="74BAD5FC" w14:textId="77777777" w:rsidR="005D1D70" w:rsidRDefault="005D1D70">
      <w:pPr>
        <w:spacing w:after="0"/>
        <w:rPr>
          <w:sz w:val="24"/>
          <w:szCs w:val="24"/>
        </w:rPr>
      </w:pPr>
    </w:p>
    <w:p w14:paraId="3EB02400" w14:textId="77777777" w:rsidR="005D1D70" w:rsidRDefault="00000000">
      <w:pPr>
        <w:spacing w:after="0"/>
        <w:rPr>
          <w:sz w:val="24"/>
          <w:szCs w:val="24"/>
        </w:rPr>
      </w:pPr>
      <w:r>
        <w:rPr>
          <w:sz w:val="24"/>
          <w:szCs w:val="24"/>
        </w:rPr>
        <w:t>Las revisiones enfocadas en cirugía cardiovascular con rechazo transfusional describen estrategias en tres momentos: diagnóstico y tratamiento preoperatorio de la anemia, planificación individual y documentación de productos o técnicas aceptables; control intraoperatorio del sangrado con medidas hemostáticas y de conservación de sangre; y vigilancia posoperatoria con reducción de flebotomías y soporte orgánico (1,4,20,32). La aceptación de recuperación celular, hemoderivados o técnicas autólogas no debe presuponerse por la pertenencia religiosa, sino confirmarse con cada persona (1,18). Estas estrategias pueden orientar protocolos generales de manejo de la sangre del paciente, aunque la evidencia no permite atribuirles por sí solas una reducción causal de la morbimortalidad (15,32,33).</w:t>
      </w:r>
    </w:p>
    <w:p>
      <w:pPr>
        <w:spacing w:before="120" w:after="0"/>
        <w:jc w:val="both"/>
      </w:pPr>
      <w:r>
        <w:rPr>
          <w:b/>
          <w:bCs/>
          <w:color w:val="000000"/>
          <w:sz w:val="24"/>
          <w:szCs w:val="24"/>
          <w:highlight w:val="yellow"/>
        </w:rPr>
        <w:t xml:space="preserve">Contexto religioso y temporal del periodo de estudio.</w:t>
      </w:r>
      <w:r>
        <w:rPr>
          <w:color w:val="000000"/>
          <w:sz w:val="24"/>
          <w:szCs w:val="24"/>
          <w:highlight w:val="yellow"/>
        </w:rPr>
        <w:t xml:space="preserve"> Durante todo el periodo analizado (1 de enero de 2020 a 31 de diciembre de 2025), la posición de los Testigos de Jehová consideraba inaceptables la sangre completa y sus cuatro componentes principales (glóbulos rojos, glóbulos blancos, plaquetas y plasma). La aceptación de fracciones de esos componentes —como albúmina, concentrados de factores de la coagulación, fibrinógeno o inmunoglobulinas— y de procedimientos con la propia sangre del paciente en circuito continuo —recuperación celular, hemodilución normovolémica aguda o circulación extracorpórea— se dejaba a la decisión de conciencia de cada persona (1,4). Por ello, ya en ese periodo la pertenencia religiosa no permitía presumir qué productos o técnicas aceptaba un paciente concreto, y este protocolo exige verificar la decisión individual documentada para cada componente (numerales 3.2.2, 3.5 y 3.8).</w:t>
      </w:r>
    </w:p>
    <w:p>
      <w:pPr>
        <w:spacing w:before="120" w:after="0"/>
        <w:jc w:val="both"/>
      </w:pPr>
      <w:r>
        <w:rPr>
          <w:color w:val="000000"/>
          <w:sz w:val="24"/>
          <w:szCs w:val="24"/>
          <w:highlight w:val="yellow"/>
        </w:rPr>
        <w:t xml:space="preserve">Con posterioridad al periodo estudiado se produjeron dos comunicaciones. En marzo de 2026 la organización trasladó a la decisión individual la extracción, el almacenamiento y la reinfusión de la propia sangre, y el 18 de septiembre de 2026 su Cuerpo Gobernante comunicó que aceptar o donar los componentes principales de la sangre pasa a ser una decisión de conciencia de cada Testigo, en la que las congregaciones no deben intervenir, y mantuvo el rechazo de la transfusión de sangre completa (51-53).</w:t>
      </w:r>
    </w:p>
    <w:p>
      <w:pPr>
        <w:spacing w:before="120" w:after="0"/>
        <w:jc w:val="both"/>
      </w:pPr>
      <w:r>
        <w:rPr>
          <w:color w:val="000000"/>
          <w:sz w:val="24"/>
          <w:szCs w:val="24"/>
          <w:highlight w:val="yellow"/>
        </w:rPr>
        <w:t xml:space="preserve">Estas comunicaciones son posteriores al periodo de estudio y no modifican la clasificación de los pacientes incluidos, cuya elegibilidad depende de la negativa individual registrada antes de la cirugía índice y no de la doctrina vigente en un momento dado. Tienen, sin embargo, tres implicaciones: a) refuerzan la necesidad de diferenciar la identidad religiosa de las decisiones clínicas individuales, distinción que el protocolo adopta de forma expresa; b) delimitan la validez temporal de los resultados, que describirán la atención de pacientes con negativa a los componentes principales durante 2020–2025 y no deberán extrapolarse a pacientes Testigos de Jehová atendidos después de septiembre de 2026, cuyas decisiones podrán ser distintas; y c) confieren a la cohorte un valor histórico, porque documenta los resultados institucionales en un contexto que probablemente no se repetirá de forma homogénea. En la discusión se recomendará que, desde 2026, la condición religiosa no se use en la práctica clínica como sustituto de la exploración individual de las preferencias de cada paciente (1,51,52).</w:t>
      </w:r>
    </w:p>
    <w:p w14:paraId="0661ECCB" w14:textId="77777777" w:rsidR="005D1D70" w:rsidRDefault="005D1D70">
      <w:pPr>
        <w:spacing w:after="0"/>
        <w:rPr>
          <w:sz w:val="24"/>
          <w:szCs w:val="24"/>
        </w:rPr>
      </w:pPr>
    </w:p>
    <w:p w14:paraId="75C5E496" w14:textId="77777777" w:rsidR="005D1D70" w:rsidRDefault="00000000">
      <w:pPr>
        <w:spacing w:after="0"/>
        <w:rPr>
          <w:b/>
          <w:bCs/>
          <w:sz w:val="24"/>
          <w:szCs w:val="24"/>
        </w:rPr>
      </w:pPr>
      <w:r>
        <w:rPr>
          <w:b/>
          <w:bCs/>
          <w:sz w:val="24"/>
          <w:szCs w:val="24"/>
        </w:rPr>
        <w:t>2.1.6 Evidencia clínica en Testigos de Jehová: comparabilidad de desenlaces y puntos críticos</w:t>
      </w:r>
    </w:p>
    <w:p w14:paraId="43DF3B37" w14:textId="77777777" w:rsidR="005D1D70" w:rsidRDefault="005D1D70">
      <w:pPr>
        <w:spacing w:after="0"/>
        <w:rPr>
          <w:sz w:val="24"/>
          <w:szCs w:val="24"/>
        </w:rPr>
      </w:pPr>
    </w:p>
    <w:p w14:paraId="65EF7609" w14:textId="77777777" w:rsidR="005D1D70" w:rsidRDefault="00000000">
      <w:pPr>
        <w:spacing w:after="0"/>
        <w:jc w:val="both"/>
        <w:rPr>
          <w:sz w:val="24"/>
          <w:szCs w:val="24"/>
        </w:rPr>
      </w:pPr>
      <w:r>
        <w:rPr>
          <w:sz w:val="24"/>
          <w:szCs w:val="24"/>
        </w:rPr>
        <w:t xml:space="preserve">Dos metaanálisis de estudios retrospectivos comparativos no detectaron una diferencia estadísticamente significativa de mortalidad temprana entre Testigos de Jehová y controles; sus poblaciones se solapan parcialmente y los resultados no demuestran equivalencia ni seguridad para todos los centros (5,17). La cohorte más grande con emparejamiento por puntaje de propensión, de la Cleveland Clinic, comparó 322 Testigos de Jehová con 322 pacientes transfundidos: la mortalidad hospitalaria fue de 3,1 % frente a 4,3 % (p = 0,40), con menos infarto (0,3 % frente a 2,8 %) y reoperación por sangrado (3,7 % frente a 7,1 %) en los Testigos de Jehová, y una supervivencia a 20 años similar (34 % frente a 32 %); se trata de un centro de alto volumen, con pacientes seleccionados y un grupo control transfundido, lo que limita su extrapolación (7). </w:t>
        <w:lastRenderedPageBreak/>
        <w:t xml:space="preserve">Las series de centros especializados muestran la factibilidad de operar a pacientes seleccionados bajo protocolos de conservación sanguínea (6,34,35). En la cohorte de Helwani et al., un hematocrito posoperatorio &lt;21 % se asoció con mayor mortalidad a 30 días, 90 días y un año; la naturaleza observacional no permite atribuir esos eventos exclusivamente a la anemia (8). La urgencia también modifica el riesgo: en una cohorte japonesa, la cirugía emergente —con mayor proporción de disección aórtica y menor hemoglobina basal— tuvo una mortalidad a 30 días de 42,9 % frente a 2,9 % en cirugía electiva (23), lo que justifica registrar la urgencia y el riesgo basal como covariables. Estas limitaciones justifican describir el desenlace compuesto y cada complicación por separado, con denominadores y periodos de observación explícitos (4-6,8,24).</w:t>
      </w:r>
    </w:p>
    <w:p w14:paraId="2E9014EE" w14:textId="77777777" w:rsidR="005D1D70" w:rsidRDefault="005D1D70">
      <w:pPr>
        <w:spacing w:after="0"/>
        <w:rPr>
          <w:sz w:val="24"/>
          <w:szCs w:val="24"/>
        </w:rPr>
      </w:pPr>
    </w:p>
    <w:p w14:paraId="687FCA3F" w14:textId="77777777" w:rsidR="005D1D70" w:rsidRDefault="00000000">
      <w:pPr>
        <w:spacing w:after="0"/>
        <w:jc w:val="both"/>
        <w:rPr>
          <w:b/>
          <w:bCs/>
          <w:sz w:val="26"/>
          <w:szCs w:val="26"/>
        </w:rPr>
      </w:pPr>
      <w:r>
        <w:rPr>
          <w:b/>
          <w:bCs/>
          <w:sz w:val="24"/>
          <w:szCs w:val="24"/>
        </w:rPr>
        <w:t xml:space="preserve">2.1.7 </w:t>
      </w:r>
      <w:r>
        <w:rPr>
          <w:b/>
          <w:bCs/>
          <w:sz w:val="26"/>
          <w:szCs w:val="26"/>
        </w:rPr>
        <w:t>Relevancia del abordaje quirúrgico y de las estrategias técnicas para reducir el sangrado</w:t>
      </w:r>
    </w:p>
    <w:p w14:paraId="097EC049" w14:textId="77777777" w:rsidR="005D1D70" w:rsidRDefault="00000000">
      <w:pPr>
        <w:spacing w:before="240" w:after="240"/>
        <w:jc w:val="both"/>
        <w:rPr>
          <w:sz w:val="24"/>
          <w:szCs w:val="24"/>
        </w:rPr>
      </w:pPr>
      <w:r>
        <w:rPr>
          <w:sz w:val="24"/>
          <w:szCs w:val="24"/>
        </w:rPr>
        <w:t>En una cohorte retrospectiva de 63 Testigos de Jehová, Lee et al. compararon el abordaje mínimamente invasivo (19 pacientes) con esternotomía (44 pacientes). Observaron menos drenaje torácico el primer día con la técnica mínimamente invasiva, sin diferencias concluyentes en mortalidad temprana; la distribución de los tipos de operación fue distinta entre los grupos (36). Este resultado ilustra que la técnica y la mezcla de procedimientos pueden influir en el sangrado observado, pero no demuestra que un abordaje sea globalmente más seguro para los pacientes del presente estudio. El control hemostático y la planificación perioperatoria siguen siendo componentes del manejo de la sangre del paciente (15,16,36).</w:t>
      </w:r>
    </w:p>
    <w:p w14:paraId="5EA36B7D" w14:textId="77777777" w:rsidR="0044299D" w:rsidRDefault="0044299D">
      <w:pPr>
        <w:spacing w:after="0"/>
        <w:jc w:val="both"/>
      </w:pPr>
    </w:p>
    <w:p w14:paraId="3E5F7260" w14:textId="77777777" w:rsidR="005D1D70" w:rsidRDefault="00000000">
      <w:pPr>
        <w:spacing w:after="0"/>
        <w:jc w:val="both"/>
        <w:rPr>
          <w:b/>
          <w:bCs/>
          <w:sz w:val="26"/>
          <w:szCs w:val="26"/>
        </w:rPr>
      </w:pPr>
      <w:r>
        <w:rPr>
          <w:b/>
          <w:bCs/>
          <w:sz w:val="24"/>
          <w:szCs w:val="24"/>
        </w:rPr>
        <w:t>2.1.8 Definiciones estandarizadas de desenlaces y de riesgo basal en cirugía cardiaca</w:t>
      </w:r>
    </w:p>
    <w:p w14:paraId="6EB3B027" w14:textId="77777777" w:rsidR="0044299D" w:rsidRDefault="00000000">
      <w:pPr>
        <w:spacing w:after="160"/>
        <w:jc w:val="both"/>
      </w:pPr>
      <w:r>
        <w:rPr>
          <w:color w:val="000000"/>
          <w:sz w:val="24"/>
          <w:szCs w:val="24"/>
        </w:rPr>
        <w:t xml:space="preserve">La comparabilidad de los resultados institucionales con la literatura depende del uso de definiciones estandarizadas. La Society of Thoracic Surgeons utiliza un desenlace compuesto de morbilidad o mortalidad mayor que incluye mortalidad operatoria, accidente cerebrovascular, insuficiencia renal, ventilación prolongada, infección profunda de la herida esternal y reoperación (37). La definición universal de sangrado perioperatorio en cirugía cardiaca del adulto clasifica el sangrado en cinco clases según el drenaje torácico, la reexploración, el taponamiento y el uso de hemocomponentes y factores hemostáticos (38); en pacientes que rechazan hemocomponentes sus elementos medibles son el drenaje, la reexploración y el uso de concentrados de factores.</w:t>
      </w:r>
    </w:p>
    <w:p w14:paraId="7E79BBDB" w14:textId="77777777" w:rsidR="0044299D" w:rsidRDefault="00000000">
      <w:pPr>
        <w:spacing w:after="160"/>
        <w:jc w:val="both"/>
      </w:pPr>
      <w:r>
        <w:rPr>
          <w:color w:val="000000"/>
          <w:sz w:val="24"/>
          <w:szCs w:val="24"/>
        </w:rPr>
        <w:t xml:space="preserve">Para la lesión renal aguda se emplean los criterios Kidney Disease: Improving Global Outcomes (39); para la sepsis, la definición del tercer consenso internacional (40); para el shock cardiogénico, la clasificación de la Society for Cardiovascular Angiography and Interventions (41); y para el infarto de miocardio perioperatorio, la cuarta definición universal (42). El riesgo quirúrgico basal puede resumirse con el EuroSCORE II, modelo validado para predecir la </w:t>
        <w:lastRenderedPageBreak/>
        <w:t xml:space="preserve">mortalidad hospitalaria tras cirugía cardiaca que integra edad, sexo, función renal, arteriopatía extracardiaca, movilidad, cirugía cardiaca previa, enfermedad pulmonar, endocarditis activa, estado crítico, diabetes insulinodependiente, clase funcional, angina, función ventricular, infarto reciente, hipertensión pulmonar, urgencia, peso de la intervención y cirugía de aorta torácica (43).</w:t>
      </w:r>
    </w:p>
    <w:p w14:paraId="1F28ABC9" w14:textId="77777777" w:rsidR="005D1D70" w:rsidRDefault="005D1D70">
      <w:pPr>
        <w:spacing w:after="0"/>
        <w:rPr>
          <w:b/>
          <w:bCs/>
          <w:sz w:val="24"/>
          <w:szCs w:val="24"/>
        </w:rPr>
      </w:pPr>
    </w:p>
    <w:p w14:paraId="7652EECB" w14:textId="77777777" w:rsidR="005D1D70" w:rsidRDefault="005D1D70">
      <w:pPr>
        <w:spacing w:after="0"/>
        <w:rPr>
          <w:sz w:val="24"/>
          <w:szCs w:val="24"/>
        </w:rPr>
      </w:pPr>
    </w:p>
    <w:p w14:paraId="669FEB76" w14:textId="77777777" w:rsidR="005D1D70" w:rsidRDefault="00000000">
      <w:pPr>
        <w:spacing w:after="0"/>
        <w:rPr>
          <w:b/>
          <w:bCs/>
          <w:sz w:val="24"/>
          <w:szCs w:val="24"/>
        </w:rPr>
      </w:pPr>
      <w:r>
        <w:rPr>
          <w:b/>
          <w:bCs/>
          <w:sz w:val="24"/>
          <w:szCs w:val="24"/>
        </w:rPr>
        <w:t>2.2 MARCO DE ANTECEDENTES</w:t>
      </w:r>
    </w:p>
    <w:p w14:paraId="20190887" w14:textId="77777777" w:rsidR="005D1D70" w:rsidRDefault="00000000">
      <w:pPr>
        <w:spacing w:after="0"/>
        <w:rPr>
          <w:b/>
          <w:bCs/>
          <w:sz w:val="24"/>
          <w:szCs w:val="24"/>
        </w:rPr>
      </w:pPr>
      <w:r>
        <w:rPr>
          <w:b/>
          <w:bCs/>
          <w:sz w:val="24"/>
          <w:szCs w:val="24"/>
        </w:rPr>
        <w:t>2.2.1 Síntesis crítica de estudios previos afines al proyecto</w:t>
      </w:r>
    </w:p>
    <w:p w14:paraId="7B68E3C7" w14:textId="77777777" w:rsidR="005D1D70" w:rsidRDefault="005D1D70">
      <w:pPr>
        <w:spacing w:after="0"/>
        <w:rPr>
          <w:sz w:val="24"/>
          <w:szCs w:val="24"/>
        </w:rPr>
      </w:pPr>
    </w:p>
    <w:p w14:paraId="01F7471A" w14:textId="77777777" w:rsidR="005D1D70" w:rsidRDefault="00000000">
      <w:pPr>
        <w:spacing w:before="240" w:after="240"/>
        <w:jc w:val="both"/>
        <w:rPr>
          <w:sz w:val="24"/>
          <w:szCs w:val="24"/>
        </w:rPr>
      </w:pPr>
      <w:r>
        <w:rPr>
          <w:sz w:val="24"/>
          <w:szCs w:val="24"/>
        </w:rPr>
        <w:t>Los antecedentes más pertinentes para este proyecto son las cohortes comparativas y series institucionales de pacientes Testigos de Jehová sometidos a cirugía cardiaca, junto con las revisiones sistemáticas que las reúnen (5,6,8,17,22,34,35,44). Los metaanálisis comparten parte de los estudios primarios y no representan cohortes independientes. En el contexto nacional se dispone de un póster con 30 pacientes intervenidos en la Fundación Cardiovascular de Colombia entre 2012 y 2021; su formato de resumen de congreso limita la evaluación de métodos y desenlaces (18). La pequeña serie publicada por Bernal et al. se realizó en Santander, España (19).</w:t>
      </w:r>
    </w:p>
    <w:p w14:paraId="066F6307" w14:textId="77777777" w:rsidR="005D1D70" w:rsidRDefault="00000000">
      <w:pPr>
        <w:spacing w:before="240" w:after="240"/>
        <w:jc w:val="both"/>
        <w:rPr>
          <w:sz w:val="24"/>
          <w:szCs w:val="24"/>
        </w:rPr>
      </w:pPr>
      <w:r>
        <w:rPr>
          <w:sz w:val="24"/>
          <w:szCs w:val="24"/>
        </w:rPr>
        <w:t>En conjunto, la evidencia describe resultados en centros con experiencia y protocolos de conservación sanguínea, pero la selección de pacientes, el tamaño de las cohortes y la confusión residual impiden afirmar equivalencia de seguridad entre poblaciones o centros (5,17,20). El presente estudio estimará los desenlaces en la Clínica General del Norte entre 2020 y 2025 y describirá su distribución por procedimiento, con conclusiones limitadas por el tamaño y la calidad de los registros disponibles.</w:t>
      </w:r>
    </w:p>
    <w:p w14:paraId="7A36A7F5" w14:textId="77777777" w:rsidR="005D1D70" w:rsidRDefault="005D1D70">
      <w:pPr>
        <w:spacing w:after="0"/>
        <w:rPr>
          <w:sz w:val="24"/>
          <w:szCs w:val="24"/>
        </w:rPr>
      </w:pPr>
    </w:p>
    <w:p w14:paraId="1DD65D7C" w14:textId="77777777" w:rsidR="005D1D70" w:rsidRDefault="005D1D70">
      <w:pPr>
        <w:spacing w:after="0"/>
        <w:rPr>
          <w:sz w:val="24"/>
          <w:szCs w:val="24"/>
        </w:rPr>
      </w:pPr>
    </w:p>
    <w:p w14:paraId="43CD1711" w14:textId="77777777" w:rsidR="005D1D70" w:rsidRDefault="00000000">
      <w:pPr>
        <w:pageBreakBefore/>
        <w:spacing w:after="0"/>
        <w:rPr>
          <w:b/>
          <w:bCs/>
          <w:sz w:val="24"/>
          <w:szCs w:val="24"/>
        </w:rPr>
      </w:pPr>
      <w:r>
        <w:rPr>
          <w:b/>
          <w:bCs/>
          <w:sz w:val="24"/>
          <w:szCs w:val="24"/>
        </w:rPr>
        <w:lastRenderedPageBreak/>
        <w:t xml:space="preserve">2.2.2 Matriz de antecedentes </w:t>
      </w:r>
    </w:p>
    <w:p w14:paraId="2DFAC9C8" w14:textId="77777777" w:rsidR="005D1D70" w:rsidRDefault="005D1D70">
      <w:pPr>
        <w:spacing w:after="0"/>
        <w:rPr>
          <w:sz w:val="24"/>
          <w:szCs w:val="24"/>
        </w:rPr>
      </w:pPr>
    </w:p>
    <w:p w14:paraId="091BD8FF" w14:textId="77777777" w:rsidR="005D1D70" w:rsidRDefault="005D1D70">
      <w:pPr>
        <w:spacing w:after="0"/>
        <w:jc w:val="both"/>
        <w:rPr>
          <w:sz w:val="24"/>
          <w:szCs w:val="24"/>
        </w:rPr>
      </w:pPr>
    </w:p>
    <w:p w14:paraId="0C60723A" w14:textId="77777777" w:rsidR="0044299D" w:rsidRDefault="00000000">
      <w:pPr>
        <w:keepNext/>
        <w:spacing w:before="120" w:after="80"/>
      </w:pPr>
      <w:r>
        <w:rPr>
          <w:b/>
          <w:bCs/>
          <w:color w:val="000000"/>
        </w:rPr>
        <w:t>Tabla 1.</w:t>
      </w:r>
      <w:r>
        <w:rPr>
          <w:color w:val="000000"/>
        </w:rPr>
        <w:t xml:space="preserve"> Matriz de antecedentes</w:t>
      </w:r>
    </w:p>
    <w:tbl>
      <w:tblPr>
        <w:tblW w:w="9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400"/>
        <w:gridCol w:w="1080"/>
        <w:gridCol w:w="1250"/>
        <w:gridCol w:w="1500"/>
        <w:gridCol w:w="1620"/>
        <w:gridCol w:w="1550"/>
        <w:gridCol w:w="1300"/>
      </w:tblGrid>
      <w:tr w:rsidR="0044299D" w14:paraId="1E8AEF33" w14:textId="77777777">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6B0AC866" w14:textId="77777777" w:rsidR="0044299D" w:rsidRDefault="00000000">
            <w:pPr>
              <w:spacing w:after="0" w:line="240" w:lineRule="auto"/>
              <w:jc w:val="center"/>
            </w:pPr>
            <w:r>
              <w:rPr>
                <w:b/>
                <w:bCs/>
                <w:color w:val="000000"/>
                <w:sz w:val="16"/>
                <w:szCs w:val="16"/>
              </w:rPr>
              <w:t>Autores (año)</w:t>
            </w:r>
          </w:p>
        </w:tc>
        <w:tc>
          <w:tcPr>
            <w:tcW w:w="10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17B6ED24" w14:textId="77777777" w:rsidR="0044299D" w:rsidRDefault="00000000">
            <w:pPr>
              <w:spacing w:after="0" w:line="240" w:lineRule="auto"/>
              <w:jc w:val="center"/>
            </w:pPr>
            <w:r>
              <w:rPr>
                <w:b/>
                <w:bCs/>
                <w:color w:val="000000"/>
                <w:sz w:val="16"/>
                <w:szCs w:val="16"/>
              </w:rPr>
              <w:t>País</w:t>
            </w:r>
          </w:p>
        </w:tc>
        <w:tc>
          <w:tcPr>
            <w:tcW w:w="12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5FB429C2" w14:textId="77777777" w:rsidR="0044299D" w:rsidRDefault="00000000">
            <w:pPr>
              <w:spacing w:after="0" w:line="240" w:lineRule="auto"/>
              <w:jc w:val="center"/>
            </w:pPr>
            <w:r>
              <w:rPr>
                <w:b/>
                <w:bCs/>
                <w:color w:val="000000"/>
                <w:sz w:val="16"/>
                <w:szCs w:val="16"/>
              </w:rPr>
              <w:t>Diseño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1DB2F3B6" w14:textId="77777777" w:rsidR="0044299D" w:rsidRDefault="00000000">
            <w:pPr>
              <w:spacing w:after="0" w:line="240" w:lineRule="auto"/>
              <w:jc w:val="center"/>
            </w:pPr>
            <w:r>
              <w:rPr>
                <w:b/>
                <w:bCs/>
                <w:color w:val="000000"/>
                <w:sz w:val="16"/>
                <w:szCs w:val="16"/>
              </w:rPr>
              <w:t>Población y comparación</w:t>
            </w:r>
          </w:p>
        </w:tc>
        <w:tc>
          <w:tcPr>
            <w:tcW w:w="16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753C46BC" w14:textId="77777777" w:rsidR="0044299D" w:rsidRDefault="00000000">
            <w:pPr>
              <w:spacing w:after="0" w:line="240" w:lineRule="auto"/>
              <w:jc w:val="center"/>
            </w:pPr>
            <w:r>
              <w:rPr>
                <w:b/>
                <w:bCs/>
                <w:color w:val="000000"/>
                <w:sz w:val="16"/>
                <w:szCs w:val="16"/>
              </w:rPr>
              <w:t>Desenlace y medida</w:t>
            </w:r>
          </w:p>
        </w:tc>
        <w:tc>
          <w:tcPr>
            <w:tcW w:w="15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24728E4A" w14:textId="77777777" w:rsidR="0044299D" w:rsidRDefault="00000000">
            <w:pPr>
              <w:spacing w:after="0" w:line="240" w:lineRule="auto"/>
              <w:jc w:val="center"/>
            </w:pPr>
            <w:r>
              <w:rPr>
                <w:b/>
                <w:bCs/>
                <w:color w:val="000000"/>
                <w:sz w:val="16"/>
                <w:szCs w:val="16"/>
              </w:rPr>
              <w:t>Hallazgo clave</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59C96740" w14:textId="77777777" w:rsidR="0044299D" w:rsidRDefault="00000000">
            <w:pPr>
              <w:spacing w:after="0" w:line="240" w:lineRule="auto"/>
              <w:jc w:val="center"/>
            </w:pPr>
            <w:r>
              <w:rPr>
                <w:b/>
                <w:bCs/>
                <w:color w:val="000000"/>
                <w:sz w:val="16"/>
                <w:szCs w:val="16"/>
              </w:rPr>
              <w:t>Observaciones</w:t>
            </w:r>
          </w:p>
        </w:tc>
      </w:tr>
      <w:tr w:rsidR="0044299D" w14:paraId="5E9A7D55"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072F0C" w14:textId="77777777" w:rsidR="0044299D" w:rsidRDefault="00000000">
            <w:pPr>
              <w:spacing w:after="0" w:line="240" w:lineRule="auto"/>
            </w:pPr>
            <w:r>
              <w:rPr>
                <w:b/>
                <w:bCs/>
                <w:color w:val="000000"/>
                <w:sz w:val="16"/>
                <w:szCs w:val="16"/>
              </w:rPr>
              <w:t>Gemelli et al., 2024 (5)</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A4D00D" w14:textId="77777777" w:rsidR="0044299D" w:rsidRDefault="00000000">
            <w:pPr>
              <w:spacing w:after="0" w:line="240" w:lineRule="auto"/>
            </w:pPr>
            <w:r>
              <w:rPr>
                <w:color w:val="000000"/>
                <w:sz w:val="16"/>
                <w:szCs w:val="16"/>
              </w:rPr>
              <w:t>Multicéntrico</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CE63C2" w14:textId="77777777" w:rsidR="0044299D" w:rsidRDefault="00000000">
            <w:pPr>
              <w:spacing w:after="0" w:line="240" w:lineRule="auto"/>
            </w:pPr>
            <w:r>
              <w:rPr>
                <w:color w:val="000000"/>
                <w:sz w:val="16"/>
                <w:szCs w:val="16"/>
              </w:rPr>
              <w:t>Revisión sistemática y metaanálisis (10 estudios)</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D5C592" w14:textId="77777777" w:rsidR="0044299D" w:rsidRDefault="00000000">
            <w:pPr>
              <w:spacing w:after="0" w:line="240" w:lineRule="auto"/>
            </w:pPr>
            <w:r>
              <w:rPr>
                <w:color w:val="000000"/>
                <w:sz w:val="16"/>
                <w:szCs w:val="16"/>
              </w:rPr>
              <w:t>780 TJ frente a 1.182 pacientes que aceptaban transfusión</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093F71" w14:textId="77777777" w:rsidR="0044299D" w:rsidRDefault="00000000">
            <w:pPr>
              <w:spacing w:after="0" w:line="240" w:lineRule="auto"/>
            </w:pPr>
            <w:r>
              <w:rPr>
                <w:color w:val="000000"/>
                <w:sz w:val="16"/>
                <w:szCs w:val="16"/>
              </w:rPr>
              <w:t>Mortalidad perioperatoria: OR 0,91 (IC 95 % 0,55–1,52); p = 0,72</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D39DE1" w14:textId="77777777" w:rsidR="0044299D" w:rsidRDefault="00000000">
            <w:pPr>
              <w:spacing w:after="0" w:line="240" w:lineRule="auto"/>
            </w:pPr>
            <w:r>
              <w:rPr>
                <w:color w:val="000000"/>
                <w:sz w:val="16"/>
                <w:szCs w:val="16"/>
              </w:rPr>
              <w:t>Sin diferencia significativa en mortalidad; menor pérdida sanguínea en TJ; 86 % de los controles fue transfundido</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5C93AF" w14:textId="77777777" w:rsidR="0044299D" w:rsidRDefault="00000000">
            <w:pPr>
              <w:spacing w:after="0" w:line="240" w:lineRule="auto"/>
            </w:pPr>
            <w:r>
              <w:rPr>
                <w:color w:val="000000"/>
                <w:sz w:val="16"/>
                <w:szCs w:val="16"/>
              </w:rPr>
              <w:t>Estudios observacionales; no demuestra equivalencia</w:t>
            </w:r>
          </w:p>
        </w:tc>
      </w:tr>
      <w:tr w:rsidR="0044299D" w14:paraId="4DC29D18"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C72122" w14:textId="77777777" w:rsidR="0044299D" w:rsidRDefault="00000000">
            <w:pPr>
              <w:spacing w:after="0" w:line="240" w:lineRule="auto"/>
            </w:pPr>
            <w:r>
              <w:rPr>
                <w:b/>
                <w:bCs/>
                <w:color w:val="000000"/>
                <w:sz w:val="16"/>
                <w:szCs w:val="16"/>
              </w:rPr>
              <w:t>Vitolo et al., 2023 (17)</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4F0DD6" w14:textId="77777777" w:rsidR="0044299D" w:rsidRDefault="00000000">
            <w:pPr>
              <w:spacing w:after="0" w:line="240" w:lineRule="auto"/>
            </w:pPr>
            <w:r>
              <w:rPr>
                <w:color w:val="000000"/>
                <w:sz w:val="16"/>
                <w:szCs w:val="16"/>
              </w:rPr>
              <w:t>Multicéntrico</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D2A794" w14:textId="77777777" w:rsidR="0044299D" w:rsidRDefault="00000000">
            <w:pPr>
              <w:spacing w:after="0" w:line="240" w:lineRule="auto"/>
            </w:pPr>
            <w:r>
              <w:rPr>
                <w:color w:val="000000"/>
                <w:sz w:val="16"/>
                <w:szCs w:val="16"/>
              </w:rPr>
              <w:t>Revisión sistemática y metaanálisis (10 estudios)</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73B4A0" w14:textId="77777777" w:rsidR="0044299D" w:rsidRDefault="00000000">
            <w:pPr>
              <w:spacing w:after="0" w:line="240" w:lineRule="auto"/>
            </w:pPr>
            <w:r>
              <w:rPr>
                <w:color w:val="000000"/>
                <w:sz w:val="16"/>
                <w:szCs w:val="16"/>
              </w:rPr>
              <w:t>2.302 pacientes: 950 TJ y 1.352 controles</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E5527E" w14:textId="77777777" w:rsidR="0044299D" w:rsidRDefault="00000000">
            <w:pPr>
              <w:spacing w:after="0" w:line="240" w:lineRule="auto"/>
            </w:pPr>
            <w:r>
              <w:rPr>
                <w:color w:val="000000"/>
                <w:sz w:val="16"/>
                <w:szCs w:val="16"/>
              </w:rPr>
              <w:t xml:space="preserve">Mortalidad: OR 1,13 (0,74–1,73); infarto: OR 0,97 (0,39–2,41); reexploración: OR 0,80 (0,51–1,25)</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9A62B2" w14:textId="77777777" w:rsidR="0044299D" w:rsidRDefault="00000000">
            <w:pPr>
              <w:spacing w:after="0" w:line="240" w:lineRule="auto"/>
            </w:pPr>
            <w:r>
              <w:rPr>
                <w:color w:val="000000"/>
                <w:sz w:val="16"/>
                <w:szCs w:val="16"/>
              </w:rPr>
              <w:t>Sin diferencias significativas en desenlaces perioperatorios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C925F9" w14:textId="77777777" w:rsidR="0044299D" w:rsidRDefault="00000000">
            <w:pPr>
              <w:spacing w:after="0" w:line="240" w:lineRule="auto"/>
            </w:pPr>
            <w:r>
              <w:rPr>
                <w:color w:val="000000"/>
                <w:sz w:val="16"/>
                <w:szCs w:val="16"/>
              </w:rPr>
              <w:t>Estudios compartidos con Gemelli; intervalos amplios</w:t>
            </w:r>
          </w:p>
        </w:tc>
      </w:tr>
      <w:tr w:rsidR="0044299D" w14:paraId="02981A60"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11812E" w14:textId="77777777" w:rsidR="0044299D" w:rsidRDefault="00000000">
            <w:pPr>
              <w:spacing w:after="0" w:line="240" w:lineRule="auto"/>
            </w:pPr>
            <w:r>
              <w:rPr>
                <w:b/>
                <w:bCs/>
                <w:color w:val="000000"/>
                <w:sz w:val="16"/>
                <w:szCs w:val="16"/>
              </w:rPr>
              <w:t xml:space="preserve">Pattakos et al., 2012 (7)</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9584EC" w14:textId="77777777" w:rsidR="0044299D" w:rsidRDefault="00000000">
            <w:pPr>
              <w:spacing w:after="0" w:line="240" w:lineRule="auto"/>
            </w:pPr>
            <w:r>
              <w:rPr>
                <w:color w:val="000000"/>
                <w:sz w:val="16"/>
                <w:szCs w:val="16"/>
              </w:rPr>
              <w:t>EE. UU.</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1928F3" w14:textId="77777777" w:rsidR="0044299D" w:rsidRDefault="00000000">
            <w:pPr>
              <w:spacing w:after="0" w:line="240" w:lineRule="auto"/>
            </w:pPr>
            <w:r>
              <w:rPr>
                <w:color w:val="000000"/>
                <w:sz w:val="16"/>
                <w:szCs w:val="16"/>
              </w:rPr>
              <w:t>Cohorte retrospectiva emparejada por puntaje de propensión</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44DC9A" w14:textId="77777777" w:rsidR="0044299D" w:rsidRDefault="00000000">
            <w:pPr>
              <w:spacing w:after="0" w:line="240" w:lineRule="auto"/>
            </w:pPr>
            <w:r>
              <w:rPr>
                <w:color w:val="000000"/>
                <w:sz w:val="16"/>
                <w:szCs w:val="16"/>
              </w:rPr>
              <w:t>322 TJ frente a 322 pacientes transfundidos</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CFD01E" w14:textId="77777777" w:rsidR="0044299D" w:rsidRDefault="00000000">
            <w:pPr>
              <w:spacing w:after="0" w:line="240" w:lineRule="auto"/>
            </w:pPr>
            <w:r>
              <w:rPr>
                <w:color w:val="000000"/>
                <w:sz w:val="16"/>
                <w:szCs w:val="16"/>
              </w:rPr>
              <w:t xml:space="preserve">Mortalidad hospitalaria 3,1 % frente a 4,3 % (p = 0,40); reoperación por sangrado 3,7 % frente a 7,1 % (p = 0,03)</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6FF660" w14:textId="77777777" w:rsidR="0044299D" w:rsidRDefault="00000000">
            <w:pPr>
              <w:spacing w:after="0" w:line="240" w:lineRule="auto"/>
            </w:pPr>
            <w:r>
              <w:rPr>
                <w:color w:val="000000"/>
                <w:sz w:val="16"/>
                <w:szCs w:val="16"/>
              </w:rPr>
              <w:t>Supervivencia al año 95 % frente a 89 %; a 20 años 34 % frente a 32 %</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4B94CC" w14:textId="77777777" w:rsidR="0044299D" w:rsidRDefault="00000000">
            <w:pPr>
              <w:spacing w:after="0" w:line="240" w:lineRule="auto"/>
            </w:pPr>
            <w:r>
              <w:rPr>
                <w:color w:val="000000"/>
                <w:sz w:val="16"/>
                <w:szCs w:val="16"/>
              </w:rPr>
              <w:t>Centro de alto volumen; controles transfundidos; confusión residual</w:t>
            </w:r>
          </w:p>
        </w:tc>
      </w:tr>
      <w:tr w:rsidR="0044299D" w14:paraId="7AD0AABF"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387433" w14:textId="77777777" w:rsidR="0044299D" w:rsidRDefault="00000000">
            <w:pPr>
              <w:spacing w:after="0" w:line="240" w:lineRule="auto"/>
            </w:pPr>
            <w:r>
              <w:rPr>
                <w:b/>
                <w:bCs/>
                <w:color w:val="000000"/>
                <w:sz w:val="16"/>
                <w:szCs w:val="16"/>
              </w:rPr>
              <w:t>Langstraat et al., 2023 (6)</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CE7929" w14:textId="77777777" w:rsidR="0044299D" w:rsidRDefault="00000000">
            <w:pPr>
              <w:spacing w:after="0" w:line="240" w:lineRule="auto"/>
            </w:pPr>
            <w:r>
              <w:rPr>
                <w:color w:val="000000"/>
                <w:sz w:val="16"/>
                <w:szCs w:val="16"/>
              </w:rPr>
              <w:t>Países Bajos</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0ADFF3" w14:textId="77777777" w:rsidR="0044299D" w:rsidRDefault="00000000">
            <w:pPr>
              <w:spacing w:after="0" w:line="240" w:lineRule="auto"/>
            </w:pPr>
            <w:r>
              <w:rPr>
                <w:color w:val="000000"/>
                <w:sz w:val="16"/>
                <w:szCs w:val="16"/>
              </w:rPr>
              <w:t>Serie retrospectiva</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3E671C" w14:textId="77777777" w:rsidR="0044299D" w:rsidRDefault="00000000">
            <w:pPr>
              <w:spacing w:after="0" w:line="240" w:lineRule="auto"/>
            </w:pPr>
            <w:r>
              <w:rPr>
                <w:color w:val="000000"/>
                <w:sz w:val="16"/>
                <w:szCs w:val="16"/>
              </w:rPr>
              <w:t>329 procedimientos consecutivos en TJ</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06845A" w14:textId="77777777" w:rsidR="0044299D" w:rsidRDefault="00000000">
            <w:pPr>
              <w:spacing w:after="0" w:line="240" w:lineRule="auto"/>
            </w:pPr>
            <w:r>
              <w:rPr>
                <w:color w:val="000000"/>
                <w:sz w:val="16"/>
                <w:szCs w:val="16"/>
              </w:rPr>
              <w:t>Mortalidad hospitalaria 0,6 %</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1028BE" w14:textId="77777777" w:rsidR="0044299D" w:rsidRDefault="00000000">
            <w:pPr>
              <w:spacing w:after="0" w:line="240" w:lineRule="auto"/>
            </w:pPr>
            <w:r>
              <w:rPr>
                <w:color w:val="000000"/>
                <w:sz w:val="16"/>
                <w:szCs w:val="16"/>
              </w:rPr>
              <w:t>Resultados favorables con protocolo estricto de manejo de la sangre del paciente</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F7D5C4" w14:textId="77777777" w:rsidR="0044299D" w:rsidRDefault="00000000">
            <w:pPr>
              <w:spacing w:after="0" w:line="240" w:lineRule="auto"/>
            </w:pPr>
            <w:r>
              <w:rPr>
                <w:color w:val="000000"/>
                <w:sz w:val="16"/>
                <w:szCs w:val="16"/>
              </w:rPr>
              <w:t>Centro experto; sin grupo de comparación</w:t>
            </w:r>
          </w:p>
        </w:tc>
      </w:tr>
      <w:tr w:rsidR="0044299D" w14:paraId="4408DA6A"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336CD4" w14:textId="77777777" w:rsidR="0044299D" w:rsidRDefault="00000000">
            <w:pPr>
              <w:spacing w:after="0" w:line="240" w:lineRule="auto"/>
            </w:pPr>
            <w:r>
              <w:rPr>
                <w:b/>
                <w:bCs/>
                <w:color w:val="000000"/>
                <w:sz w:val="16"/>
                <w:szCs w:val="16"/>
              </w:rPr>
              <w:t xml:space="preserve">Helwani et al., 2023 (8)</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E2DC33" w14:textId="77777777" w:rsidR="0044299D" w:rsidRDefault="00000000">
            <w:pPr>
              <w:spacing w:after="0" w:line="240" w:lineRule="auto"/>
            </w:pPr>
            <w:r>
              <w:rPr>
                <w:color w:val="000000"/>
                <w:sz w:val="16"/>
                <w:szCs w:val="16"/>
              </w:rPr>
              <w:t>EE. UU.</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2692E8" w14:textId="77777777" w:rsidR="0044299D" w:rsidRDefault="00000000">
            <w:pPr>
              <w:spacing w:after="0" w:line="240" w:lineRule="auto"/>
            </w:pPr>
            <w:r>
              <w:rPr>
                <w:color w:val="000000"/>
                <w:sz w:val="16"/>
                <w:szCs w:val="16"/>
              </w:rPr>
              <w:t>Cohorte retrospectiva</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DE83DB" w14:textId="77777777" w:rsidR="0044299D" w:rsidRDefault="00000000">
            <w:pPr>
              <w:spacing w:after="0" w:line="240" w:lineRule="auto"/>
            </w:pPr>
            <w:r>
              <w:rPr>
                <w:color w:val="000000"/>
                <w:sz w:val="16"/>
                <w:szCs w:val="16"/>
              </w:rPr>
              <w:t>48 TJ con circulación extracorpórea (1998–2018); anemia grave en 9 (18,8 %)</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753D87" w14:textId="77777777" w:rsidR="0044299D" w:rsidRDefault="00000000">
            <w:pPr>
              <w:spacing w:after="0" w:line="240" w:lineRule="auto"/>
            </w:pPr>
            <w:r>
              <w:rPr>
                <w:color w:val="000000"/>
                <w:sz w:val="16"/>
                <w:szCs w:val="16"/>
              </w:rPr>
              <w:t>Mortalidad a 30 días, 90 días y un año según hematocrito menor de 21 %</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C63D22" w14:textId="77777777" w:rsidR="0044299D" w:rsidRDefault="00000000">
            <w:pPr>
              <w:spacing w:after="0" w:line="240" w:lineRule="auto"/>
            </w:pPr>
            <w:r>
              <w:rPr>
                <w:color w:val="000000"/>
                <w:sz w:val="16"/>
                <w:szCs w:val="16"/>
              </w:rPr>
              <w:t>La anemia grave se asoció con mayor mortalidad en los tres cortes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241A11" w14:textId="77777777" w:rsidR="0044299D" w:rsidRDefault="00000000">
            <w:pPr>
              <w:spacing w:after="0" w:line="240" w:lineRule="auto"/>
            </w:pPr>
            <w:r>
              <w:rPr>
                <w:color w:val="000000"/>
                <w:sz w:val="16"/>
                <w:szCs w:val="16"/>
              </w:rPr>
              <w:t>Muestra pequeña; sustenta la definición de anemia grave</w:t>
            </w:r>
          </w:p>
        </w:tc>
      </w:tr>
      <w:tr w:rsidR="0044299D" w14:paraId="4EDEB878"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AFDEFD" w14:textId="77777777" w:rsidR="0044299D" w:rsidRDefault="00000000">
            <w:pPr>
              <w:spacing w:after="0" w:line="240" w:lineRule="auto"/>
            </w:pPr>
            <w:r>
              <w:rPr>
                <w:b/>
                <w:bCs/>
                <w:color w:val="000000"/>
                <w:sz w:val="16"/>
                <w:szCs w:val="16"/>
              </w:rPr>
              <w:t>Yamabe et al., 2025 (23)</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0A5884" w14:textId="77777777" w:rsidR="0044299D" w:rsidRDefault="00000000">
            <w:pPr>
              <w:spacing w:after="0" w:line="240" w:lineRule="auto"/>
            </w:pPr>
            <w:r>
              <w:rPr>
                <w:color w:val="000000"/>
                <w:sz w:val="16"/>
                <w:szCs w:val="16"/>
              </w:rPr>
              <w:t>Japón</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F29A2B" w14:textId="77777777" w:rsidR="0044299D" w:rsidRDefault="00000000">
            <w:pPr>
              <w:spacing w:after="0" w:line="240" w:lineRule="auto"/>
            </w:pPr>
            <w:r>
              <w:rPr>
                <w:color w:val="000000"/>
                <w:sz w:val="16"/>
                <w:szCs w:val="16"/>
              </w:rPr>
              <w:t>Cohorte retrospectiva</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1131C5" w14:textId="77777777" w:rsidR="0044299D" w:rsidRDefault="00000000">
            <w:pPr>
              <w:spacing w:after="0" w:line="240" w:lineRule="auto"/>
            </w:pPr>
            <w:r>
              <w:rPr>
                <w:color w:val="000000"/>
                <w:sz w:val="16"/>
                <w:szCs w:val="16"/>
              </w:rPr>
              <w:t>TJ en cirugía cardiovascular electiva frente a emergente</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AF3DB7" w14:textId="77777777" w:rsidR="0044299D" w:rsidRDefault="00000000">
            <w:pPr>
              <w:spacing w:after="0" w:line="240" w:lineRule="auto"/>
            </w:pPr>
            <w:r>
              <w:rPr>
                <w:color w:val="000000"/>
                <w:sz w:val="16"/>
                <w:szCs w:val="16"/>
              </w:rPr>
              <w:t>Mortalidad a 30 días 42,9 % (emergente) frente a 2,9 % (electiva)</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DF6594" w14:textId="77777777" w:rsidR="0044299D" w:rsidRDefault="00000000">
            <w:pPr>
              <w:spacing w:after="0" w:line="240" w:lineRule="auto"/>
            </w:pPr>
            <w:r>
              <w:rPr>
                <w:color w:val="000000"/>
                <w:sz w:val="16"/>
                <w:szCs w:val="16"/>
              </w:rPr>
              <w:t>Cirugía emergente y anemia posoperatoria grave: predictores independientes de mortalidad</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48BF46" w14:textId="77777777" w:rsidR="0044299D" w:rsidRDefault="00000000">
            <w:pPr>
              <w:spacing w:after="0" w:line="240" w:lineRule="auto"/>
            </w:pPr>
            <w:r>
              <w:rPr>
                <w:color w:val="000000"/>
                <w:sz w:val="16"/>
                <w:szCs w:val="16"/>
              </w:rPr>
              <w:t>Incluye disección aórtica; justifica ajustar por urgencia</w:t>
            </w:r>
          </w:p>
        </w:tc>
      </w:tr>
      <w:tr w:rsidR="0044299D" w14:paraId="498F96AC"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57BDD7" w14:textId="77777777" w:rsidR="0044299D" w:rsidRDefault="00000000">
            <w:pPr>
              <w:spacing w:after="0" w:line="240" w:lineRule="auto"/>
            </w:pPr>
            <w:r>
              <w:rPr>
                <w:b/>
                <w:bCs/>
                <w:color w:val="000000"/>
                <w:sz w:val="16"/>
                <w:szCs w:val="16"/>
              </w:rPr>
              <w:t>Müller et al., 2020 (22)</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1AD0AD" w14:textId="77777777" w:rsidR="0044299D" w:rsidRDefault="00000000">
            <w:pPr>
              <w:spacing w:after="0" w:line="240" w:lineRule="auto"/>
            </w:pPr>
            <w:r>
              <w:rPr>
                <w:color w:val="000000"/>
                <w:sz w:val="16"/>
                <w:szCs w:val="16"/>
              </w:rPr>
              <w:t>Europa</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C44215" w14:textId="77777777" w:rsidR="0044299D" w:rsidRDefault="00000000">
            <w:pPr>
              <w:spacing w:after="0" w:line="240" w:lineRule="auto"/>
            </w:pPr>
            <w:r>
              <w:rPr>
                <w:color w:val="000000"/>
                <w:sz w:val="16"/>
                <w:szCs w:val="16"/>
              </w:rPr>
              <w:t>Cohorte con puntaje de propensión</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27F32C" w14:textId="77777777" w:rsidR="0044299D" w:rsidRDefault="00000000">
            <w:pPr>
              <w:spacing w:after="0" w:line="240" w:lineRule="auto"/>
            </w:pPr>
            <w:r>
              <w:rPr>
                <w:color w:val="000000"/>
                <w:sz w:val="16"/>
                <w:szCs w:val="16"/>
              </w:rPr>
              <w:t>TJ frente a controles</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A8CD21" w14:textId="77777777" w:rsidR="0044299D" w:rsidRDefault="00000000">
            <w:pPr>
              <w:spacing w:after="0" w:line="240" w:lineRule="auto"/>
            </w:pPr>
            <w:r>
              <w:rPr>
                <w:color w:val="000000"/>
                <w:sz w:val="16"/>
                <w:szCs w:val="16"/>
              </w:rPr>
              <w:t>Complicaciones y sangrado</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D24548" w14:textId="77777777" w:rsidR="0044299D" w:rsidRDefault="00000000">
            <w:pPr>
              <w:spacing w:after="0" w:line="240" w:lineRule="auto"/>
            </w:pPr>
            <w:r>
              <w:rPr>
                <w:color w:val="000000"/>
                <w:sz w:val="16"/>
                <w:szCs w:val="16"/>
              </w:rPr>
              <w:t>Desenlaces comparables tras el emparejamiento</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B889EA" w14:textId="77777777" w:rsidR="0044299D" w:rsidRDefault="00000000">
            <w:pPr>
              <w:spacing w:after="0" w:line="240" w:lineRule="auto"/>
            </w:pPr>
            <w:r>
              <w:rPr>
                <w:color w:val="000000"/>
                <w:sz w:val="16"/>
                <w:szCs w:val="16"/>
              </w:rPr>
              <w:t>Reduce, sin eliminar, la confusión</w:t>
            </w:r>
          </w:p>
        </w:tc>
      </w:tr>
      <w:tr w:rsidR="0044299D" w14:paraId="5D4AD7D3"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9414F6" w14:textId="77777777" w:rsidR="0044299D" w:rsidRDefault="00000000">
            <w:pPr>
              <w:spacing w:after="0" w:line="240" w:lineRule="auto"/>
            </w:pPr>
            <w:r>
              <w:rPr>
                <w:b/>
                <w:bCs/>
                <w:color w:val="000000"/>
                <w:sz w:val="16"/>
                <w:szCs w:val="16"/>
              </w:rPr>
              <w:t xml:space="preserve">Hartrumpf et al., 2023 (44)</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F4D7FD" w14:textId="77777777" w:rsidR="0044299D" w:rsidRDefault="00000000">
            <w:pPr>
              <w:spacing w:after="0" w:line="240" w:lineRule="auto"/>
            </w:pPr>
            <w:r>
              <w:rPr>
                <w:color w:val="000000"/>
                <w:sz w:val="16"/>
                <w:szCs w:val="16"/>
              </w:rPr>
              <w:t>Europa</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0EEEB5" w14:textId="77777777" w:rsidR="0044299D" w:rsidRDefault="00000000">
            <w:pPr>
              <w:spacing w:after="0" w:line="240" w:lineRule="auto"/>
            </w:pPr>
            <w:r>
              <w:rPr>
                <w:color w:val="000000"/>
                <w:sz w:val="16"/>
                <w:szCs w:val="16"/>
              </w:rPr>
              <w:t>Cohorte emparejada</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E881E1" w14:textId="77777777" w:rsidR="0044299D" w:rsidRDefault="00000000">
            <w:pPr>
              <w:spacing w:after="0" w:line="240" w:lineRule="auto"/>
            </w:pPr>
            <w:r>
              <w:rPr>
                <w:color w:val="000000"/>
                <w:sz w:val="16"/>
                <w:szCs w:val="16"/>
              </w:rPr>
              <w:t>TJ de edad avanzada frente a controles</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CB4C57" w14:textId="77777777" w:rsidR="0044299D" w:rsidRDefault="00000000">
            <w:pPr>
              <w:spacing w:after="0" w:line="240" w:lineRule="auto"/>
            </w:pPr>
            <w:r>
              <w:rPr>
                <w:color w:val="000000"/>
                <w:sz w:val="16"/>
                <w:szCs w:val="16"/>
              </w:rPr>
              <w:t>Desenlace clínico</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3C508A" w14:textId="77777777" w:rsidR="0044299D" w:rsidRDefault="00000000">
            <w:pPr>
              <w:spacing w:after="0" w:line="240" w:lineRule="auto"/>
            </w:pPr>
            <w:r>
              <w:rPr>
                <w:color w:val="000000"/>
                <w:sz w:val="16"/>
                <w:szCs w:val="16"/>
              </w:rPr>
              <w:t>Resultados comparables tras el emparejamiento</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EA9B0B" w14:textId="77777777" w:rsidR="0044299D" w:rsidRDefault="00000000">
            <w:pPr>
              <w:spacing w:after="0" w:line="240" w:lineRule="auto"/>
            </w:pPr>
            <w:r>
              <w:rPr>
                <w:color w:val="000000"/>
                <w:sz w:val="16"/>
                <w:szCs w:val="16"/>
              </w:rPr>
              <w:t>Enfatiza el abordaje protocolizado</w:t>
            </w:r>
          </w:p>
        </w:tc>
      </w:tr>
      <w:tr w:rsidR="0044299D" w14:paraId="67F26CD1"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46A9E6" w14:textId="77777777" w:rsidR="0044299D" w:rsidRDefault="00000000">
            <w:pPr>
              <w:spacing w:after="0" w:line="240" w:lineRule="auto"/>
            </w:pPr>
            <w:r>
              <w:rPr>
                <w:b/>
                <w:bCs/>
                <w:color w:val="000000"/>
                <w:sz w:val="16"/>
                <w:szCs w:val="16"/>
              </w:rPr>
              <w:t>Jassar et al., 2012 (34)</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F093C8" w14:textId="77777777" w:rsidR="0044299D" w:rsidRDefault="00000000">
            <w:pPr>
              <w:spacing w:after="0" w:line="240" w:lineRule="auto"/>
            </w:pPr>
            <w:r>
              <w:rPr>
                <w:color w:val="000000"/>
                <w:sz w:val="16"/>
                <w:szCs w:val="16"/>
              </w:rPr>
              <w:t>EE. UU.</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620E1D" w14:textId="77777777" w:rsidR="0044299D" w:rsidRDefault="00000000">
            <w:pPr>
              <w:spacing w:after="0" w:line="240" w:lineRule="auto"/>
            </w:pPr>
            <w:r>
              <w:rPr>
                <w:color w:val="000000"/>
                <w:sz w:val="16"/>
                <w:szCs w:val="16"/>
              </w:rPr>
              <w:t>Serie institucional</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C439B0" w14:textId="77777777" w:rsidR="0044299D" w:rsidRDefault="00000000">
            <w:pPr>
              <w:spacing w:after="0" w:line="240" w:lineRule="auto"/>
            </w:pPr>
            <w:r>
              <w:rPr>
                <w:color w:val="000000"/>
                <w:sz w:val="16"/>
                <w:szCs w:val="16"/>
              </w:rPr>
              <w:t>TJ operados durante 10 años</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E60166" w14:textId="77777777" w:rsidR="0044299D" w:rsidRDefault="00000000">
            <w:pPr>
              <w:spacing w:after="0" w:line="240" w:lineRule="auto"/>
            </w:pPr>
            <w:r>
              <w:rPr>
                <w:color w:val="000000"/>
                <w:sz w:val="16"/>
                <w:szCs w:val="16"/>
              </w:rPr>
              <w:t>Resultados a 10 años</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D069DD" w14:textId="77777777" w:rsidR="0044299D" w:rsidRDefault="00000000">
            <w:pPr>
              <w:spacing w:after="0" w:line="240" w:lineRule="auto"/>
            </w:pPr>
            <w:r>
              <w:rPr>
                <w:color w:val="000000"/>
                <w:sz w:val="16"/>
                <w:szCs w:val="16"/>
              </w:rPr>
              <w:t>Factibilidad con protocolo</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7A2BE3" w14:textId="77777777" w:rsidR="0044299D" w:rsidRDefault="00000000">
            <w:pPr>
              <w:spacing w:after="0" w:line="240" w:lineRule="auto"/>
            </w:pPr>
            <w:r>
              <w:rPr>
                <w:color w:val="000000"/>
                <w:sz w:val="16"/>
                <w:szCs w:val="16"/>
              </w:rPr>
              <w:t>Antecedente histórico</w:t>
            </w:r>
          </w:p>
        </w:tc>
      </w:tr>
      <w:tr w:rsidR="0044299D" w14:paraId="7990C6D3"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458775" w14:textId="77777777" w:rsidR="0044299D" w:rsidRDefault="00000000">
            <w:pPr>
              <w:spacing w:after="0" w:line="240" w:lineRule="auto"/>
            </w:pPr>
            <w:r>
              <w:rPr>
                <w:b/>
                <w:bCs/>
                <w:color w:val="000000"/>
                <w:sz w:val="16"/>
                <w:szCs w:val="16"/>
              </w:rPr>
              <w:t xml:space="preserve">Vaislic et al., 2012 (35)</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6A852C" w14:textId="77777777" w:rsidR="0044299D" w:rsidRDefault="00000000">
            <w:pPr>
              <w:spacing w:after="0" w:line="240" w:lineRule="auto"/>
            </w:pPr>
            <w:r>
              <w:rPr>
                <w:color w:val="000000"/>
                <w:sz w:val="16"/>
                <w:szCs w:val="16"/>
              </w:rPr>
              <w:t>Francia</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83B183" w14:textId="77777777" w:rsidR="0044299D" w:rsidRDefault="00000000">
            <w:pPr>
              <w:spacing w:after="0" w:line="240" w:lineRule="auto"/>
            </w:pPr>
            <w:r>
              <w:rPr>
                <w:color w:val="000000"/>
                <w:sz w:val="16"/>
                <w:szCs w:val="16"/>
              </w:rPr>
              <w:t>Serie institucional</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3DE832" w14:textId="77777777" w:rsidR="0044299D" w:rsidRDefault="00000000">
            <w:pPr>
              <w:spacing w:after="0" w:line="240" w:lineRule="auto"/>
            </w:pPr>
            <w:r>
              <w:rPr>
                <w:color w:val="000000"/>
                <w:sz w:val="16"/>
                <w:szCs w:val="16"/>
              </w:rPr>
              <w:t>500 TJ consecutivos en 21 años</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01BECC" w14:textId="77777777" w:rsidR="0044299D" w:rsidRDefault="00000000">
            <w:pPr>
              <w:spacing w:after="0" w:line="240" w:lineRule="auto"/>
            </w:pPr>
            <w:r>
              <w:rPr>
                <w:color w:val="000000"/>
                <w:sz w:val="16"/>
                <w:szCs w:val="16"/>
              </w:rPr>
              <w:t>Resultados a 21 años</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0182E2" w14:textId="77777777" w:rsidR="0044299D" w:rsidRDefault="00000000">
            <w:pPr>
              <w:spacing w:after="0" w:line="240" w:lineRule="auto"/>
            </w:pPr>
            <w:r>
              <w:rPr>
                <w:color w:val="000000"/>
                <w:sz w:val="16"/>
                <w:szCs w:val="16"/>
              </w:rPr>
              <w:t>Gran experiencia institucional</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06EBCC" w14:textId="77777777" w:rsidR="0044299D" w:rsidRDefault="00000000">
            <w:pPr>
              <w:spacing w:after="0" w:line="240" w:lineRule="auto"/>
            </w:pPr>
            <w:r>
              <w:rPr>
                <w:color w:val="000000"/>
                <w:sz w:val="16"/>
                <w:szCs w:val="16"/>
              </w:rPr>
              <w:t>Antecedente histórico</w:t>
            </w:r>
          </w:p>
        </w:tc>
      </w:tr>
      <w:tr w:rsidR="0044299D" w14:paraId="47F1D086"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288510" w14:textId="77777777" w:rsidR="0044299D" w:rsidRDefault="00000000">
            <w:pPr>
              <w:spacing w:after="0" w:line="240" w:lineRule="auto"/>
            </w:pPr>
            <w:r>
              <w:rPr>
                <w:b/>
                <w:bCs/>
                <w:color w:val="000000"/>
                <w:sz w:val="16"/>
                <w:szCs w:val="16"/>
              </w:rPr>
              <w:t xml:space="preserve">Chambault et al., 2021 (20)</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858CC2" w14:textId="77777777" w:rsidR="0044299D" w:rsidRDefault="00000000">
            <w:pPr>
              <w:spacing w:after="0" w:line="240" w:lineRule="auto"/>
            </w:pPr>
            <w:r>
              <w:rPr>
                <w:color w:val="000000"/>
                <w:sz w:val="16"/>
                <w:szCs w:val="16"/>
              </w:rPr>
              <w:t>Reino Unido</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75AF11" w14:textId="77777777" w:rsidR="0044299D" w:rsidRDefault="00000000">
            <w:pPr>
              <w:spacing w:after="0" w:line="240" w:lineRule="auto"/>
            </w:pPr>
            <w:r>
              <w:rPr>
                <w:color w:val="000000"/>
                <w:sz w:val="16"/>
                <w:szCs w:val="16"/>
              </w:rPr>
              <w:t>Revisión narrativa</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C9E8AE" w14:textId="77777777" w:rsidR="0044299D" w:rsidRDefault="00000000">
            <w:pPr>
              <w:spacing w:after="0" w:line="240" w:lineRule="auto"/>
            </w:pPr>
            <w:r>
              <w:rPr>
                <w:color w:val="000000"/>
                <w:sz w:val="16"/>
                <w:szCs w:val="16"/>
              </w:rPr>
              <w:t>Estudios publicados hasta 2020</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F03C51" w14:textId="77777777" w:rsidR="0044299D" w:rsidRDefault="00000000">
            <w:pPr>
              <w:spacing w:after="0" w:line="240" w:lineRule="auto"/>
            </w:pPr>
            <w:r>
              <w:rPr>
                <w:color w:val="000000"/>
                <w:sz w:val="16"/>
                <w:szCs w:val="16"/>
              </w:rPr>
              <w:t>Resultados y estrategias de optimización</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46D8D9" w14:textId="77777777" w:rsidR="0044299D" w:rsidRDefault="00000000">
            <w:pPr>
              <w:spacing w:after="0" w:line="240" w:lineRule="auto"/>
            </w:pPr>
            <w:r>
              <w:rPr>
                <w:color w:val="000000"/>
                <w:sz w:val="16"/>
                <w:szCs w:val="16"/>
              </w:rPr>
              <w:t>Describe estrategias y resultados publicados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F9EC7B" w14:textId="77777777" w:rsidR="0044299D" w:rsidRDefault="00000000">
            <w:pPr>
              <w:spacing w:after="0" w:line="240" w:lineRule="auto"/>
            </w:pPr>
            <w:r>
              <w:rPr>
                <w:color w:val="000000"/>
                <w:sz w:val="16"/>
                <w:szCs w:val="16"/>
              </w:rPr>
              <w:t>No constituye estimación causal</w:t>
            </w:r>
          </w:p>
        </w:tc>
      </w:tr>
      <w:tr w:rsidR="0044299D" w14:paraId="21CFB502"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D9741B" w14:textId="77777777" w:rsidR="0044299D" w:rsidRDefault="00000000">
            <w:pPr>
              <w:spacing w:after="0" w:line="240" w:lineRule="auto"/>
            </w:pPr>
            <w:r>
              <w:rPr>
                <w:b/>
                <w:bCs/>
                <w:color w:val="000000"/>
                <w:sz w:val="16"/>
                <w:szCs w:val="16"/>
              </w:rPr>
              <w:lastRenderedPageBreak/>
              <w:t>Varela Barca et al., 2024 (45)</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47F7F8" w14:textId="77777777" w:rsidR="0044299D" w:rsidRDefault="00000000">
            <w:pPr>
              <w:spacing w:after="0" w:line="240" w:lineRule="auto"/>
            </w:pPr>
            <w:r>
              <w:rPr>
                <w:color w:val="000000"/>
                <w:sz w:val="16"/>
                <w:szCs w:val="16"/>
              </w:rPr>
              <w:t>España</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00957F" w14:textId="77777777" w:rsidR="0044299D" w:rsidRDefault="00000000">
            <w:pPr>
              <w:spacing w:after="0" w:line="240" w:lineRule="auto"/>
            </w:pPr>
            <w:r>
              <w:rPr>
                <w:color w:val="000000"/>
                <w:sz w:val="16"/>
                <w:szCs w:val="16"/>
              </w:rPr>
              <w:t>Resumen de congreso</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741004" w14:textId="77777777" w:rsidR="0044299D" w:rsidRDefault="00000000">
            <w:pPr>
              <w:spacing w:after="0" w:line="240" w:lineRule="auto"/>
            </w:pPr>
            <w:r>
              <w:rPr>
                <w:color w:val="000000"/>
                <w:sz w:val="16"/>
                <w:szCs w:val="16"/>
              </w:rPr>
              <w:t xml:space="preserve">TJ con protocolo de ultraoptimización preoperatoria</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972BFE" w14:textId="77777777" w:rsidR="0044299D" w:rsidRDefault="00000000">
            <w:pPr>
              <w:spacing w:after="0" w:line="240" w:lineRule="auto"/>
            </w:pPr>
            <w:r>
              <w:rPr>
                <w:color w:val="000000"/>
                <w:sz w:val="16"/>
                <w:szCs w:val="16"/>
              </w:rPr>
              <w:t>Resultados perioperatorios</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7F6E23" w14:textId="77777777" w:rsidR="0044299D" w:rsidRDefault="00000000">
            <w:pPr>
              <w:spacing w:after="0" w:line="240" w:lineRule="auto"/>
            </w:pPr>
            <w:r>
              <w:rPr>
                <w:color w:val="000000"/>
                <w:sz w:val="16"/>
                <w:szCs w:val="16"/>
              </w:rPr>
              <w:t>Experiencia de un centro con protocolo</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B11DC4" w14:textId="77777777" w:rsidR="0044299D" w:rsidRDefault="00000000">
            <w:pPr>
              <w:spacing w:after="0" w:line="240" w:lineRule="auto"/>
            </w:pPr>
            <w:r>
              <w:rPr>
                <w:color w:val="000000"/>
                <w:sz w:val="16"/>
                <w:szCs w:val="16"/>
              </w:rPr>
              <w:t>Evidencia limitada al formato de resumen</w:t>
            </w:r>
          </w:p>
        </w:tc>
      </w:tr>
      <w:tr w:rsidR="0044299D" w14:paraId="391BE485"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5FC82C" w14:textId="77777777" w:rsidR="0044299D" w:rsidRDefault="00000000">
            <w:pPr>
              <w:spacing w:after="0" w:line="240" w:lineRule="auto"/>
            </w:pPr>
            <w:r>
              <w:rPr>
                <w:b/>
                <w:bCs/>
                <w:color w:val="000000"/>
                <w:sz w:val="16"/>
                <w:szCs w:val="16"/>
              </w:rPr>
              <w:t>Bernal et al., 2006 (19)</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8F0D89" w14:textId="77777777" w:rsidR="0044299D" w:rsidRDefault="00000000">
            <w:pPr>
              <w:spacing w:after="0" w:line="240" w:lineRule="auto"/>
            </w:pPr>
            <w:r>
              <w:rPr>
                <w:color w:val="000000"/>
                <w:sz w:val="16"/>
                <w:szCs w:val="16"/>
              </w:rPr>
              <w:t>España (Santander)</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071A8A" w14:textId="77777777" w:rsidR="0044299D" w:rsidRDefault="00000000">
            <w:pPr>
              <w:spacing w:after="0" w:line="240" w:lineRule="auto"/>
            </w:pPr>
            <w:r>
              <w:rPr>
                <w:color w:val="000000"/>
                <w:sz w:val="16"/>
                <w:szCs w:val="16"/>
              </w:rPr>
              <w:t>Serie de casos</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91C47A" w14:textId="77777777" w:rsidR="0044299D" w:rsidRDefault="00000000">
            <w:pPr>
              <w:spacing w:after="0" w:line="240" w:lineRule="auto"/>
            </w:pPr>
            <w:r>
              <w:rPr>
                <w:color w:val="000000"/>
                <w:sz w:val="16"/>
                <w:szCs w:val="16"/>
              </w:rPr>
              <w:t>10 TJ (1998–2004), Hospital Universitario Marqués de Valdecilla</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2B3378" w14:textId="77777777" w:rsidR="0044299D" w:rsidRDefault="00000000">
            <w:pPr>
              <w:spacing w:after="0" w:line="240" w:lineRule="auto"/>
            </w:pPr>
            <w:r>
              <w:rPr>
                <w:color w:val="000000"/>
                <w:sz w:val="16"/>
                <w:szCs w:val="16"/>
              </w:rPr>
              <w:t xml:space="preserve">Hematocrito, reoperación y mortalidad</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625072" w14:textId="77777777" w:rsidR="0044299D" w:rsidRDefault="00000000">
            <w:pPr>
              <w:spacing w:after="0" w:line="240" w:lineRule="auto"/>
            </w:pPr>
            <w:r>
              <w:rPr>
                <w:color w:val="000000"/>
                <w:sz w:val="16"/>
                <w:szCs w:val="16"/>
              </w:rPr>
              <w:t xml:space="preserve">Todos egresaron vivos; una reoperación por sangrado</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B4F4B1" w14:textId="77777777" w:rsidR="0044299D" w:rsidRDefault="00000000">
            <w:pPr>
              <w:spacing w:after="0" w:line="240" w:lineRule="auto"/>
            </w:pPr>
            <w:r>
              <w:rPr>
                <w:color w:val="000000"/>
                <w:sz w:val="16"/>
                <w:szCs w:val="16"/>
              </w:rPr>
              <w:t>Antecedente internacional, no colombiano</w:t>
            </w:r>
          </w:p>
        </w:tc>
      </w:tr>
      <w:tr w:rsidR="0044299D" w14:paraId="6D60C472"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1AA153" w14:textId="77777777" w:rsidR="0044299D" w:rsidRDefault="00000000">
            <w:pPr>
              <w:spacing w:after="0" w:line="240" w:lineRule="auto"/>
            </w:pPr>
            <w:r>
              <w:rPr>
                <w:b/>
                <w:bCs/>
                <w:color w:val="000000"/>
                <w:sz w:val="16"/>
                <w:szCs w:val="16"/>
              </w:rPr>
              <w:t>Montes Villalobos et al., s. f. (18)</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ABDEBE" w14:textId="77777777" w:rsidR="0044299D" w:rsidRDefault="00000000">
            <w:pPr>
              <w:spacing w:after="0" w:line="240" w:lineRule="auto"/>
            </w:pPr>
            <w:r>
              <w:rPr>
                <w:color w:val="000000"/>
                <w:sz w:val="16"/>
                <w:szCs w:val="16"/>
              </w:rPr>
              <w:t>Colombia</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8D06F4" w14:textId="77777777" w:rsidR="0044299D" w:rsidRDefault="00000000">
            <w:pPr>
              <w:spacing w:after="0" w:line="240" w:lineRule="auto"/>
            </w:pPr>
            <w:r>
              <w:rPr>
                <w:color w:val="000000"/>
                <w:sz w:val="16"/>
                <w:szCs w:val="16"/>
              </w:rPr>
              <w:t>Póster de congreso</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506FA4" w14:textId="77777777" w:rsidR="0044299D" w:rsidRDefault="00000000">
            <w:pPr>
              <w:spacing w:after="0" w:line="240" w:lineRule="auto"/>
            </w:pPr>
            <w:r>
              <w:rPr>
                <w:color w:val="000000"/>
                <w:sz w:val="16"/>
                <w:szCs w:val="16"/>
              </w:rPr>
              <w:t>30 pacientes (2012–2021)</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D7DED7" w14:textId="77777777" w:rsidR="0044299D" w:rsidRDefault="00000000">
            <w:pPr>
              <w:spacing w:after="0" w:line="240" w:lineRule="auto"/>
            </w:pPr>
            <w:r>
              <w:rPr>
                <w:color w:val="000000"/>
                <w:sz w:val="16"/>
                <w:szCs w:val="16"/>
              </w:rPr>
              <w:t>Mortalidad posoperatoria</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8CBD0A" w14:textId="77777777" w:rsidR="0044299D" w:rsidRDefault="00000000">
            <w:pPr>
              <w:spacing w:after="0" w:line="240" w:lineRule="auto"/>
            </w:pPr>
            <w:r>
              <w:rPr>
                <w:color w:val="000000"/>
                <w:sz w:val="16"/>
                <w:szCs w:val="16"/>
              </w:rPr>
              <w:t>Una muerte en 30 pacientes; preferencias transfusionales variables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3D07CC" w14:textId="77777777" w:rsidR="0044299D" w:rsidRDefault="00000000">
            <w:pPr>
              <w:spacing w:after="0" w:line="240" w:lineRule="auto"/>
            </w:pPr>
            <w:r>
              <w:rPr>
                <w:color w:val="000000"/>
                <w:sz w:val="16"/>
                <w:szCs w:val="16"/>
              </w:rPr>
              <w:t>Único antecedente nacional; sin manuscrito completo</w:t>
            </w:r>
          </w:p>
        </w:tc>
      </w:tr>
      <w:tr w:rsidR="0044299D" w14:paraId="2E9567B7"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5D311E" w14:textId="77777777" w:rsidR="0044299D" w:rsidRDefault="00000000">
            <w:pPr>
              <w:spacing w:after="0" w:line="240" w:lineRule="auto"/>
            </w:pPr>
            <w:r>
              <w:rPr>
                <w:b/>
                <w:bCs/>
                <w:color w:val="000000"/>
                <w:sz w:val="16"/>
                <w:szCs w:val="16"/>
              </w:rPr>
              <w:t xml:space="preserve">Woldendorp et al., 2023 (21)</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320E5B" w14:textId="77777777" w:rsidR="0044299D" w:rsidRDefault="00000000">
            <w:pPr>
              <w:spacing w:after="0" w:line="240" w:lineRule="auto"/>
            </w:pPr>
            <w:r>
              <w:rPr>
                <w:color w:val="000000"/>
                <w:sz w:val="16"/>
                <w:szCs w:val="16"/>
              </w:rPr>
              <w:t>Multicéntrico</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5DBDAE" w14:textId="77777777" w:rsidR="0044299D" w:rsidRDefault="00000000">
            <w:pPr>
              <w:spacing w:after="0" w:line="240" w:lineRule="auto"/>
            </w:pPr>
            <w:r>
              <w:rPr>
                <w:color w:val="000000"/>
                <w:sz w:val="16"/>
                <w:szCs w:val="16"/>
              </w:rPr>
              <w:t>Metaanálisis (39 estudios)</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42A962" w14:textId="77777777" w:rsidR="0044299D" w:rsidRDefault="00000000">
            <w:pPr>
              <w:spacing w:after="0" w:line="240" w:lineRule="auto"/>
            </w:pPr>
            <w:r>
              <w:rPr>
                <w:color w:val="000000"/>
                <w:sz w:val="16"/>
                <w:szCs w:val="16"/>
              </w:rPr>
              <w:t>180.074 pacientes transfundidos frente a no transfundidos</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68E11A" w14:textId="77777777" w:rsidR="0044299D" w:rsidRDefault="00000000">
            <w:pPr>
              <w:spacing w:after="0" w:line="240" w:lineRule="auto"/>
            </w:pPr>
            <w:r>
              <w:rPr>
                <w:color w:val="000000"/>
                <w:sz w:val="16"/>
                <w:szCs w:val="16"/>
              </w:rPr>
              <w:t>Mortalidad temprana OR 3,87; a largo plazo OR 2,01</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908DBF" w14:textId="77777777" w:rsidR="0044299D" w:rsidRDefault="00000000">
            <w:pPr>
              <w:spacing w:after="0" w:line="240" w:lineRule="auto"/>
            </w:pPr>
            <w:r>
              <w:rPr>
                <w:color w:val="000000"/>
                <w:sz w:val="16"/>
                <w:szCs w:val="16"/>
              </w:rPr>
              <w:t>Asociación consistente con peor supervivencia</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9A900E" w14:textId="77777777" w:rsidR="0044299D" w:rsidRDefault="00000000">
            <w:pPr>
              <w:spacing w:after="0" w:line="240" w:lineRule="auto"/>
            </w:pPr>
            <w:r>
              <w:rPr>
                <w:color w:val="000000"/>
                <w:sz w:val="16"/>
                <w:szCs w:val="16"/>
              </w:rPr>
              <w:t>Confusión por gravedad y sangrado</w:t>
            </w:r>
          </w:p>
        </w:tc>
      </w:tr>
      <w:tr w:rsidR="0044299D" w14:paraId="4A39FC19"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B8B046" w14:textId="77777777" w:rsidR="0044299D" w:rsidRDefault="00000000">
            <w:pPr>
              <w:spacing w:after="0" w:line="240" w:lineRule="auto"/>
            </w:pPr>
            <w:r>
              <w:rPr>
                <w:b/>
                <w:bCs/>
                <w:color w:val="000000"/>
                <w:sz w:val="16"/>
                <w:szCs w:val="16"/>
              </w:rPr>
              <w:t>Fletcher et al., 2023 (28)</w:t>
            </w:r>
          </w:p>
        </w:tc>
        <w:tc>
          <w:tcPr>
            <w:tcW w:w="10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4F2A46" w14:textId="77777777" w:rsidR="0044299D" w:rsidRDefault="00000000">
            <w:pPr>
              <w:spacing w:after="0" w:line="240" w:lineRule="auto"/>
            </w:pPr>
            <w:r>
              <w:rPr>
                <w:color w:val="000000"/>
                <w:sz w:val="16"/>
                <w:szCs w:val="16"/>
              </w:rPr>
              <w:t>—</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1585C9" w14:textId="77777777" w:rsidR="0044299D" w:rsidRDefault="00000000">
            <w:pPr>
              <w:spacing w:after="0" w:line="240" w:lineRule="auto"/>
            </w:pPr>
            <w:r>
              <w:rPr>
                <w:color w:val="000000"/>
                <w:sz w:val="16"/>
                <w:szCs w:val="16"/>
              </w:rPr>
              <w:t>Cohorte retrospectiva emparejada</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BA5F5C" w14:textId="77777777" w:rsidR="0044299D" w:rsidRDefault="00000000">
            <w:pPr>
              <w:spacing w:after="0" w:line="240" w:lineRule="auto"/>
            </w:pPr>
            <w:r>
              <w:rPr>
                <w:color w:val="000000"/>
                <w:sz w:val="16"/>
                <w:szCs w:val="16"/>
              </w:rPr>
              <w:t>Cirugía cardiaca: plaquetas sí frente a no</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E9497B" w14:textId="77777777" w:rsidR="0044299D" w:rsidRDefault="00000000">
            <w:pPr>
              <w:spacing w:after="0" w:line="240" w:lineRule="auto"/>
            </w:pPr>
            <w:r>
              <w:rPr>
                <w:color w:val="000000"/>
                <w:sz w:val="16"/>
                <w:szCs w:val="16"/>
              </w:rPr>
              <w:t>Mortalidad, lesión renal aguda e infección</w:t>
            </w:r>
          </w:p>
        </w:tc>
        <w:tc>
          <w:tcPr>
            <w:tcW w:w="1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B4AD4E" w14:textId="77777777" w:rsidR="0044299D" w:rsidRDefault="00000000">
            <w:pPr>
              <w:spacing w:after="0" w:line="240" w:lineRule="auto"/>
            </w:pPr>
            <w:r>
              <w:rPr>
                <w:color w:val="000000"/>
                <w:sz w:val="16"/>
                <w:szCs w:val="16"/>
              </w:rPr>
              <w:t>Sin asociación con mortalidad ni con lesión renal; menor infección sospechada</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6956F7" w14:textId="77777777" w:rsidR="0044299D" w:rsidRDefault="00000000">
            <w:pPr>
              <w:spacing w:after="0" w:line="240" w:lineRule="auto"/>
            </w:pPr>
            <w:r>
              <w:rPr>
                <w:color w:val="000000"/>
                <w:sz w:val="16"/>
                <w:szCs w:val="16"/>
              </w:rPr>
              <w:t>Ilustra la confusión por indicación</w:t>
            </w:r>
          </w:p>
        </w:tc>
      </w:tr>
    </w:tbl>
    <w:p w14:paraId="2D893807" w14:textId="77777777" w:rsidR="005D1D70" w:rsidRDefault="00000000">
      <w:pPr>
        <w:spacing w:after="0"/>
        <w:jc w:val="both"/>
        <w:rPr>
          <w:sz w:val="24"/>
          <w:szCs w:val="24"/>
        </w:rPr>
      </w:pPr>
      <w:r>
        <w:rPr>
          <w:sz w:val="24"/>
          <w:szCs w:val="24"/>
        </w:rPr>
        <w:br/>
      </w:r>
    </w:p>
    <w:p w14:paraId="0437426F" w14:textId="77777777" w:rsidR="005D1D70" w:rsidRDefault="00000000">
      <w:pPr>
        <w:spacing w:after="0"/>
        <w:jc w:val="both"/>
        <w:rPr>
          <w:sz w:val="24"/>
          <w:szCs w:val="24"/>
        </w:rPr>
      </w:pPr>
      <w:r>
        <w:rPr>
          <w:b/>
          <w:bCs/>
          <w:sz w:val="24"/>
          <w:szCs w:val="24"/>
        </w:rPr>
        <w:t>Siglas y abreviaturas:</w:t>
      </w:r>
    </w:p>
    <w:p w14:paraId="56FC404A" w14:textId="77777777" w:rsidR="0044299D" w:rsidRDefault="00000000">
      <w:pPr>
        <w:numPr>
          <w:ilvl w:val="0"/>
          <w:numId w:val="3"/>
        </w:numPr>
        <w:spacing w:after="60"/>
        <w:jc w:val="both"/>
      </w:pPr>
      <w:r>
        <w:rPr>
          <w:b/>
          <w:bCs/>
          <w:color w:val="000000"/>
          <w:sz w:val="24"/>
          <w:szCs w:val="24"/>
        </w:rPr>
        <w:t>TJ:</w:t>
      </w:r>
      <w:r>
        <w:rPr>
          <w:color w:val="000000"/>
          <w:sz w:val="24"/>
          <w:szCs w:val="24"/>
        </w:rPr>
        <w:t xml:space="preserve"> Testigos de Jehová.</w:t>
      </w:r>
    </w:p>
    <w:p w14:paraId="263B37EB" w14:textId="77777777" w:rsidR="0044299D" w:rsidRDefault="00000000">
      <w:pPr>
        <w:numPr>
          <w:ilvl w:val="0"/>
          <w:numId w:val="3"/>
        </w:numPr>
        <w:spacing w:after="60"/>
        <w:jc w:val="both"/>
      </w:pPr>
      <w:r>
        <w:rPr>
          <w:b/>
          <w:bCs/>
          <w:color w:val="000000"/>
          <w:sz w:val="24"/>
          <w:szCs w:val="24"/>
        </w:rPr>
        <w:t>OR:</w:t>
      </w:r>
      <w:r>
        <w:rPr>
          <w:color w:val="000000"/>
          <w:sz w:val="24"/>
          <w:szCs w:val="24"/>
        </w:rPr>
        <w:t xml:space="preserve"> razón de momios (odds ratio).</w:t>
      </w:r>
    </w:p>
    <w:p w14:paraId="48DCEE77" w14:textId="77777777" w:rsidR="0044299D" w:rsidRDefault="00000000">
      <w:pPr>
        <w:numPr>
          <w:ilvl w:val="0"/>
          <w:numId w:val="3"/>
        </w:numPr>
        <w:spacing w:after="60"/>
        <w:jc w:val="both"/>
      </w:pPr>
      <w:r>
        <w:rPr>
          <w:b/>
          <w:bCs/>
          <w:color w:val="000000"/>
          <w:sz w:val="24"/>
          <w:szCs w:val="24"/>
        </w:rPr>
        <w:t>IC 95 %:</w:t>
      </w:r>
      <w:r>
        <w:rPr>
          <w:color w:val="000000"/>
          <w:sz w:val="24"/>
          <w:szCs w:val="24"/>
        </w:rPr>
        <w:t xml:space="preserve"> intervalo de confianza del 95 %.</w:t>
      </w:r>
    </w:p>
    <w:p w14:paraId="5EB518A1" w14:textId="77777777" w:rsidR="0044299D" w:rsidRDefault="00000000">
      <w:pPr>
        <w:numPr>
          <w:ilvl w:val="0"/>
          <w:numId w:val="3"/>
        </w:numPr>
        <w:spacing w:after="60"/>
        <w:jc w:val="both"/>
      </w:pPr>
      <w:r>
        <w:rPr>
          <w:b/>
          <w:bCs/>
          <w:color w:val="000000"/>
          <w:sz w:val="24"/>
          <w:szCs w:val="24"/>
        </w:rPr>
        <w:t>CEC:</w:t>
      </w:r>
      <w:r>
        <w:rPr>
          <w:color w:val="000000"/>
          <w:sz w:val="24"/>
          <w:szCs w:val="24"/>
        </w:rPr>
        <w:t xml:space="preserve"> circulación extracorpórea.</w:t>
      </w:r>
    </w:p>
    <w:p w14:paraId="647ECAAD" w14:textId="77777777" w:rsidR="0044299D" w:rsidRDefault="00000000">
      <w:pPr>
        <w:numPr>
          <w:ilvl w:val="0"/>
          <w:numId w:val="3"/>
        </w:numPr>
        <w:spacing w:after="60"/>
        <w:jc w:val="both"/>
      </w:pPr>
      <w:r>
        <w:rPr>
          <w:b/>
          <w:bCs/>
          <w:color w:val="000000"/>
          <w:sz w:val="24"/>
          <w:szCs w:val="24"/>
        </w:rPr>
        <w:t>UCI:</w:t>
      </w:r>
      <w:r>
        <w:rPr>
          <w:color w:val="000000"/>
          <w:sz w:val="24"/>
          <w:szCs w:val="24"/>
        </w:rPr>
        <w:t xml:space="preserve"> unidad de cuidados intensivos.</w:t>
      </w:r>
    </w:p>
    <w:p w14:paraId="6F324827" w14:textId="77777777" w:rsidR="0044299D" w:rsidRDefault="00000000">
      <w:pPr>
        <w:numPr>
          <w:ilvl w:val="0"/>
          <w:numId w:val="3"/>
        </w:numPr>
        <w:spacing w:after="60"/>
        <w:jc w:val="both"/>
      </w:pPr>
      <w:r>
        <w:rPr>
          <w:b/>
          <w:bCs/>
          <w:color w:val="000000"/>
          <w:sz w:val="24"/>
          <w:szCs w:val="24"/>
        </w:rPr>
        <w:t>ERAS:</w:t>
      </w:r>
      <w:r>
        <w:rPr>
          <w:color w:val="000000"/>
          <w:sz w:val="24"/>
          <w:szCs w:val="24"/>
        </w:rPr>
        <w:t xml:space="preserve"> recuperación mejorada después de la cirugía.</w:t>
      </w:r>
    </w:p>
    <w:p w14:paraId="7707034A" w14:textId="77777777" w:rsidR="005D1D70" w:rsidRDefault="005D1D70">
      <w:pPr>
        <w:spacing w:after="0"/>
        <w:jc w:val="both"/>
        <w:rPr>
          <w:sz w:val="24"/>
          <w:szCs w:val="24"/>
        </w:rPr>
      </w:pPr>
    </w:p>
    <w:p w14:paraId="63162923" w14:textId="77777777" w:rsidR="005D1D70" w:rsidRDefault="00000000">
      <w:pPr>
        <w:spacing w:after="0"/>
        <w:jc w:val="both"/>
        <w:rPr>
          <w:b/>
          <w:bCs/>
          <w:sz w:val="24"/>
          <w:szCs w:val="24"/>
        </w:rPr>
      </w:pPr>
      <w:r>
        <w:rPr>
          <w:b/>
          <w:bCs/>
          <w:sz w:val="24"/>
          <w:szCs w:val="24"/>
        </w:rPr>
        <w:t>2.3 MARCO LEGAL O NORMATIVO</w:t>
      </w:r>
    </w:p>
    <w:p w14:paraId="64351C46" w14:textId="77777777" w:rsidR="005D1D70" w:rsidRDefault="005D1D70">
      <w:pPr>
        <w:spacing w:after="0"/>
        <w:jc w:val="both"/>
        <w:rPr>
          <w:b/>
          <w:bCs/>
          <w:sz w:val="24"/>
          <w:szCs w:val="24"/>
        </w:rPr>
      </w:pPr>
    </w:p>
    <w:p w14:paraId="648A8D3B" w14:textId="77777777" w:rsidR="005D1D70" w:rsidRDefault="00000000">
      <w:pPr>
        <w:pStyle w:val="Ttulo3"/>
        <w:keepNext w:val="0"/>
        <w:keepLines w:val="0"/>
        <w:spacing w:before="280" w:after="80"/>
        <w:jc w:val="both"/>
        <w:rPr>
          <w:rFonts w:ascii="Calibri" w:eastAsia="Calibri" w:hAnsi="Calibri" w:cs="Calibri"/>
          <w:color w:val="000000"/>
          <w:sz w:val="26"/>
          <w:szCs w:val="26"/>
        </w:rPr>
      </w:pPr>
      <w:bookmarkStart w:id="12" w:name="_heading=h.uxcyaecc3xok" w:colFirst="0" w:colLast="0"/>
      <w:bookmarkEnd w:id="12"/>
      <w:r>
        <w:rPr>
          <w:rFonts w:ascii="Calibri" w:eastAsia="Calibri" w:hAnsi="Calibri" w:cs="Calibri"/>
          <w:color w:val="000000"/>
          <w:sz w:val="26"/>
          <w:szCs w:val="26"/>
        </w:rPr>
        <w:t>2.3.1 Estándares internacionales de ética en investigación</w:t>
      </w:r>
    </w:p>
    <w:p w14:paraId="32590E8A" w14:textId="77777777" w:rsidR="005D1D70" w:rsidRDefault="00000000">
      <w:pPr>
        <w:spacing w:before="240" w:after="240"/>
        <w:jc w:val="both"/>
        <w:rPr>
          <w:sz w:val="24"/>
          <w:szCs w:val="24"/>
        </w:rPr>
      </w:pPr>
      <w:r>
        <w:rPr>
          <w:sz w:val="24"/>
          <w:szCs w:val="24"/>
        </w:rPr>
        <w:t xml:space="preserve">El proyecto se enmarca en principios éticos universales que exigen valor social y científico del conocimiento, minimización de los riesgos, respeto por las personas y distribución justa de las cargas y los beneficios de la investigación. El Informe Belmont establece como principios fundamentales el respeto por las personas, que incluye el reconocimiento de la autonomía; la beneficencia, orientada a maximizar los beneficios y reducir los posibles daños; y la justicia, </w:t>
        <w:lastRenderedPageBreak/>
        <w:t>entendida como la distribución equitativa de las cargas y los beneficios derivados de la investigación (10).</w:t>
      </w:r>
    </w:p>
    <w:p w14:paraId="1D8F9283" w14:textId="4CFACAC0" w:rsidR="005D1D70" w:rsidRDefault="00000000">
      <w:pPr>
        <w:spacing w:before="240" w:after="240"/>
        <w:jc w:val="both"/>
        <w:rPr>
          <w:sz w:val="24"/>
          <w:szCs w:val="24"/>
        </w:rPr>
      </w:pPr>
      <w:r>
        <w:rPr>
          <w:sz w:val="24"/>
          <w:szCs w:val="24"/>
        </w:rPr>
        <w:t xml:space="preserve">Por su parte, la Declaración de Helsinki establece que la investigación médica debe priorizar la salud, el bienestar y los derechos de los participantes. Asimismo, exige solidez científica y metodológica, evaluación previa por un comité de ética en investigación y medidas adecuadas para proteger la privacidad y la confidencialidad de la información. Estas disposiciones adquieren especial relevancia en estudios que utilizan datos clínicos, aun cuando se trate de investigaciones retrospectivas y sin intervención directa sobre los pacientes (11). Este estudio será sometido a evaluación del Comité de Ética y Bioética de Investigación de la Universidad Libre Seccional Barranquilla (CEBIUL). </w:t>
      </w:r>
    </w:p>
    <w:p>
      <w:pPr>
        <w:jc w:val="both"/>
      </w:pPr>
      <w:r>
        <w:rPr>
          <w:color w:val="000000"/>
          <w:sz w:val="24"/>
          <w:szCs w:val="24"/>
          <w:highlight w:val="yellow"/>
        </w:rPr>
        <w:t xml:space="preserve">Complementariamente, las Pautas éticas internacionales para la investigación relacionada con la salud con seres humanos (CIOMS-OMS, 2016) orientan la evaluación de este protocolo en cuatro aspectos: la distribución equitativa de cargas y beneficios en la selección de grupos (pauta 3), las condiciones para modificar o dispensar el consentimiento informado (pauta 10), el uso de datos relacionados con la salud (pauta 12) y la protección de personas y grupos en situación de vulnerabilidad (pauta 15) (54). La Declaración Universal sobre Bioética y Derechos Humanos de la UNESCO consagra, además, la privacidad y la confidencialidad (artículo 9) y la prohibición de discriminación y estigmatización (artículo 11), principios que fundamentan las medidas de interpretación y publicación de este protocolo (55).</w:t>
      </w:r>
    </w:p>
    <w:p w14:paraId="27F45EEB" w14:textId="77777777" w:rsidR="005D1D70" w:rsidRDefault="005D1D70">
      <w:pPr>
        <w:spacing w:after="0"/>
        <w:jc w:val="both"/>
        <w:rPr>
          <w:sz w:val="24"/>
          <w:szCs w:val="24"/>
        </w:rPr>
      </w:pPr>
    </w:p>
    <w:p w14:paraId="64EA211B" w14:textId="77777777" w:rsidR="005D1D70" w:rsidRDefault="00000000">
      <w:pPr>
        <w:pStyle w:val="Ttulo3"/>
        <w:keepNext w:val="0"/>
        <w:keepLines w:val="0"/>
        <w:spacing w:before="280" w:after="80"/>
        <w:jc w:val="both"/>
        <w:rPr>
          <w:rFonts w:ascii="Calibri" w:eastAsia="Calibri" w:hAnsi="Calibri" w:cs="Calibri"/>
          <w:color w:val="000000"/>
          <w:sz w:val="26"/>
          <w:szCs w:val="26"/>
        </w:rPr>
      </w:pPr>
      <w:bookmarkStart w:id="13" w:name="_heading=h.wu3dkroo2fjm" w:colFirst="0" w:colLast="0"/>
      <w:bookmarkEnd w:id="13"/>
      <w:r>
        <w:rPr>
          <w:rFonts w:ascii="Calibri" w:eastAsia="Calibri" w:hAnsi="Calibri" w:cs="Calibri"/>
          <w:color w:val="000000"/>
          <w:sz w:val="26"/>
          <w:szCs w:val="26"/>
        </w:rPr>
        <w:t>2.3.2 Regulación colombiana aplicable al diseño retrospectivo con historias clínicas</w:t>
      </w:r>
    </w:p>
    <w:p w14:paraId="0504EA72" w14:textId="77777777" w:rsidR="005D1D70" w:rsidRDefault="00000000">
      <w:pPr>
        <w:spacing w:before="240" w:after="240"/>
        <w:jc w:val="both"/>
        <w:rPr>
          <w:sz w:val="24"/>
          <w:szCs w:val="24"/>
        </w:rPr>
      </w:pPr>
      <w:r>
        <w:rPr>
          <w:sz w:val="24"/>
          <w:szCs w:val="24"/>
        </w:rPr>
        <w:t>En Colombia, el desarrollo de este estudio se sustenta en cuatro pilares normativos relacionados con la ética médica, la investigación en salud, el manejo de la historia clínica y la protección de los datos personales.</w:t>
      </w:r>
    </w:p>
    <w:p w14:paraId="28A2BE87" w14:textId="77777777" w:rsidR="005D1D70" w:rsidRDefault="00000000">
      <w:pPr>
        <w:spacing w:before="240" w:after="240"/>
        <w:jc w:val="both"/>
        <w:rPr>
          <w:sz w:val="24"/>
          <w:szCs w:val="24"/>
        </w:rPr>
      </w:pPr>
      <w:r>
        <w:rPr>
          <w:sz w:val="24"/>
          <w:szCs w:val="24"/>
        </w:rPr>
        <w:t>La Ley 23 de 1981 establece las normas en materia de ética médica y consagra el deber de reserva sobre la información conocida durante la atención de los pacientes. En este contexto, la información obtenida de las historias clínicas debe ser manejada de manera confidencial y utilizada exclusivamente para los fines autorizados dentro del proyecto de investigación (12).</w:t>
      </w:r>
    </w:p>
    <w:p w14:paraId="067413D8" w14:textId="1B32CD4B" w:rsidR="005D1D70" w:rsidRDefault="00000000">
      <w:pPr>
        <w:spacing w:before="240" w:after="240"/>
        <w:jc w:val="both"/>
        <w:rPr>
          <w:sz w:val="24"/>
          <w:szCs w:val="24"/>
        </w:rPr>
      </w:pPr>
      <w:r>
        <w:rPr>
          <w:sz w:val="24"/>
          <w:szCs w:val="24"/>
        </w:rPr>
        <w:t xml:space="preserve">La Resolución 8430 de 1993 establece las normas científicas, técnicas y administrativas para la investigación en salud, incluyendo la clasificación de los estudios según su nivel de riesgo. Esta disposición contempla los estudios documentales retrospectivos y la revisión de historias clínicas dentro de la categoría de investigación sin riesgo, siempre que no se identifique a los participantes ni se aborden aspectos sensibles de su conducta. Debido a que el presente estudio utilizará información clínica y datos relacionados con las convicciones religiosas de los pacientes, la clasificación definitiva del riesgo deberá ser evaluada por el comité de ética en investigación, con especial consideración de los riesgos relacionados con la privacidad y la confidencialidad de la información (13). El parágrafo primero de su artículo 16 faculta al comité de ética para dispensar la obtención del consentimiento informado en investigaciones sin riesgo (13). </w:t>
      </w:r>
      <w:r>
        <w:rPr>
          <w:color w:val="000000"/>
          <w:sz w:val="24"/>
          <w:szCs w:val="24"/>
          <w:highlight w:val="yellow"/>
        </w:rPr>
        <w:t xml:space="preserve"> La justificación detallada de la clasificación del riesgo y de la solicitud de dispensa del consentimiento se presenta en el numeral 3.9.</w:t>
      </w:r>
    </w:p>
    <w:p w14:paraId="2E29EDEE" w14:textId="77777777" w:rsidR="0044299D" w:rsidRDefault="00000000">
      <w:pPr>
        <w:spacing w:after="160"/>
        <w:jc w:val="both"/>
      </w:pPr>
      <w:r>
        <w:rPr>
          <w:color w:val="000000"/>
          <w:sz w:val="24"/>
          <w:szCs w:val="24"/>
        </w:rPr>
        <w:t xml:space="preserve">La Resolución 1995 de 1999 establece que la historia clínica es un documento privado, sometido a reserva, que solo puede ser conocido por terceros con autorización del paciente o en los casos </w:t>
        <w:lastRenderedPageBreak/>
        <w:t>previstos por la ley; por ello, el acceso con fines de investigación requerirá la autorización expresa de la Clínica General del Norte y el aval del comité de ética (46).</w:t>
      </w:r>
    </w:p>
    <w:p w14:paraId="1999A099" w14:textId="77777777" w:rsidR="005D1D70" w:rsidRDefault="00000000">
      <w:pPr>
        <w:spacing w:before="240" w:after="240"/>
        <w:jc w:val="both"/>
        <w:rPr>
          <w:sz w:val="24"/>
          <w:szCs w:val="24"/>
        </w:rPr>
      </w:pPr>
      <w:r>
        <w:rPr>
          <w:sz w:val="24"/>
          <w:szCs w:val="24"/>
        </w:rPr>
        <w:t>Por su parte, la Ley 1581 de 2012 regula el tratamiento de los datos personales y reconoce como sensibles tanto la información relacionada con la salud como aquella que revela las convicciones religiosas de una persona. Su tratamiento exige el cumplimiento de los principios de finalidad, acceso restringido, seguridad y confidencialidad, así como la adopción de medidas orientadas a proteger la identidad de los titulares cuando los datos sean utilizados con fines científicos o estadísticos (14). En particular, el literal e) de su artículo 6 permite el tratamiento de datos sensibles cuando tiene una finalidad histórica, estadística o científica, siempre que se adopten medidas conducentes a la supresión de la identidad de los titulares (14).</w:t>
      </w:r>
      <w:r>
        <w:rPr>
          <w:color w:val="000000"/>
          <w:sz w:val="24"/>
          <w:szCs w:val="24"/>
          <w:highlight w:val="yellow"/>
        </w:rPr>
        <w:t xml:space="preserve"> Así mismo, el literal d) de su artículo 10 exceptúa del requisito de autorización el tratamiento de información autorizado por la ley para fines históricos, estadísticos o científicos; su reglamentación (Decreto 1377 de 2013, compilado en el Decreto 1074 de 2015) desarrolla las obligaciones de responsables y encargados del tratamiento (14,56).</w:t>
      </w:r>
    </w:p>
    <w:p>
      <w:pPr>
        <w:jc w:val="both"/>
      </w:pPr>
      <w:r>
        <w:rPr>
          <w:color w:val="000000"/>
          <w:sz w:val="24"/>
          <w:szCs w:val="24"/>
          <w:highlight w:val="yellow"/>
        </w:rPr>
        <w:t xml:space="preserve">El marco constitucional complementa estas normas. La Constitución Política protege la intimidad y el habeas data (artículo 15), el libre desarrollo de la personalidad (artículo 16), la libertad de conciencia (artículo 18) y la libertad de cultos (artículo 19); la Ley Estatutaria 133 de 1994 desarrolla la libertad religiosa, y la Ley Estatutaria 1751 de 2015 reconoce, entre los derechos de las personas en el sistema de salud, recibir información suficiente para decidir libremente sobre los procedimientos y la confidencialidad de la información clínica (60,61). La Corte Constitucional ha reiterado que la negativa informada de un paciente capaz a recibir transfusiones por motivos religiosos es expresión legítima de su autonomía, que las instituciones deben armonizar con el derecho a la salud ofreciendo alternativas terapéuticas; en un caso de cirugía cardiovascular ordenó practicar un reemplazo valvular aórtico sin transfusión (58,59). Este marco confirma que la cirugía cardiaca sin transfusión es una prestación exigible en Colombia, cuyos resultados deben conocerse para garantizarla con seguridad.</w:t>
      </w:r>
    </w:p>
    <w:p w14:paraId="35B2DEF5" w14:textId="77777777" w:rsidR="005D1D70" w:rsidRDefault="00000000">
      <w:pPr>
        <w:spacing w:before="240" w:after="240"/>
        <w:jc w:val="both"/>
        <w:rPr>
          <w:sz w:val="24"/>
          <w:szCs w:val="24"/>
        </w:rPr>
      </w:pPr>
      <w:r>
        <w:rPr>
          <w:sz w:val="24"/>
          <w:szCs w:val="24"/>
        </w:rPr>
        <w:t>En consecuencia, la condición de Testigo de Jehová y la información contenida en las historias clínicas deberán ser objeto de medidas reforzadas de protección. El acceso a los registros se limitará al equipo investigador autorizado, la base de datos será codificada y se evitará la inclusión de identificadores directos. Los resultados se presentarán de forma agregada, con el propósito de reducir el riesgo de identificación, estigmatización o utilización indebida de la información clínica y religiosa.</w:t>
      </w:r>
    </w:p>
    <w:p w14:paraId="2A201A86" w14:textId="77777777" w:rsidR="005D1D70" w:rsidRDefault="00000000">
      <w:pPr>
        <w:spacing w:before="240" w:after="240"/>
        <w:jc w:val="both"/>
        <w:rPr>
          <w:sz w:val="24"/>
          <w:szCs w:val="24"/>
        </w:rPr>
      </w:pPr>
      <w:r>
        <w:rPr>
          <w:sz w:val="24"/>
          <w:szCs w:val="24"/>
        </w:rPr>
        <w:t>La viabilidad ética del estudio dependerá del aval del comité de ética en investigación y de la autorización institucional para el acceso a las historias clínicas. Asimismo, requerirá el cumplimiento de los principios nacionales e internacionales aplicables y la implementación de medidas proporcionales al principal riesgo previsible: la vulneración de la privacidad o la confidencialidad de los datos sensibles (10-14).</w:t>
      </w:r>
    </w:p>
    <w:p w14:paraId="2CA63F07" w14:textId="77777777" w:rsidR="005D1D70" w:rsidRDefault="005D1D70">
      <w:pPr>
        <w:spacing w:after="0"/>
        <w:jc w:val="both"/>
        <w:rPr>
          <w:b/>
          <w:bCs/>
          <w:sz w:val="24"/>
          <w:szCs w:val="24"/>
        </w:rPr>
      </w:pPr>
    </w:p>
    <w:p w14:paraId="00CCB9CD" w14:textId="77777777" w:rsidR="005D1D70" w:rsidRDefault="005D1D70">
      <w:pPr>
        <w:spacing w:after="0"/>
        <w:jc w:val="both"/>
        <w:rPr>
          <w:sz w:val="24"/>
          <w:szCs w:val="24"/>
        </w:rPr>
      </w:pPr>
    </w:p>
    <w:p w14:paraId="4900A12C" w14:textId="77777777" w:rsidR="005D1D70" w:rsidRDefault="005D1D70">
      <w:pPr>
        <w:spacing w:after="0"/>
        <w:jc w:val="both"/>
        <w:rPr>
          <w:sz w:val="24"/>
          <w:szCs w:val="24"/>
        </w:rPr>
      </w:pPr>
    </w:p>
    <w:p w14:paraId="3833FB90" w14:textId="77777777" w:rsidR="005D1D70" w:rsidRDefault="005D1D70">
      <w:pPr>
        <w:spacing w:after="0"/>
        <w:jc w:val="both"/>
        <w:rPr>
          <w:sz w:val="24"/>
          <w:szCs w:val="24"/>
        </w:rPr>
      </w:pPr>
    </w:p>
    <w:p w14:paraId="3D469BCE" w14:textId="77777777" w:rsidR="005D1D70" w:rsidRDefault="00000000">
      <w:pPr>
        <w:spacing w:after="0"/>
        <w:jc w:val="both"/>
        <w:rPr>
          <w:sz w:val="24"/>
          <w:szCs w:val="24"/>
        </w:rPr>
      </w:pPr>
      <w:r>
        <w:br w:type="page"/>
      </w:r>
    </w:p>
    <w:p w14:paraId="58D3F52B" w14:textId="77777777" w:rsidR="005D1D70" w:rsidRDefault="00000000">
      <w:pPr>
        <w:pStyle w:val="Ttulo1"/>
        <w:numPr>
          <w:ilvl w:val="0"/>
          <w:numId w:val="2"/>
        </w:numPr>
        <w:shd w:val="clear" w:color="auto" w:fill="BFBFBF"/>
        <w:jc w:val="center"/>
        <w:rPr>
          <w:rFonts w:ascii="Calibri" w:eastAsia="Calibri" w:hAnsi="Calibri" w:cs="Calibri"/>
          <w:color w:val="000000"/>
        </w:rPr>
      </w:pPr>
      <w:bookmarkStart w:id="14" w:name="_heading=h.wvvxm1kfvsb" w:colFirst="0" w:colLast="0"/>
      <w:bookmarkEnd w:id="14"/>
      <w:r>
        <w:rPr>
          <w:rFonts w:ascii="Calibri" w:eastAsia="Calibri" w:hAnsi="Calibri" w:cs="Calibri"/>
          <w:color w:val="000000"/>
        </w:rPr>
        <w:lastRenderedPageBreak/>
        <w:t>MARCO METODOLÓGICO</w:t>
      </w:r>
    </w:p>
    <w:p w14:paraId="56714976" w14:textId="77777777" w:rsidR="005D1D70" w:rsidRDefault="005D1D70">
      <w:pPr>
        <w:shd w:val="clear" w:color="auto" w:fill="FFFFFF"/>
        <w:spacing w:after="0"/>
        <w:jc w:val="both"/>
        <w:rPr>
          <w:sz w:val="24"/>
          <w:szCs w:val="24"/>
        </w:rPr>
      </w:pPr>
    </w:p>
    <w:p w14:paraId="531C21B6" w14:textId="77777777" w:rsidR="005D1D70" w:rsidRDefault="005D1D70">
      <w:pPr>
        <w:shd w:val="clear" w:color="auto" w:fill="FFFFFF"/>
        <w:spacing w:after="0"/>
        <w:jc w:val="both"/>
        <w:rPr>
          <w:sz w:val="24"/>
          <w:szCs w:val="24"/>
        </w:rPr>
      </w:pPr>
    </w:p>
    <w:p w14:paraId="794627E4" w14:textId="77777777" w:rsidR="005D1D70" w:rsidRDefault="00000000">
      <w:pPr>
        <w:pStyle w:val="Ttulo2"/>
        <w:numPr>
          <w:ilvl w:val="1"/>
          <w:numId w:val="2"/>
        </w:numPr>
        <w:spacing w:before="0"/>
        <w:rPr>
          <w:rFonts w:ascii="Calibri" w:eastAsia="Calibri" w:hAnsi="Calibri" w:cs="Calibri"/>
          <w:color w:val="000000"/>
          <w:sz w:val="24"/>
          <w:szCs w:val="24"/>
        </w:rPr>
      </w:pPr>
      <w:bookmarkStart w:id="15" w:name="_heading=h.vg0kefghzow4" w:colFirst="0" w:colLast="0"/>
      <w:bookmarkEnd w:id="15"/>
      <w:r>
        <w:rPr>
          <w:rFonts w:ascii="Calibri" w:eastAsia="Calibri" w:hAnsi="Calibri" w:cs="Calibri"/>
          <w:color w:val="000000"/>
          <w:sz w:val="24"/>
          <w:szCs w:val="24"/>
        </w:rPr>
        <w:t>Diseño y tipo de estudio</w:t>
      </w:r>
    </w:p>
    <w:p w14:paraId="137561CC" w14:textId="19C82035" w:rsidR="005D1D70" w:rsidRDefault="00000000">
      <w:pPr>
        <w:shd w:val="clear" w:color="auto" w:fill="FFFFFF"/>
        <w:spacing w:before="240" w:after="240"/>
        <w:jc w:val="both"/>
        <w:rPr>
          <w:sz w:val="24"/>
          <w:szCs w:val="24"/>
        </w:rPr>
      </w:pPr>
      <w:r>
        <w:rPr>
          <w:sz w:val="24"/>
          <w:szCs w:val="24"/>
        </w:rPr>
        <w:t xml:space="preserve">Estudio observacional de cohorte retrospectiva institucional, con análisis descriptivo principal y comparaciones exploratorias según el tipo de cirugía. Se basará en historias clínicas de adultos Testigos de Jehová con rechazo transfusional documentado que iniciaron una cirugía cardiaca mayor en la Clínica General del Norte de Barranquilla entre el 1 de enero de 2020 y el 31 de diciembre de 2025. La fecha de la cirugía índice marcará el inicio del seguimiento; la condición vital y las complicaciones se evaluarán durante la hospitalización. Se buscará, adicionalmente, el estado vital hasta los 30 días mediante los registros institucionales disponibles. El protocolo y el informe final seguirán las recomendaciones STROBE para estudios observacionales y su extensión, RECORD, para estudios con datos de salud recolectados de forma rutinaria (47,48).</w:t>
      </w:r>
    </w:p>
    <w:p w14:paraId="19358E47" w14:textId="1F4BA26D" w:rsidR="005D1D70" w:rsidRDefault="00000000">
      <w:pPr>
        <w:shd w:val="clear" w:color="auto" w:fill="FFFFFF"/>
        <w:spacing w:before="240" w:after="240"/>
        <w:jc w:val="both"/>
        <w:rPr>
          <w:sz w:val="24"/>
          <w:szCs w:val="24"/>
        </w:rPr>
      </w:pPr>
      <w:r>
        <w:rPr>
          <w:sz w:val="24"/>
          <w:szCs w:val="24"/>
        </w:rPr>
        <w:t xml:space="preserve">La naturaleza observacional del estudio se fundamenta en que los investigadores no asignarán exposiciones ni realizarán intervenciones en los participantes, sino que analizarán información clínica previamente registrada durante la atención asistencial. Su carácter retrospectivo se debe a que tanto las características clínicas y perioperatorias como los desenlaces de interés ya habrán ocurrido al momento de la recolección de los datos.</w:t>
      </w:r>
    </w:p>
    <w:p w14:paraId="369FF1FD" w14:textId="5E519DC1" w:rsidR="005D1D70" w:rsidRDefault="00000000">
      <w:pPr>
        <w:shd w:val="clear" w:color="auto" w:fill="FFFFFF"/>
        <w:spacing w:before="240" w:after="240"/>
        <w:jc w:val="both"/>
        <w:rPr>
          <w:sz w:val="24"/>
          <w:szCs w:val="24"/>
        </w:rPr>
      </w:pPr>
      <w:r>
        <w:rPr>
          <w:sz w:val="24"/>
          <w:szCs w:val="24"/>
        </w:rPr>
        <w:t xml:space="preserve">El análisis principal estimará la frecuencia de complicación mayor o muerte intrahospitalaria en la cohorte total. Los desenlaces primarios y secundarios también se describirán según el tipo de cirugía, con sus denominadores e intervalos de confianza. Las comparaciones inferenciales y el eventual ajuste por covariables preoperatorias dependerán del número observado de pacientes, eventos y no eventos, y se interpretarán como exploratorias.</w:t>
      </w:r>
    </w:p>
    <w:p w14:paraId="31135998" w14:textId="78015577" w:rsidR="005D1D70" w:rsidRDefault="00000000">
      <w:pPr>
        <w:shd w:val="clear" w:color="auto" w:fill="FFFFFF"/>
        <w:spacing w:before="240" w:after="240"/>
        <w:jc w:val="both"/>
        <w:rPr>
          <w:sz w:val="24"/>
          <w:szCs w:val="24"/>
        </w:rPr>
      </w:pPr>
      <w:r>
        <w:rPr>
          <w:sz w:val="24"/>
          <w:szCs w:val="24"/>
        </w:rPr>
        <w:t xml:space="preserve">La cohorte retrospectiva permite estudiar la secuencia entre el procedimiento y la evolución clínica a partir de registros existentes. Sin embargo, las comparaciones entre cirugías pueden reflejar diferencias basales, urgencia o complejidad quirúrgica, además del tipo de procedimiento. No se utilizarán datos surgidos después de la cirugía como criterios de elegibilidad ni como variables de ajuste basal.</w:t>
      </w:r>
    </w:p>
    <w:p w14:paraId="4E60D829" w14:textId="77777777" w:rsidR="005D1D70" w:rsidRDefault="005D1D70">
      <w:pPr>
        <w:shd w:val="clear" w:color="auto" w:fill="FFFFFF"/>
        <w:spacing w:after="0"/>
        <w:jc w:val="both"/>
        <w:rPr>
          <w:sz w:val="24"/>
          <w:szCs w:val="24"/>
        </w:rPr>
      </w:pPr>
    </w:p>
    <w:p w14:paraId="745182B8" w14:textId="77777777" w:rsidR="005D1D70" w:rsidRDefault="005D1D70">
      <w:pPr>
        <w:shd w:val="clear" w:color="auto" w:fill="FFFFFF"/>
        <w:spacing w:after="0"/>
        <w:jc w:val="both"/>
        <w:rPr>
          <w:sz w:val="24"/>
          <w:szCs w:val="24"/>
        </w:rPr>
      </w:pPr>
    </w:p>
    <w:p w14:paraId="1B2481C9" w14:textId="77777777" w:rsidR="00087EF4" w:rsidRDefault="00087EF4" w:rsidP="00EF7720">
      <w:pPr>
        <w:pStyle w:val="Ttulo2"/>
        <w:spacing w:before="0"/>
        <w:ind w:left="720"/>
        <w:rPr>
          <w:rFonts w:ascii="Calibri" w:eastAsia="Calibri" w:hAnsi="Calibri" w:cs="Calibri"/>
          <w:color w:val="000000"/>
          <w:sz w:val="24"/>
          <w:szCs w:val="24"/>
        </w:rPr>
      </w:pPr>
      <w:bookmarkStart w:id="16" w:name="_heading=h.47j9l52rg1q" w:colFirst="0" w:colLast="0"/>
      <w:bookmarkEnd w:id="16"/>
    </w:p>
    <w:p w14:paraId="7610C746" w14:textId="1B5EB3CD" w:rsidR="005D1D70" w:rsidRDefault="00000000">
      <w:pPr>
        <w:pStyle w:val="Ttulo2"/>
        <w:numPr>
          <w:ilvl w:val="1"/>
          <w:numId w:val="2"/>
        </w:numPr>
        <w:spacing w:before="0"/>
        <w:rPr>
          <w:rFonts w:ascii="Calibri" w:eastAsia="Calibri" w:hAnsi="Calibri" w:cs="Calibri"/>
          <w:color w:val="000000"/>
          <w:sz w:val="24"/>
          <w:szCs w:val="24"/>
        </w:rPr>
      </w:pPr>
      <w:r>
        <w:rPr>
          <w:rFonts w:ascii="Calibri" w:eastAsia="Calibri" w:hAnsi="Calibri" w:cs="Calibri"/>
          <w:color w:val="000000"/>
          <w:sz w:val="24"/>
          <w:szCs w:val="24"/>
        </w:rPr>
        <w:t>Universo, Población y Muestra</w:t>
      </w:r>
    </w:p>
    <w:p w14:paraId="7CB9C0FC" w14:textId="77777777" w:rsidR="005D1D70" w:rsidRDefault="005D1D70">
      <w:pPr>
        <w:spacing w:after="0"/>
        <w:jc w:val="both"/>
        <w:rPr>
          <w:b/>
          <w:bCs/>
          <w:sz w:val="24"/>
          <w:szCs w:val="24"/>
        </w:rPr>
      </w:pPr>
    </w:p>
    <w:p w14:paraId="7D2D8DC9" w14:textId="77777777" w:rsidR="005D1D70" w:rsidRDefault="00000000">
      <w:pPr>
        <w:spacing w:after="0"/>
        <w:jc w:val="both"/>
        <w:rPr>
          <w:b/>
          <w:bCs/>
          <w:sz w:val="24"/>
          <w:szCs w:val="24"/>
        </w:rPr>
      </w:pPr>
      <w:r>
        <w:rPr>
          <w:b/>
          <w:bCs/>
          <w:sz w:val="24"/>
          <w:szCs w:val="24"/>
        </w:rPr>
        <w:lastRenderedPageBreak/>
        <w:t>3.2.1 Universo</w:t>
      </w:r>
    </w:p>
    <w:p w14:paraId="57A55D2A" w14:textId="450CAB56" w:rsidR="005D1D70" w:rsidRDefault="00000000">
      <w:pPr>
        <w:spacing w:after="0"/>
        <w:jc w:val="both"/>
        <w:rPr>
          <w:sz w:val="24"/>
          <w:szCs w:val="24"/>
        </w:rPr>
      </w:pPr>
      <w:r>
        <w:rPr>
          <w:sz w:val="24"/>
          <w:szCs w:val="24"/>
        </w:rPr>
        <w:t>El universo del estudio está conformado por todos los pacientes adultos sometidos a cirugía cardíaca mayor en la Clínica General del Norte (Barranquilla) durante el periodo comprendido entre 2020 y 2025, independientemente de su condición clínica o creencias religiosas.</w:t>
      </w:r>
    </w:p>
    <w:p w14:paraId="7DF40BEA" w14:textId="77777777" w:rsidR="005D1D70" w:rsidRDefault="005D1D70">
      <w:pPr>
        <w:spacing w:after="0"/>
        <w:jc w:val="both"/>
        <w:rPr>
          <w:sz w:val="24"/>
          <w:szCs w:val="24"/>
        </w:rPr>
      </w:pPr>
    </w:p>
    <w:p w14:paraId="167A1349" w14:textId="77777777" w:rsidR="005D1D70" w:rsidRDefault="00000000">
      <w:pPr>
        <w:spacing w:after="0"/>
        <w:jc w:val="both"/>
        <w:rPr>
          <w:b/>
          <w:bCs/>
          <w:sz w:val="24"/>
          <w:szCs w:val="24"/>
        </w:rPr>
      </w:pPr>
      <w:r>
        <w:rPr>
          <w:b/>
          <w:bCs/>
          <w:sz w:val="24"/>
          <w:szCs w:val="24"/>
        </w:rPr>
        <w:t>3.2.2 Población</w:t>
      </w:r>
    </w:p>
    <w:p w14:paraId="644293FC" w14:textId="4943F778" w:rsidR="005D1D70" w:rsidRDefault="00000000">
      <w:pPr>
        <w:spacing w:after="0"/>
        <w:jc w:val="both"/>
        <w:rPr>
          <w:sz w:val="24"/>
          <w:szCs w:val="24"/>
        </w:rPr>
      </w:pPr>
      <w:r>
        <w:rPr>
          <w:sz w:val="24"/>
          <w:szCs w:val="24"/>
        </w:rPr>
        <w:t xml:space="preserve">La población del estudio corresponde a adultos Testigos de Jehová sometidos a cirugías elegibles en la institución durante ese periodo y con rechazo documentado de transfusión de glóbulos rojos antes de la intervención. La transfusión que eventualmente ocurra durante o después de la cirugía se registrará como evento clínico y no determinará la elegibilidad retrospectiva.</w:t>
      </w:r>
    </w:p>
    <w:p>
      <w:pPr>
        <w:spacing w:before="120" w:after="0"/>
        <w:jc w:val="both"/>
      </w:pPr>
      <w:r>
        <w:rPr>
          <w:b/>
          <w:bCs/>
          <w:color w:val="000000"/>
          <w:sz w:val="24"/>
          <w:szCs w:val="24"/>
          <w:highlight w:val="yellow"/>
        </w:rPr>
        <w:t xml:space="preserve">Diferenciación entre identidad religiosa y decisiones clínicas individuales.</w:t>
      </w:r>
      <w:r>
        <w:rPr>
          <w:color w:val="000000"/>
          <w:sz w:val="24"/>
          <w:szCs w:val="24"/>
          <w:highlight w:val="yellow"/>
        </w:rPr>
        <w:t xml:space="preserve"> Este protocolo distingue dos condiciones independientes, que se documentarán por separado: a) la condición de Testigo de Jehová, entendida como la afiliación religiosa declarada por el paciente y registrada en la historia clínica, que delimita la población a la que se refiere la pregunta de investigación y permite la comparación con la literatura; y b) la decisión clínica individual sobre componentes sanguíneos, entendida como la aceptación o el rechazo, documentados antes de la cirugía índice, de cada componente, fracción o técnica de conservación sanguínea. La primera no se usará para inferir la segunda: la elegibilidad exige ambas, y las variables de aceptación de alternativas, el rechazo de plasma y plaquetas y cualquier transfusión posterior se obtendrán exclusivamente de la decisión individual documentada.</w:t>
      </w:r>
    </w:p>
    <w:p>
      <w:pPr>
        <w:spacing w:before="120" w:after="0"/>
        <w:jc w:val="both"/>
      </w:pPr>
      <w:r>
        <w:rPr>
          <w:color w:val="000000"/>
          <w:sz w:val="24"/>
          <w:szCs w:val="24"/>
          <w:highlight w:val="yellow"/>
        </w:rPr>
        <w:t xml:space="preserve">Los pacientes sin la condición de Testigo de Jehová que tengan un rechazo transfusional y se identifiquen durante la búsqueda no se incluirán en el análisis: solo se contabilizarán en el diagrama de flujo como no elegibles, sin extraer otros datos de sus historias clínicas.</w:t>
      </w:r>
    </w:p>
    <w:p w14:paraId="69341ACA" w14:textId="77777777" w:rsidR="005D1D70" w:rsidRDefault="005D1D70">
      <w:pPr>
        <w:spacing w:after="0"/>
        <w:jc w:val="both"/>
        <w:rPr>
          <w:sz w:val="24"/>
          <w:szCs w:val="24"/>
        </w:rPr>
      </w:pPr>
    </w:p>
    <w:p w14:paraId="0EF494F9" w14:textId="77777777" w:rsidR="005D1D70" w:rsidRDefault="005D1D70">
      <w:pPr>
        <w:spacing w:after="0"/>
        <w:jc w:val="both"/>
        <w:rPr>
          <w:b/>
          <w:bCs/>
          <w:sz w:val="24"/>
          <w:szCs w:val="24"/>
        </w:rPr>
      </w:pPr>
    </w:p>
    <w:p w14:paraId="5803C2E9" w14:textId="77777777" w:rsidR="005D1D70" w:rsidRDefault="005D1D70">
      <w:pPr>
        <w:spacing w:after="0"/>
        <w:jc w:val="both"/>
        <w:rPr>
          <w:b/>
          <w:bCs/>
          <w:sz w:val="24"/>
          <w:szCs w:val="24"/>
        </w:rPr>
      </w:pPr>
    </w:p>
    <w:p w14:paraId="2359562A" w14:textId="77777777" w:rsidR="005D1D70" w:rsidRDefault="00000000">
      <w:pPr>
        <w:spacing w:after="0"/>
        <w:jc w:val="both"/>
        <w:rPr>
          <w:b/>
          <w:bCs/>
          <w:sz w:val="24"/>
          <w:szCs w:val="24"/>
        </w:rPr>
      </w:pPr>
      <w:r>
        <w:rPr>
          <w:b/>
          <w:bCs/>
          <w:sz w:val="24"/>
          <w:szCs w:val="24"/>
        </w:rPr>
        <w:t>3.2.3  Muestra</w:t>
      </w:r>
    </w:p>
    <w:p w14:paraId="354B43DA" w14:textId="0602BFDD" w:rsidR="005D1D70" w:rsidRDefault="00000000">
      <w:pPr>
        <w:spacing w:after="0"/>
        <w:jc w:val="both"/>
        <w:rPr>
          <w:sz w:val="24"/>
          <w:szCs w:val="24"/>
        </w:rPr>
      </w:pPr>
      <w:r>
        <w:rPr>
          <w:sz w:val="24"/>
          <w:szCs w:val="24"/>
        </w:rPr>
        <w:t xml:space="preserve">La muestra estará constituida por todos los pacientes de la población que cumplan todos los criterios de inclusión y no presenten criterios de exclusión, conformando así un censo completo de casos elegibles.</w:t>
      </w:r>
    </w:p>
    <w:p w14:paraId="2376DDAF" w14:textId="77777777" w:rsidR="005D1D70" w:rsidRDefault="005D1D70">
      <w:pPr>
        <w:spacing w:after="0"/>
        <w:jc w:val="both"/>
        <w:rPr>
          <w:sz w:val="24"/>
          <w:szCs w:val="24"/>
        </w:rPr>
      </w:pPr>
    </w:p>
    <w:p w14:paraId="22235419" w14:textId="77777777" w:rsidR="005D1D70" w:rsidRDefault="00000000">
      <w:pPr>
        <w:spacing w:after="0"/>
        <w:jc w:val="both"/>
        <w:rPr>
          <w:b/>
          <w:bCs/>
          <w:sz w:val="24"/>
          <w:szCs w:val="24"/>
        </w:rPr>
      </w:pPr>
      <w:r>
        <w:rPr>
          <w:b/>
          <w:bCs/>
          <w:sz w:val="24"/>
          <w:szCs w:val="24"/>
        </w:rPr>
        <w:t>3.2.4 Tamaño muestral</w:t>
      </w:r>
    </w:p>
    <w:p w14:paraId="405E0E89" w14:textId="70321C21" w:rsidR="005D1D70" w:rsidRDefault="00000000">
      <w:pPr>
        <w:spacing w:after="0"/>
        <w:jc w:val="both"/>
        <w:rPr>
          <w:sz w:val="24"/>
          <w:szCs w:val="24"/>
        </w:rPr>
      </w:pPr>
      <w:r>
        <w:rPr>
          <w:sz w:val="24"/>
          <w:szCs w:val="24"/>
        </w:rPr>
        <w:t xml:space="preserve">Se incluirá el censo de casos elegibles identificados entre 2020 y 2025, sin selección de participantes. Como el objetivo principal es descriptivo, no se realizará un cálculo del tamaño de la muestra para el contraste de hipótesis; la suficiencia del estudio se expresa en términos de la precisión con la que podrá estimarse la frecuencia del desenlace primario. La Tabla 2 muestra los intervalos de confianza del 95 % (método de Wilson) esperados para distintos tamaños de cohorte y frecuencias del desenlace.</w:t>
      </w:r>
    </w:p>
    <w:p w14:paraId="7360743C" w14:textId="77777777" w:rsidR="0044299D" w:rsidRDefault="00000000">
      <w:pPr>
        <w:keepNext/>
        <w:spacing w:before="120" w:after="80"/>
      </w:pPr>
      <w:r>
        <w:rPr>
          <w:b/>
          <w:bCs/>
          <w:color w:val="000000"/>
        </w:rPr>
        <w:t>Tabla 2.</w:t>
      </w:r>
      <w:r>
        <w:rPr>
          <w:color w:val="000000"/>
        </w:rPr>
        <w:t xml:space="preserve"> Precisión esperada de la frecuencia del desenlace primario según el tamaño de la cohorte</w:t>
      </w:r>
    </w:p>
    <w:tbl>
      <w:tblPr>
        <w:tblW w:w="93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700"/>
        <w:gridCol w:w="2560"/>
        <w:gridCol w:w="2560"/>
        <w:gridCol w:w="2560"/>
      </w:tblGrid>
      <w:tr w:rsidR="0044299D" w14:paraId="36DBCDD7" w14:textId="77777777">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5658132A" w14:textId="77777777" w:rsidR="0044299D" w:rsidRDefault="00000000">
            <w:pPr>
              <w:spacing w:after="0" w:line="240" w:lineRule="auto"/>
              <w:jc w:val="center"/>
            </w:pPr>
            <w:r>
              <w:rPr>
                <w:b/>
                <w:bCs/>
                <w:color w:val="000000"/>
                <w:sz w:val="18"/>
                <w:szCs w:val="18"/>
              </w:rPr>
              <w:t>Pacientes incluidos</w:t>
            </w:r>
          </w:p>
        </w:tc>
        <w:tc>
          <w:tcPr>
            <w:tcW w:w="25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0BE4055B" w14:textId="77777777" w:rsidR="0044299D" w:rsidRDefault="00000000">
            <w:pPr>
              <w:spacing w:after="0" w:line="240" w:lineRule="auto"/>
              <w:jc w:val="center"/>
            </w:pPr>
            <w:r>
              <w:rPr>
                <w:b/>
                <w:bCs/>
                <w:color w:val="000000"/>
                <w:sz w:val="18"/>
                <w:szCs w:val="18"/>
              </w:rPr>
              <w:t>Frecuencia 10 %</w:t>
            </w:r>
          </w:p>
        </w:tc>
        <w:tc>
          <w:tcPr>
            <w:tcW w:w="25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45AE3865" w14:textId="77777777" w:rsidR="0044299D" w:rsidRDefault="00000000">
            <w:pPr>
              <w:spacing w:after="0" w:line="240" w:lineRule="auto"/>
              <w:jc w:val="center"/>
            </w:pPr>
            <w:r>
              <w:rPr>
                <w:b/>
                <w:bCs/>
                <w:color w:val="000000"/>
                <w:sz w:val="18"/>
                <w:szCs w:val="18"/>
              </w:rPr>
              <w:t>Frecuencia 20 %</w:t>
            </w:r>
          </w:p>
        </w:tc>
        <w:tc>
          <w:tcPr>
            <w:tcW w:w="25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47B64758" w14:textId="77777777" w:rsidR="0044299D" w:rsidRDefault="00000000">
            <w:pPr>
              <w:spacing w:after="0" w:line="240" w:lineRule="auto"/>
              <w:jc w:val="center"/>
            </w:pPr>
            <w:r>
              <w:rPr>
                <w:b/>
                <w:bCs/>
                <w:color w:val="000000"/>
                <w:sz w:val="18"/>
                <w:szCs w:val="18"/>
              </w:rPr>
              <w:t>Frecuencia 30 %</w:t>
            </w:r>
          </w:p>
        </w:tc>
      </w:tr>
      <w:tr w:rsidR="0044299D" w14:paraId="7DB68E36"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7486E6" w14:textId="77777777" w:rsidR="0044299D" w:rsidRDefault="00000000">
            <w:pPr>
              <w:spacing w:after="0" w:line="240" w:lineRule="auto"/>
            </w:pPr>
            <w:r>
              <w:rPr>
                <w:b/>
                <w:bCs/>
                <w:color w:val="000000"/>
                <w:sz w:val="18"/>
                <w:szCs w:val="18"/>
              </w:rPr>
              <w:t>20</w:t>
            </w:r>
          </w:p>
        </w:tc>
        <w:tc>
          <w:tcPr>
            <w:tcW w:w="2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67FE91" w14:textId="77777777" w:rsidR="0044299D" w:rsidRDefault="00000000">
            <w:pPr>
              <w:spacing w:after="0" w:line="240" w:lineRule="auto"/>
            </w:pPr>
            <w:r>
              <w:rPr>
                <w:color w:val="000000"/>
                <w:sz w:val="18"/>
                <w:szCs w:val="18"/>
              </w:rPr>
              <w:t>2/20 = 10 % (2,8–30,1)</w:t>
            </w:r>
          </w:p>
        </w:tc>
        <w:tc>
          <w:tcPr>
            <w:tcW w:w="2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9DF8CA" w14:textId="77777777" w:rsidR="0044299D" w:rsidRDefault="00000000">
            <w:pPr>
              <w:spacing w:after="0" w:line="240" w:lineRule="auto"/>
            </w:pPr>
            <w:r>
              <w:rPr>
                <w:color w:val="000000"/>
                <w:sz w:val="18"/>
                <w:szCs w:val="18"/>
              </w:rPr>
              <w:t>4/20 = 20 % (8,1–41,6)</w:t>
            </w:r>
          </w:p>
        </w:tc>
        <w:tc>
          <w:tcPr>
            <w:tcW w:w="2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5E1773" w14:textId="77777777" w:rsidR="0044299D" w:rsidRDefault="00000000">
            <w:pPr>
              <w:spacing w:after="0" w:line="240" w:lineRule="auto"/>
            </w:pPr>
            <w:r>
              <w:rPr>
                <w:color w:val="000000"/>
                <w:sz w:val="18"/>
                <w:szCs w:val="18"/>
              </w:rPr>
              <w:t>6/20 = 30 % (14,5–51,9)</w:t>
            </w:r>
          </w:p>
        </w:tc>
      </w:tr>
      <w:tr w:rsidR="0044299D" w14:paraId="1C6FCB87"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7A9BFC" w14:textId="77777777" w:rsidR="0044299D" w:rsidRDefault="00000000">
            <w:pPr>
              <w:spacing w:after="0" w:line="240" w:lineRule="auto"/>
            </w:pPr>
            <w:r>
              <w:rPr>
                <w:b/>
                <w:bCs/>
                <w:color w:val="000000"/>
                <w:sz w:val="18"/>
                <w:szCs w:val="18"/>
              </w:rPr>
              <w:t>30</w:t>
            </w:r>
          </w:p>
        </w:tc>
        <w:tc>
          <w:tcPr>
            <w:tcW w:w="2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BF01D0" w14:textId="77777777" w:rsidR="0044299D" w:rsidRDefault="00000000">
            <w:pPr>
              <w:spacing w:after="0" w:line="240" w:lineRule="auto"/>
            </w:pPr>
            <w:r>
              <w:rPr>
                <w:color w:val="000000"/>
                <w:sz w:val="18"/>
                <w:szCs w:val="18"/>
              </w:rPr>
              <w:t>3/30 = 10 % (3,5–25,6)</w:t>
            </w:r>
          </w:p>
        </w:tc>
        <w:tc>
          <w:tcPr>
            <w:tcW w:w="2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B57EA7" w14:textId="77777777" w:rsidR="0044299D" w:rsidRDefault="00000000">
            <w:pPr>
              <w:spacing w:after="0" w:line="240" w:lineRule="auto"/>
            </w:pPr>
            <w:r>
              <w:rPr>
                <w:color w:val="000000"/>
                <w:sz w:val="18"/>
                <w:szCs w:val="18"/>
              </w:rPr>
              <w:t>6/30 = 20 % (9,5–37,3)</w:t>
            </w:r>
          </w:p>
        </w:tc>
        <w:tc>
          <w:tcPr>
            <w:tcW w:w="2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C88A57" w14:textId="77777777" w:rsidR="0044299D" w:rsidRDefault="00000000">
            <w:pPr>
              <w:spacing w:after="0" w:line="240" w:lineRule="auto"/>
            </w:pPr>
            <w:r>
              <w:rPr>
                <w:color w:val="000000"/>
                <w:sz w:val="18"/>
                <w:szCs w:val="18"/>
              </w:rPr>
              <w:t>9/30 = 30 % (16,7–47,9)</w:t>
            </w:r>
          </w:p>
        </w:tc>
      </w:tr>
      <w:tr w:rsidR="0044299D" w14:paraId="7DC4B0DD"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DFBC0F" w14:textId="77777777" w:rsidR="0044299D" w:rsidRDefault="00000000">
            <w:pPr>
              <w:spacing w:after="0" w:line="240" w:lineRule="auto"/>
            </w:pPr>
            <w:r>
              <w:rPr>
                <w:b/>
                <w:bCs/>
                <w:color w:val="000000"/>
                <w:sz w:val="18"/>
                <w:szCs w:val="18"/>
              </w:rPr>
              <w:t>50</w:t>
            </w:r>
          </w:p>
        </w:tc>
        <w:tc>
          <w:tcPr>
            <w:tcW w:w="2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3E3FE7" w14:textId="77777777" w:rsidR="0044299D" w:rsidRDefault="00000000">
            <w:pPr>
              <w:spacing w:after="0" w:line="240" w:lineRule="auto"/>
            </w:pPr>
            <w:r>
              <w:rPr>
                <w:color w:val="000000"/>
                <w:sz w:val="18"/>
                <w:szCs w:val="18"/>
              </w:rPr>
              <w:t>5/50 = 10 % (4,3–21,4)</w:t>
            </w:r>
          </w:p>
        </w:tc>
        <w:tc>
          <w:tcPr>
            <w:tcW w:w="2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263A17" w14:textId="77777777" w:rsidR="0044299D" w:rsidRDefault="00000000">
            <w:pPr>
              <w:spacing w:after="0" w:line="240" w:lineRule="auto"/>
            </w:pPr>
            <w:r>
              <w:rPr>
                <w:color w:val="000000"/>
                <w:sz w:val="18"/>
                <w:szCs w:val="18"/>
              </w:rPr>
              <w:t>10/50 = 20 % (11,2–33,0)</w:t>
            </w:r>
          </w:p>
        </w:tc>
        <w:tc>
          <w:tcPr>
            <w:tcW w:w="2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8F4E88" w14:textId="77777777" w:rsidR="0044299D" w:rsidRDefault="00000000">
            <w:pPr>
              <w:spacing w:after="0" w:line="240" w:lineRule="auto"/>
            </w:pPr>
            <w:r>
              <w:rPr>
                <w:color w:val="000000"/>
                <w:sz w:val="18"/>
                <w:szCs w:val="18"/>
              </w:rPr>
              <w:t>15/50 = 30 % (19,1–43,8)</w:t>
            </w:r>
          </w:p>
        </w:tc>
      </w:tr>
      <w:tr w:rsidR="0044299D" w14:paraId="2F988C50"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C1F90E" w14:textId="77777777" w:rsidR="0044299D" w:rsidRDefault="00000000">
            <w:pPr>
              <w:spacing w:after="0" w:line="240" w:lineRule="auto"/>
            </w:pPr>
            <w:r>
              <w:rPr>
                <w:b/>
                <w:bCs/>
                <w:color w:val="000000"/>
                <w:sz w:val="18"/>
                <w:szCs w:val="18"/>
              </w:rPr>
              <w:t>80</w:t>
            </w:r>
          </w:p>
        </w:tc>
        <w:tc>
          <w:tcPr>
            <w:tcW w:w="2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7C8826" w14:textId="77777777" w:rsidR="0044299D" w:rsidRDefault="00000000">
            <w:pPr>
              <w:spacing w:after="0" w:line="240" w:lineRule="auto"/>
            </w:pPr>
            <w:r>
              <w:rPr>
                <w:color w:val="000000"/>
                <w:sz w:val="18"/>
                <w:szCs w:val="18"/>
              </w:rPr>
              <w:t>8/80 = 10 % (5,2–18,5)</w:t>
            </w:r>
          </w:p>
        </w:tc>
        <w:tc>
          <w:tcPr>
            <w:tcW w:w="2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7FC93B" w14:textId="77777777" w:rsidR="0044299D" w:rsidRDefault="00000000">
            <w:pPr>
              <w:spacing w:after="0" w:line="240" w:lineRule="auto"/>
            </w:pPr>
            <w:r>
              <w:rPr>
                <w:color w:val="000000"/>
                <w:sz w:val="18"/>
                <w:szCs w:val="18"/>
              </w:rPr>
              <w:t>16/80 = 20 % (12,7–30,0)</w:t>
            </w:r>
          </w:p>
        </w:tc>
        <w:tc>
          <w:tcPr>
            <w:tcW w:w="2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57DBCF" w14:textId="77777777" w:rsidR="0044299D" w:rsidRDefault="00000000">
            <w:pPr>
              <w:spacing w:after="0" w:line="240" w:lineRule="auto"/>
            </w:pPr>
            <w:r>
              <w:rPr>
                <w:color w:val="000000"/>
                <w:sz w:val="18"/>
                <w:szCs w:val="18"/>
              </w:rPr>
              <w:t>24/80 = 30 % (21,1–40,8)</w:t>
            </w:r>
          </w:p>
        </w:tc>
      </w:tr>
    </w:tbl>
    <w:p w14:paraId="0A4B9323" w14:textId="77777777" w:rsidR="0044299D" w:rsidRDefault="00000000">
      <w:pPr>
        <w:jc w:val="both"/>
      </w:pPr>
      <w:r>
        <w:rPr>
          <w:color w:val="000000"/>
          <w:sz w:val="20"/>
          <w:szCs w:val="20"/>
        </w:rPr>
        <w:t>Valores: eventos/pacientes = proporción (intervalo de confianza del 95 % por el método de Wilson). Cálculo propio.</w:t>
      </w:r>
    </w:p>
    <w:p w14:paraId="1058506D" w14:textId="7514F906" w:rsidR="0044299D" w:rsidRDefault="00000000">
      <w:pPr>
        <w:spacing w:after="160"/>
        <w:jc w:val="both"/>
      </w:pPr>
      <w:r>
        <w:rPr>
          <w:b/>
          <w:bCs/>
          <w:color w:val="000000"/>
          <w:sz w:val="24"/>
          <w:szCs w:val="24"/>
        </w:rPr>
        <w:t xml:space="preserve">Factibilidad: </w:t>
      </w:r>
      <w:r>
        <w:rPr>
          <w:color w:val="000000"/>
          <w:sz w:val="24"/>
          <w:szCs w:val="24"/>
        </w:rPr>
        <w:t>Si la cohorte final incluye menos de 20 pacientes, se mantendrá el análisis como cohorte retrospectiva descriptiva y no se realizarán comparaciones inferenciales entre tipos de cirugía.</w:t>
      </w:r>
    </w:p>
    <w:p w14:paraId="27122D9B" w14:textId="77777777" w:rsidR="005D1D70" w:rsidRDefault="005D1D70">
      <w:pPr>
        <w:spacing w:after="0"/>
        <w:jc w:val="both"/>
        <w:rPr>
          <w:sz w:val="24"/>
          <w:szCs w:val="24"/>
        </w:rPr>
      </w:pPr>
    </w:p>
    <w:p w14:paraId="7F6C5C23" w14:textId="77777777" w:rsidR="005D1D70" w:rsidRDefault="00000000">
      <w:pPr>
        <w:spacing w:after="0"/>
        <w:jc w:val="both"/>
        <w:rPr>
          <w:b/>
          <w:bCs/>
          <w:sz w:val="24"/>
          <w:szCs w:val="24"/>
        </w:rPr>
      </w:pPr>
      <w:r>
        <w:rPr>
          <w:b/>
          <w:bCs/>
          <w:sz w:val="24"/>
          <w:szCs w:val="24"/>
        </w:rPr>
        <w:lastRenderedPageBreak/>
        <w:t>3.2.5 Tipo de muestreo</w:t>
      </w:r>
    </w:p>
    <w:p w14:paraId="7B1799D5" w14:textId="77777777" w:rsidR="005D1D70" w:rsidRDefault="00000000">
      <w:pPr>
        <w:spacing w:after="0"/>
        <w:jc w:val="both"/>
        <w:rPr>
          <w:sz w:val="24"/>
          <w:szCs w:val="24"/>
        </w:rPr>
      </w:pPr>
      <w:r>
        <w:rPr>
          <w:sz w:val="24"/>
          <w:szCs w:val="24"/>
        </w:rPr>
        <w:t>El muestreo será no probabilístico, de tipo censal. Debido a la baja frecuencia de la población de interés, se realizará la inclusión consecutiva de todos los casos disponibles que cumplan los criterios de elegibilidad durante el periodo comprendido entre el 1 de enero de 2020 y el 31 de diciembre de 2025. En consecuencia, la muestra corresponderá al censo de los casos elegibles identificados en los registros institucionales.</w:t>
      </w:r>
    </w:p>
    <w:p w14:paraId="5375689A" w14:textId="77777777" w:rsidR="005D1D70" w:rsidRDefault="005D1D70">
      <w:pPr>
        <w:spacing w:after="0"/>
        <w:jc w:val="both"/>
        <w:rPr>
          <w:sz w:val="24"/>
          <w:szCs w:val="24"/>
        </w:rPr>
      </w:pPr>
    </w:p>
    <w:p w14:paraId="5A3ACF42" w14:textId="77777777" w:rsidR="005D1D70" w:rsidRDefault="00000000">
      <w:pPr>
        <w:pStyle w:val="Ttulo2"/>
        <w:numPr>
          <w:ilvl w:val="1"/>
          <w:numId w:val="2"/>
        </w:numPr>
        <w:spacing w:before="0"/>
        <w:rPr>
          <w:rFonts w:ascii="Calibri" w:eastAsia="Calibri" w:hAnsi="Calibri" w:cs="Calibri"/>
          <w:color w:val="000000"/>
          <w:sz w:val="24"/>
          <w:szCs w:val="24"/>
        </w:rPr>
      </w:pPr>
      <w:bookmarkStart w:id="17" w:name="_heading=h.c1s2r8mi9kdd" w:colFirst="0" w:colLast="0"/>
      <w:bookmarkEnd w:id="17"/>
      <w:r>
        <w:rPr>
          <w:rFonts w:ascii="Calibri" w:eastAsia="Calibri" w:hAnsi="Calibri" w:cs="Calibri"/>
          <w:color w:val="000000"/>
          <w:sz w:val="24"/>
          <w:szCs w:val="24"/>
        </w:rPr>
        <w:t>Criterios de Inclusión y Exclusión</w:t>
      </w:r>
    </w:p>
    <w:p w14:paraId="1D2E05B9" w14:textId="77777777" w:rsidR="005D1D70" w:rsidRDefault="00000000">
      <w:pPr>
        <w:pStyle w:val="Ttulo3"/>
        <w:rPr>
          <w:rFonts w:ascii="Calibri" w:eastAsia="Calibri" w:hAnsi="Calibri" w:cs="Calibri"/>
          <w:color w:val="000000"/>
          <w:sz w:val="24"/>
          <w:szCs w:val="24"/>
        </w:rPr>
      </w:pPr>
      <w:r>
        <w:rPr>
          <w:rFonts w:ascii="Calibri" w:eastAsia="Calibri" w:hAnsi="Calibri" w:cs="Calibri"/>
          <w:color w:val="000000"/>
          <w:sz w:val="24"/>
          <w:szCs w:val="24"/>
        </w:rPr>
        <w:t>3.3.1  Criterios de inclusión</w:t>
      </w:r>
    </w:p>
    <w:p w14:paraId="099E4F85" w14:textId="77777777" w:rsidR="005D1D70" w:rsidRPr="0070336B" w:rsidRDefault="00000000">
      <w:pPr>
        <w:numPr>
          <w:ilvl w:val="0"/>
          <w:numId w:val="6"/>
        </w:numPr>
        <w:pBdr>
          <w:top w:val="nil"/>
          <w:left w:val="nil"/>
          <w:bottom w:val="nil"/>
          <w:right w:val="nil"/>
          <w:between w:val="nil"/>
        </w:pBdr>
        <w:spacing w:before="280" w:after="0"/>
      </w:pPr>
      <w:sdt>
        <w:sdtPr>
          <w:tag w:val="goog_rdk_0"/>
          <w:id w:val="1882669719"/>
        </w:sdtPr>
        <w:sdtContent>
          <w:r>
            <w:rPr>
              <w:rFonts w:eastAsia="Gungsuh"/>
              <w:color w:val="000000"/>
              <w:sz w:val="24"/>
              <w:szCs w:val="24"/>
            </w:rPr>
            <w:t>Edad ≥ 18 años.</w:t>
          </w:r>
        </w:sdtContent>
      </w:sdt>
    </w:p>
    <w:p w14:paraId="195D5578" w14:textId="77777777" w:rsidR="005D1D70" w:rsidRDefault="00000000">
      <w:pPr>
        <w:numPr>
          <w:ilvl w:val="0"/>
          <w:numId w:val="6"/>
        </w:numPr>
        <w:pBdr>
          <w:top w:val="nil"/>
          <w:left w:val="nil"/>
          <w:bottom w:val="nil"/>
          <w:right w:val="nil"/>
          <w:between w:val="nil"/>
        </w:pBdr>
        <w:spacing w:after="0"/>
      </w:pPr>
      <w:r>
        <w:rPr>
          <w:color w:val="000000"/>
          <w:sz w:val="24"/>
          <w:szCs w:val="24"/>
        </w:rPr>
        <w:t>Identificación documentada como Testigo de Jehová, mediante cualquiera de los siguientes registros institucionales:</w:t>
      </w:r>
    </w:p>
    <w:p w14:paraId="2CA4A041" w14:textId="77777777" w:rsidR="005D1D70" w:rsidRDefault="00000000">
      <w:pPr>
        <w:numPr>
          <w:ilvl w:val="1"/>
          <w:numId w:val="6"/>
        </w:numPr>
        <w:pBdr>
          <w:top w:val="nil"/>
          <w:left w:val="nil"/>
          <w:bottom w:val="nil"/>
          <w:right w:val="nil"/>
          <w:between w:val="nil"/>
        </w:pBdr>
        <w:spacing w:after="0"/>
      </w:pPr>
      <w:r>
        <w:rPr>
          <w:color w:val="000000"/>
          <w:sz w:val="24"/>
          <w:szCs w:val="24"/>
        </w:rPr>
        <w:t>Declaración escrita en historia clínica.</w:t>
      </w:r>
    </w:p>
    <w:p w14:paraId="42A4B847" w14:textId="77777777" w:rsidR="005D1D70" w:rsidRDefault="00000000">
      <w:pPr>
        <w:numPr>
          <w:ilvl w:val="1"/>
          <w:numId w:val="6"/>
        </w:numPr>
        <w:pBdr>
          <w:top w:val="nil"/>
          <w:left w:val="nil"/>
          <w:bottom w:val="nil"/>
          <w:right w:val="nil"/>
          <w:between w:val="nil"/>
        </w:pBdr>
        <w:spacing w:after="0"/>
      </w:pPr>
      <w:r>
        <w:rPr>
          <w:color w:val="000000"/>
          <w:sz w:val="24"/>
          <w:szCs w:val="24"/>
        </w:rPr>
        <w:t>Formato institucional de “rechazo transfusional”.</w:t>
      </w:r>
    </w:p>
    <w:p w14:paraId="443E4D64" w14:textId="77777777" w:rsidR="005D1D70" w:rsidRDefault="00000000">
      <w:pPr>
        <w:numPr>
          <w:ilvl w:val="1"/>
          <w:numId w:val="6"/>
        </w:numPr>
        <w:pBdr>
          <w:top w:val="nil"/>
          <w:left w:val="nil"/>
          <w:bottom w:val="nil"/>
          <w:right w:val="nil"/>
          <w:between w:val="nil"/>
        </w:pBdr>
        <w:spacing w:after="0"/>
      </w:pPr>
      <w:r>
        <w:rPr>
          <w:color w:val="000000"/>
          <w:sz w:val="24"/>
          <w:szCs w:val="24"/>
        </w:rPr>
        <w:t>Registro en epicrisis o consentimiento informado prequirúrgico.</w:t>
      </w:r>
    </w:p>
    <w:p>
      <w:pPr>
        <w:pBdr>
          <w:top w:val="nil"/>
          <w:left w:val="nil"/>
          <w:bottom w:val="nil"/>
          <w:right w:val="nil"/>
          <w:between w:val="nil"/>
        </w:pBdr>
        <w:spacing w:after="0"/>
        <w:ind w:left="1080"/>
      </w:pPr>
      <w:r>
        <w:rPr>
          <w:color w:val="000000"/>
          <w:sz w:val="24"/>
          <w:szCs w:val="24"/>
          <w:highlight w:val="yellow"/>
        </w:rPr>
        <w:t xml:space="preserve">En el registro debe constar expresamente la condición de Testigo de Jehová. Un formato de rechazo transfusional sin esa mención no satisface este criterio.</w:t>
      </w:r>
    </w:p>
    <w:p w14:paraId="252BC7C0" w14:textId="77777777" w:rsidR="005D1D70" w:rsidRDefault="00000000">
      <w:pPr>
        <w:numPr>
          <w:ilvl w:val="0"/>
          <w:numId w:val="6"/>
        </w:numPr>
        <w:pBdr>
          <w:top w:val="nil"/>
          <w:left w:val="nil"/>
          <w:bottom w:val="nil"/>
          <w:right w:val="nil"/>
          <w:between w:val="nil"/>
        </w:pBdr>
        <w:spacing w:after="0"/>
      </w:pPr>
      <w:r>
        <w:rPr>
          <w:color w:val="000000"/>
          <w:sz w:val="24"/>
          <w:szCs w:val="24"/>
        </w:rPr>
        <w:t xml:space="preserve">Cirugía cardiaca mayor con esternotomía o minitoracotomía, con o sin circulación extracorpórea, realizada en la Clínica General del Norte (Barranquilla), específicamente:</w:t>
      </w:r>
    </w:p>
    <w:p w14:paraId="1B9AE319" w14:textId="77777777" w:rsidR="005D1D70" w:rsidRDefault="00000000">
      <w:pPr>
        <w:numPr>
          <w:ilvl w:val="1"/>
          <w:numId w:val="6"/>
        </w:numPr>
        <w:pBdr>
          <w:top w:val="nil"/>
          <w:left w:val="nil"/>
          <w:bottom w:val="nil"/>
          <w:right w:val="nil"/>
          <w:between w:val="nil"/>
        </w:pBdr>
        <w:spacing w:after="0"/>
      </w:pPr>
      <w:r>
        <w:rPr>
          <w:color w:val="000000"/>
          <w:sz w:val="24"/>
          <w:szCs w:val="24"/>
        </w:rPr>
        <w:t>Revascularización coronaria quirúrgica: uno o más injertos arteriales o venosos.</w:t>
      </w:r>
    </w:p>
    <w:p w14:paraId="20070176" w14:textId="77777777" w:rsidR="005D1D70" w:rsidRDefault="00000000">
      <w:pPr>
        <w:numPr>
          <w:ilvl w:val="1"/>
          <w:numId w:val="6"/>
        </w:numPr>
        <w:pBdr>
          <w:top w:val="nil"/>
          <w:left w:val="nil"/>
          <w:bottom w:val="nil"/>
          <w:right w:val="nil"/>
          <w:between w:val="nil"/>
        </w:pBdr>
        <w:spacing w:after="0"/>
      </w:pPr>
      <w:r>
        <w:rPr>
          <w:color w:val="000000"/>
          <w:sz w:val="24"/>
          <w:szCs w:val="24"/>
        </w:rPr>
        <w:t xml:space="preserve">Cirugía valvular: reemplazo o reparación de una o más válvulas (aórtica, mitral, tricuspídea o pulmonar); la cirugía de dos o más válvulas se clasificará como valvular y se identificará como multivalvular.</w:t>
      </w:r>
    </w:p>
    <w:p w14:paraId="47CFDB5E" w14:textId="77777777" w:rsidR="005D1D70" w:rsidRDefault="00000000">
      <w:pPr>
        <w:numPr>
          <w:ilvl w:val="1"/>
          <w:numId w:val="6"/>
        </w:numPr>
        <w:pBdr>
          <w:top w:val="nil"/>
          <w:left w:val="nil"/>
          <w:bottom w:val="nil"/>
          <w:right w:val="nil"/>
          <w:between w:val="nil"/>
        </w:pBdr>
        <w:spacing w:after="0"/>
      </w:pPr>
      <w:r>
        <w:rPr>
          <w:color w:val="000000"/>
          <w:sz w:val="24"/>
          <w:szCs w:val="24"/>
        </w:rPr>
        <w:t>Cirugía combinada: revascularización coronaria quirúrgica más cirugía valvular en el mismo acto quirúrgico.</w:t>
      </w:r>
    </w:p>
    <w:p w14:paraId="0C1F7447" w14:textId="77777777" w:rsidR="005D1D70" w:rsidRDefault="00000000">
      <w:pPr>
        <w:numPr>
          <w:ilvl w:val="0"/>
          <w:numId w:val="6"/>
        </w:numPr>
        <w:pBdr>
          <w:top w:val="nil"/>
          <w:left w:val="nil"/>
          <w:bottom w:val="nil"/>
          <w:right w:val="nil"/>
          <w:between w:val="nil"/>
        </w:pBdr>
        <w:spacing w:after="0"/>
      </w:pPr>
      <w:r>
        <w:rPr>
          <w:color w:val="000000"/>
          <w:sz w:val="24"/>
          <w:szCs w:val="24"/>
        </w:rPr>
        <w:t>Rechazo de transfusión de glóbulos rojos registrado antes de la cirugía. La aceptación o el rechazo de otros componentes y procedimientos de conservación sanguínea se registrará según el consentimiento individual.</w:t>
      </w:r>
      <w:r>
        <w:rPr>
          <w:color w:val="000000"/>
          <w:sz w:val="24"/>
          <w:szCs w:val="24"/>
          <w:highlight w:val="yellow"/>
        </w:rPr>
        <w:t xml:space="preserve"> Este criterio se verifica con la decisión individual documentada y es independiente del criterio 2: la condición de Testigo de Jehová no se considerará prueba de la negativa (numeral 3.2.2).</w:t>
      </w:r>
    </w:p>
    <w:p w14:paraId="2DBC7414" w14:textId="77777777" w:rsidR="005D1D70" w:rsidRDefault="00000000">
      <w:pPr>
        <w:numPr>
          <w:ilvl w:val="0"/>
          <w:numId w:val="6"/>
        </w:numPr>
        <w:pBdr>
          <w:top w:val="nil"/>
          <w:left w:val="nil"/>
          <w:bottom w:val="nil"/>
          <w:right w:val="nil"/>
          <w:between w:val="nil"/>
        </w:pBdr>
        <w:spacing w:after="280"/>
      </w:pPr>
      <w:r>
        <w:rPr>
          <w:color w:val="000000"/>
          <w:sz w:val="24"/>
          <w:szCs w:val="24"/>
        </w:rPr>
        <w:t>Información que permita establecer el procedimiento índice y el estado vital intrahospitalario, incluso cuando no haya ingreso a UCI cardiovascular.</w:t>
      </w:r>
    </w:p>
    <w:p w14:paraId="31BDE428" w14:textId="77777777" w:rsidR="005D1D70" w:rsidRDefault="00000000">
      <w:pPr>
        <w:pStyle w:val="Ttulo3"/>
        <w:rPr>
          <w:rFonts w:ascii="Calibri" w:eastAsia="Calibri" w:hAnsi="Calibri" w:cs="Calibri"/>
          <w:color w:val="000000"/>
          <w:sz w:val="24"/>
          <w:szCs w:val="24"/>
        </w:rPr>
      </w:pPr>
      <w:r>
        <w:rPr>
          <w:rFonts w:ascii="Calibri" w:eastAsia="Calibri" w:hAnsi="Calibri" w:cs="Calibri"/>
          <w:color w:val="000000"/>
          <w:sz w:val="24"/>
          <w:szCs w:val="24"/>
        </w:rPr>
        <w:t>3.3.2 Criterios de exclusión</w:t>
      </w:r>
    </w:p>
    <w:p w14:paraId="5CE6918B" w14:textId="77777777" w:rsidR="005D1D70" w:rsidRDefault="00000000">
      <w:pPr>
        <w:pStyle w:val="Ttulo3"/>
        <w:rPr>
          <w:b w:val="0"/>
          <w:bCs w:val="0"/>
          <w:color w:val="000000"/>
          <w:sz w:val="24"/>
          <w:szCs w:val="24"/>
        </w:rPr>
      </w:pPr>
      <w:r>
        <w:rPr>
          <w:color w:val="000000"/>
          <w:sz w:val="24"/>
          <w:szCs w:val="24"/>
        </w:rPr>
        <w:t>3.3.2.1 Procedimientos fuera del alcance del estudio</w:t>
      </w:r>
    </w:p>
    <w:p w14:paraId="146A787C" w14:textId="77777777" w:rsidR="005D1D70" w:rsidRDefault="00000000">
      <w:pPr>
        <w:pBdr>
          <w:top w:val="nil"/>
          <w:left w:val="nil"/>
          <w:bottom w:val="nil"/>
          <w:right w:val="nil"/>
          <w:between w:val="nil"/>
        </w:pBdr>
        <w:spacing w:line="240" w:lineRule="auto"/>
        <w:rPr>
          <w:color w:val="000000"/>
          <w:sz w:val="24"/>
          <w:szCs w:val="24"/>
        </w:rPr>
      </w:pPr>
      <w:r>
        <w:rPr>
          <w:color w:val="000000"/>
          <w:sz w:val="24"/>
          <w:szCs w:val="24"/>
        </w:rPr>
        <w:t>a) Procedimientos percutáneos</w:t>
      </w:r>
      <w:r>
        <w:rPr>
          <w:b/>
          <w:bCs/>
          <w:color w:val="000000"/>
          <w:sz w:val="24"/>
          <w:szCs w:val="24"/>
        </w:rPr>
        <w:t>,</w:t>
      </w:r>
      <w:r>
        <w:rPr>
          <w:color w:val="000000"/>
          <w:sz w:val="24"/>
          <w:szCs w:val="24"/>
        </w:rPr>
        <w:t xml:space="preserve"> como:</w:t>
      </w:r>
    </w:p>
    <w:p w14:paraId="539CF19B" w14:textId="77777777" w:rsidR="005D1D70" w:rsidRDefault="00000000">
      <w:pPr>
        <w:numPr>
          <w:ilvl w:val="0"/>
          <w:numId w:val="7"/>
        </w:numPr>
        <w:pBdr>
          <w:top w:val="nil"/>
          <w:left w:val="nil"/>
          <w:bottom w:val="nil"/>
          <w:right w:val="nil"/>
          <w:between w:val="nil"/>
        </w:pBdr>
        <w:spacing w:line="240" w:lineRule="auto"/>
      </w:pPr>
      <w:r>
        <w:rPr>
          <w:color w:val="000000"/>
          <w:sz w:val="24"/>
          <w:szCs w:val="24"/>
        </w:rPr>
        <w:t>Implante percutáneo de válvula aórtica</w:t>
      </w:r>
    </w:p>
    <w:p w14:paraId="46EDA8DD" w14:textId="77777777" w:rsidR="005D1D70" w:rsidRDefault="00000000">
      <w:pPr>
        <w:numPr>
          <w:ilvl w:val="0"/>
          <w:numId w:val="7"/>
        </w:numPr>
        <w:pBdr>
          <w:top w:val="nil"/>
          <w:left w:val="nil"/>
          <w:bottom w:val="nil"/>
          <w:right w:val="nil"/>
          <w:between w:val="nil"/>
        </w:pBdr>
        <w:spacing w:line="240" w:lineRule="auto"/>
      </w:pPr>
      <w:r>
        <w:rPr>
          <w:color w:val="000000"/>
          <w:sz w:val="24"/>
          <w:szCs w:val="24"/>
        </w:rPr>
        <w:t>Intervención coronaria percutánea</w:t>
      </w:r>
    </w:p>
    <w:p w14:paraId="26741328" w14:textId="77777777" w:rsidR="005D1D70" w:rsidRDefault="00000000">
      <w:pPr>
        <w:numPr>
          <w:ilvl w:val="0"/>
          <w:numId w:val="7"/>
        </w:numPr>
        <w:pBdr>
          <w:top w:val="nil"/>
          <w:left w:val="nil"/>
          <w:bottom w:val="nil"/>
          <w:right w:val="nil"/>
          <w:between w:val="nil"/>
        </w:pBdr>
        <w:spacing w:line="240" w:lineRule="auto"/>
      </w:pPr>
      <w:r>
        <w:rPr>
          <w:color w:val="000000"/>
          <w:sz w:val="24"/>
          <w:szCs w:val="24"/>
        </w:rPr>
        <w:lastRenderedPageBreak/>
        <w:t xml:space="preserve">Reparaciones valvulares transcatéter </w:t>
      </w:r>
    </w:p>
    <w:p w14:paraId="4E0FBC73" w14:textId="77777777" w:rsidR="005D1D70" w:rsidRDefault="00000000">
      <w:pPr>
        <w:numPr>
          <w:ilvl w:val="0"/>
          <w:numId w:val="7"/>
        </w:numPr>
        <w:pBdr>
          <w:top w:val="nil"/>
          <w:left w:val="nil"/>
          <w:bottom w:val="nil"/>
          <w:right w:val="nil"/>
          <w:between w:val="nil"/>
        </w:pBdr>
        <w:spacing w:line="240" w:lineRule="auto"/>
      </w:pPr>
      <w:r>
        <w:rPr>
          <w:color w:val="000000"/>
          <w:sz w:val="24"/>
          <w:szCs w:val="24"/>
        </w:rPr>
        <w:t>Ablación cardíaca</w:t>
      </w:r>
    </w:p>
    <w:p w14:paraId="4CBD563A" w14:textId="77777777" w:rsidR="005D1D70" w:rsidRDefault="00000000">
      <w:pPr>
        <w:numPr>
          <w:ilvl w:val="0"/>
          <w:numId w:val="7"/>
        </w:numPr>
        <w:pBdr>
          <w:top w:val="nil"/>
          <w:left w:val="nil"/>
          <w:bottom w:val="nil"/>
          <w:right w:val="nil"/>
          <w:between w:val="nil"/>
        </w:pBdr>
        <w:spacing w:line="240" w:lineRule="auto"/>
      </w:pPr>
      <w:r>
        <w:rPr>
          <w:color w:val="000000"/>
          <w:sz w:val="24"/>
          <w:szCs w:val="24"/>
        </w:rPr>
        <w:t>Resincronización o implante de marcapasos</w:t>
      </w:r>
    </w:p>
    <w:p w14:paraId="16A1CFBB" w14:textId="77777777" w:rsidR="005D1D70" w:rsidRDefault="00000000">
      <w:pPr>
        <w:numPr>
          <w:ilvl w:val="0"/>
          <w:numId w:val="7"/>
        </w:numPr>
        <w:pBdr>
          <w:top w:val="nil"/>
          <w:left w:val="nil"/>
          <w:bottom w:val="nil"/>
          <w:right w:val="nil"/>
          <w:between w:val="nil"/>
        </w:pBdr>
        <w:spacing w:line="240" w:lineRule="auto"/>
      </w:pPr>
      <w:r>
        <w:rPr>
          <w:color w:val="000000"/>
          <w:sz w:val="24"/>
          <w:szCs w:val="24"/>
        </w:rPr>
        <w:t>Cierre percutáneo de comunicación interauricular, comunicación interventricular u orejuela izquierda</w:t>
      </w:r>
    </w:p>
    <w:p w14:paraId="58AAF88C" w14:textId="77777777" w:rsidR="005D1D70" w:rsidRDefault="00000000">
      <w:pPr>
        <w:numPr>
          <w:ilvl w:val="0"/>
          <w:numId w:val="7"/>
        </w:numPr>
        <w:pBdr>
          <w:top w:val="nil"/>
          <w:left w:val="nil"/>
          <w:bottom w:val="nil"/>
          <w:right w:val="nil"/>
          <w:between w:val="nil"/>
        </w:pBdr>
        <w:spacing w:line="240" w:lineRule="auto"/>
      </w:pPr>
      <w:r>
        <w:rPr>
          <w:color w:val="000000"/>
          <w:sz w:val="24"/>
          <w:szCs w:val="24"/>
        </w:rPr>
        <w:t>Reparación endovascular de aneurisma aórtico torácico o abdominal</w:t>
      </w:r>
    </w:p>
    <w:p w14:paraId="320DF4DE" w14:textId="77777777" w:rsidR="005D1D70" w:rsidRDefault="00000000">
      <w:pPr>
        <w:numPr>
          <w:ilvl w:val="0"/>
          <w:numId w:val="7"/>
        </w:numPr>
        <w:pBdr>
          <w:top w:val="nil"/>
          <w:left w:val="nil"/>
          <w:bottom w:val="nil"/>
          <w:right w:val="nil"/>
          <w:between w:val="nil"/>
        </w:pBdr>
        <w:spacing w:line="240" w:lineRule="auto"/>
      </w:pPr>
      <w:r>
        <w:rPr>
          <w:color w:val="000000"/>
          <w:sz w:val="24"/>
          <w:szCs w:val="24"/>
        </w:rPr>
        <w:t xml:space="preserve">Colocación de stents aórticos o periféricos</w:t>
      </w:r>
    </w:p>
    <w:p w14:paraId="5C77B29A" w14:textId="77777777" w:rsidR="005D1D70" w:rsidRDefault="00000000">
      <w:pPr>
        <w:pBdr>
          <w:top w:val="nil"/>
          <w:left w:val="nil"/>
          <w:bottom w:val="nil"/>
          <w:right w:val="nil"/>
          <w:between w:val="nil"/>
        </w:pBdr>
        <w:spacing w:line="240" w:lineRule="auto"/>
        <w:rPr>
          <w:color w:val="000000"/>
          <w:sz w:val="24"/>
          <w:szCs w:val="24"/>
        </w:rPr>
      </w:pPr>
      <w:r>
        <w:rPr>
          <w:color w:val="000000"/>
          <w:sz w:val="24"/>
          <w:szCs w:val="24"/>
        </w:rPr>
        <w:t>b) Procedimientos no cardiovasculares o no clasificados como cirugía mayor</w:t>
      </w:r>
      <w:r>
        <w:rPr>
          <w:b/>
          <w:bCs/>
          <w:color w:val="000000"/>
          <w:sz w:val="24"/>
          <w:szCs w:val="24"/>
        </w:rPr>
        <w:t>,</w:t>
      </w:r>
      <w:r>
        <w:rPr>
          <w:color w:val="000000"/>
          <w:sz w:val="24"/>
          <w:szCs w:val="24"/>
        </w:rPr>
        <w:t xml:space="preserve"> tales como:</w:t>
      </w:r>
    </w:p>
    <w:p w14:paraId="770BA27F" w14:textId="77777777" w:rsidR="005D1D70" w:rsidRDefault="00000000">
      <w:pPr>
        <w:numPr>
          <w:ilvl w:val="0"/>
          <w:numId w:val="8"/>
        </w:numPr>
        <w:pBdr>
          <w:top w:val="nil"/>
          <w:left w:val="nil"/>
          <w:bottom w:val="nil"/>
          <w:right w:val="nil"/>
          <w:between w:val="nil"/>
        </w:pBdr>
        <w:spacing w:line="240" w:lineRule="auto"/>
      </w:pPr>
      <w:r>
        <w:rPr>
          <w:color w:val="000000"/>
          <w:sz w:val="24"/>
          <w:szCs w:val="24"/>
        </w:rPr>
        <w:t>Pericardiocentesis</w:t>
      </w:r>
    </w:p>
    <w:p w14:paraId="1465D933" w14:textId="77777777" w:rsidR="005D1D70" w:rsidRDefault="00000000">
      <w:pPr>
        <w:numPr>
          <w:ilvl w:val="0"/>
          <w:numId w:val="8"/>
        </w:numPr>
        <w:pBdr>
          <w:top w:val="nil"/>
          <w:left w:val="nil"/>
          <w:bottom w:val="nil"/>
          <w:right w:val="nil"/>
          <w:between w:val="nil"/>
        </w:pBdr>
        <w:spacing w:line="240" w:lineRule="auto"/>
      </w:pPr>
      <w:r>
        <w:rPr>
          <w:color w:val="000000"/>
          <w:sz w:val="24"/>
          <w:szCs w:val="24"/>
        </w:rPr>
        <w:t>Toracotomías menores</w:t>
      </w:r>
    </w:p>
    <w:p w14:paraId="224A4522" w14:textId="77777777" w:rsidR="005D1D70" w:rsidRDefault="00000000">
      <w:pPr>
        <w:numPr>
          <w:ilvl w:val="0"/>
          <w:numId w:val="8"/>
        </w:numPr>
        <w:pBdr>
          <w:top w:val="nil"/>
          <w:left w:val="nil"/>
          <w:bottom w:val="nil"/>
          <w:right w:val="nil"/>
          <w:between w:val="nil"/>
        </w:pBdr>
        <w:spacing w:line="240" w:lineRule="auto"/>
      </w:pPr>
      <w:r>
        <w:rPr>
          <w:color w:val="000000"/>
          <w:sz w:val="24"/>
          <w:szCs w:val="24"/>
        </w:rPr>
        <w:t xml:space="preserve">Reintervenciones superficiales </w:t>
      </w:r>
    </w:p>
    <w:p w14:paraId="164AE765" w14:textId="77777777" w:rsidR="0044299D" w:rsidRDefault="00000000">
      <w:pPr>
        <w:spacing w:after="120"/>
        <w:jc w:val="both"/>
      </w:pPr>
      <w:r>
        <w:rPr>
          <w:color w:val="000000"/>
          <w:sz w:val="24"/>
          <w:szCs w:val="24"/>
        </w:rPr>
        <w:t xml:space="preserve">c) Procedimientos cardiacos abiertos con un perfil hemorrágico distinto: cirugía de aorta torácica (incluidas la disección aórtica aguda y la cirugía de raíz aórtica), cirugía de cardiopatías congénitas, trasplante cardiaco, implante de dispositivos de asistencia ventricular, pericardiectomía y resección de tumores cardiacos. Si uno de estos procedimientos se asocia con una de las cirugías elegibles, el caso se describirá por separado y no se incluirá en la comparación por tipo de cirugía.</w:t>
      </w:r>
    </w:p>
    <w:p w14:paraId="529BD074" w14:textId="77777777" w:rsidR="005D1D70" w:rsidRDefault="00000000">
      <w:pPr>
        <w:pStyle w:val="Ttulo3"/>
        <w:rPr>
          <w:b w:val="0"/>
          <w:bCs w:val="0"/>
          <w:color w:val="000000"/>
          <w:sz w:val="24"/>
          <w:szCs w:val="24"/>
        </w:rPr>
      </w:pPr>
      <w:r>
        <w:rPr>
          <w:color w:val="000000"/>
          <w:sz w:val="24"/>
          <w:szCs w:val="24"/>
        </w:rPr>
        <w:t>3.3.2.2 Cirugías no iniciadas</w:t>
      </w:r>
    </w:p>
    <w:p w14:paraId="3E98C5E9" w14:textId="77777777" w:rsidR="005D1D70" w:rsidRDefault="00000000">
      <w:pPr>
        <w:pBdr>
          <w:top w:val="nil"/>
          <w:left w:val="nil"/>
          <w:bottom w:val="nil"/>
          <w:right w:val="nil"/>
          <w:between w:val="nil"/>
        </w:pBdr>
        <w:spacing w:line="240" w:lineRule="auto"/>
        <w:rPr>
          <w:color w:val="000000"/>
          <w:sz w:val="24"/>
          <w:szCs w:val="24"/>
        </w:rPr>
      </w:pPr>
      <w:r>
        <w:rPr>
          <w:color w:val="000000"/>
          <w:sz w:val="24"/>
          <w:szCs w:val="24"/>
        </w:rPr>
        <w:t>Se excluirán las cirugías suspendidas antes de iniciar el acto quirúrgico. Una cirugía iniciada y posteriormente interrumpida por inestabilidad o complicación permanecerá en la cohorte; se registrarán el procedimiento previsto, el efectivamente realizado y el motivo de interrupción. Si no puede asignarse a uno de los tres grupos, se describirá en la cohorte sin incluirla en la comparación por tipo.</w:t>
      </w:r>
    </w:p>
    <w:p w14:paraId="05ED5856" w14:textId="77777777" w:rsidR="005D1D70" w:rsidRDefault="00000000">
      <w:pPr>
        <w:pStyle w:val="Ttulo3"/>
        <w:rPr>
          <w:b w:val="0"/>
          <w:bCs w:val="0"/>
          <w:color w:val="000000"/>
          <w:sz w:val="24"/>
          <w:szCs w:val="24"/>
        </w:rPr>
      </w:pPr>
      <w:r>
        <w:rPr>
          <w:color w:val="000000"/>
          <w:sz w:val="24"/>
          <w:szCs w:val="24"/>
        </w:rPr>
        <w:t>3.3.2.3 Historias clínicas sin datos indispensables para elegibilidad y desenlace primario</w:t>
      </w:r>
    </w:p>
    <w:p w14:paraId="7D6282CD" w14:textId="77777777" w:rsidR="005D1D70" w:rsidRDefault="00000000">
      <w:pPr>
        <w:pBdr>
          <w:top w:val="nil"/>
          <w:left w:val="nil"/>
          <w:bottom w:val="nil"/>
          <w:right w:val="nil"/>
          <w:between w:val="nil"/>
        </w:pBdr>
        <w:spacing w:line="240" w:lineRule="auto"/>
        <w:rPr>
          <w:color w:val="000000"/>
          <w:sz w:val="24"/>
          <w:szCs w:val="24"/>
        </w:rPr>
      </w:pPr>
      <w:r>
        <w:rPr>
          <w:color w:val="000000"/>
          <w:sz w:val="24"/>
          <w:szCs w:val="24"/>
        </w:rPr>
        <w:t>Se excluirán las historias en las que, tras la verificación de las fuentes disponibles, no sea posible confirmar alguno de los siguientes datos:</w:t>
      </w:r>
    </w:p>
    <w:p w14:paraId="4740EF14" w14:textId="77777777" w:rsidR="005D1D70" w:rsidRDefault="00000000">
      <w:pPr>
        <w:numPr>
          <w:ilvl w:val="1"/>
          <w:numId w:val="9"/>
        </w:numPr>
        <w:pBdr>
          <w:top w:val="nil"/>
          <w:left w:val="nil"/>
          <w:bottom w:val="nil"/>
          <w:right w:val="nil"/>
          <w:between w:val="nil"/>
        </w:pBdr>
        <w:spacing w:line="240" w:lineRule="auto"/>
      </w:pPr>
      <w:r>
        <w:rPr>
          <w:color w:val="000000"/>
          <w:sz w:val="24"/>
          <w:szCs w:val="24"/>
        </w:rPr>
        <w:t>Condición de Testigo de Jehová y rechazo preoperatorio de glóbulos rojos.</w:t>
      </w:r>
    </w:p>
    <w:p w14:paraId="2120AECE" w14:textId="77777777" w:rsidR="005D1D70" w:rsidRDefault="00000000">
      <w:pPr>
        <w:numPr>
          <w:ilvl w:val="1"/>
          <w:numId w:val="9"/>
        </w:numPr>
        <w:pBdr>
          <w:top w:val="nil"/>
          <w:left w:val="nil"/>
          <w:bottom w:val="nil"/>
          <w:right w:val="nil"/>
          <w:between w:val="nil"/>
        </w:pBdr>
        <w:spacing w:line="240" w:lineRule="auto"/>
      </w:pPr>
      <w:r>
        <w:rPr>
          <w:color w:val="000000"/>
          <w:sz w:val="24"/>
          <w:szCs w:val="24"/>
        </w:rPr>
        <w:t>Fecha y registro de la cirugía iniciada en la institución.</w:t>
      </w:r>
    </w:p>
    <w:p w14:paraId="7DDED4D2" w14:textId="77777777" w:rsidR="005D1D70" w:rsidRDefault="00000000">
      <w:pPr>
        <w:numPr>
          <w:ilvl w:val="1"/>
          <w:numId w:val="9"/>
        </w:numPr>
        <w:pBdr>
          <w:top w:val="nil"/>
          <w:left w:val="nil"/>
          <w:bottom w:val="nil"/>
          <w:right w:val="nil"/>
          <w:between w:val="nil"/>
        </w:pBdr>
        <w:spacing w:line="240" w:lineRule="auto"/>
      </w:pPr>
      <w:r>
        <w:rPr>
          <w:color w:val="000000"/>
          <w:sz w:val="24"/>
          <w:szCs w:val="24"/>
        </w:rPr>
        <w:t>Procedimiento previsto y, cuando sea clasificable, procedimiento efectivamente realizado.</w:t>
      </w:r>
    </w:p>
    <w:p w14:paraId="68978123" w14:textId="77777777" w:rsidR="005D1D70" w:rsidRDefault="00000000">
      <w:pPr>
        <w:numPr>
          <w:ilvl w:val="1"/>
          <w:numId w:val="9"/>
        </w:numPr>
        <w:pBdr>
          <w:top w:val="nil"/>
          <w:left w:val="nil"/>
          <w:bottom w:val="nil"/>
          <w:right w:val="nil"/>
          <w:between w:val="nil"/>
        </w:pBdr>
        <w:spacing w:line="240" w:lineRule="auto"/>
      </w:pPr>
      <w:r>
        <w:rPr>
          <w:color w:val="000000"/>
          <w:sz w:val="24"/>
          <w:szCs w:val="24"/>
        </w:rPr>
        <w:lastRenderedPageBreak/>
        <w:t>Condición vital al cierre de la hospitalización índice.</w:t>
      </w:r>
    </w:p>
    <w:p w14:paraId="1741F781" w14:textId="77777777" w:rsidR="005D1D70" w:rsidRDefault="005D1D70">
      <w:pPr>
        <w:spacing w:after="0"/>
        <w:jc w:val="both"/>
        <w:rPr>
          <w:sz w:val="24"/>
          <w:szCs w:val="24"/>
        </w:rPr>
      </w:pPr>
    </w:p>
    <w:p w14:paraId="58C0D6E5" w14:textId="77777777" w:rsidR="005D1D70" w:rsidRDefault="00000000">
      <w:pPr>
        <w:pStyle w:val="Ttulo2"/>
        <w:numPr>
          <w:ilvl w:val="1"/>
          <w:numId w:val="2"/>
        </w:numPr>
        <w:spacing w:before="0"/>
        <w:rPr>
          <w:rFonts w:ascii="Calibri" w:eastAsia="Calibri" w:hAnsi="Calibri" w:cs="Calibri"/>
          <w:color w:val="000000"/>
          <w:sz w:val="24"/>
          <w:szCs w:val="24"/>
        </w:rPr>
      </w:pPr>
      <w:bookmarkStart w:id="18" w:name="_heading=h.p6y53irn1g5q" w:colFirst="0" w:colLast="0"/>
      <w:bookmarkEnd w:id="18"/>
      <w:r>
        <w:rPr>
          <w:rFonts w:ascii="Calibri" w:eastAsia="Calibri" w:hAnsi="Calibri" w:cs="Calibri"/>
          <w:color w:val="000000"/>
          <w:sz w:val="24"/>
          <w:szCs w:val="24"/>
        </w:rPr>
        <w:t>Instrumentos</w:t>
      </w:r>
    </w:p>
    <w:p w14:paraId="7900F085" w14:textId="77777777" w:rsidR="005D1D70" w:rsidRDefault="00000000">
      <w:pPr>
        <w:pBdr>
          <w:top w:val="nil"/>
          <w:left w:val="nil"/>
          <w:bottom w:val="nil"/>
          <w:right w:val="nil"/>
          <w:between w:val="nil"/>
        </w:pBdr>
        <w:spacing w:line="240" w:lineRule="auto"/>
        <w:jc w:val="both"/>
        <w:rPr>
          <w:color w:val="000000"/>
          <w:sz w:val="24"/>
          <w:szCs w:val="24"/>
        </w:rPr>
      </w:pPr>
      <w:r>
        <w:rPr>
          <w:color w:val="000000"/>
          <w:sz w:val="24"/>
          <w:szCs w:val="24"/>
        </w:rPr>
        <w:t xml:space="preserve">Los datos se recogerán mediante la revisión sistemática de historias clínicas electrónicas de pacientes Testigos de Jehová con rechazo transfusional preoperatorio sometidos a cirugía cardiaca mayor entre 2020 y 2025. Se utilizará un formulario electrónico estructurado en REDCap, si la Universidad o la institución disponen de la plataforma, o, en su defecto, una hoja de cálculo de Microsoft Excel protegida con contraseña, con listas desplegables y rangos de validación, construido a partir del diccionario de variables del numeral 3.8 (Anexo 1).</w:t>
      </w:r>
      <w:r>
        <w:rPr>
          <w:color w:val="000000"/>
          <w:sz w:val="24"/>
          <w:szCs w:val="24"/>
          <w:highlight w:val="yellow"/>
        </w:rPr>
        <w:t xml:space="preserve"> En cualquiera de las dos opciones, el instrumento se alojará en infraestructura institucional con los controles descritos en el numeral 3.9.1 y no contendrá campos de texto libre con datos identificativos.</w:t>
      </w:r>
    </w:p>
    <w:p w14:paraId="34181CA6" w14:textId="77777777" w:rsidR="005D1D70" w:rsidRDefault="00000000">
      <w:pPr>
        <w:pBdr>
          <w:top w:val="nil"/>
          <w:left w:val="nil"/>
          <w:bottom w:val="nil"/>
          <w:right w:val="nil"/>
          <w:between w:val="nil"/>
        </w:pBdr>
        <w:spacing w:line="240" w:lineRule="auto"/>
        <w:jc w:val="both"/>
        <w:rPr>
          <w:color w:val="000000"/>
          <w:sz w:val="24"/>
          <w:szCs w:val="24"/>
        </w:rPr>
      </w:pPr>
      <w:r>
        <w:rPr>
          <w:color w:val="000000"/>
          <w:sz w:val="24"/>
          <w:szCs w:val="24"/>
        </w:rPr>
        <w:t>Antes de la recolección se realizará una prueba piloto con cinco historias clínicas para ajustar las definiciones operativas, las reglas de decisión y el tiempo de extracción; estas historias se extraerán de nuevo con la versión definitiva del instrumento. El instrumento permitirá exportar los datos para su análisis estadístico en el software R.</w:t>
      </w:r>
    </w:p>
    <w:p w14:paraId="1C0FC939" w14:textId="77777777" w:rsidR="005D1D70" w:rsidRDefault="005D1D70">
      <w:pPr>
        <w:shd w:val="clear" w:color="auto" w:fill="FFFFFF"/>
        <w:spacing w:after="0"/>
        <w:jc w:val="both"/>
        <w:rPr>
          <w:sz w:val="24"/>
          <w:szCs w:val="24"/>
        </w:rPr>
      </w:pPr>
    </w:p>
    <w:p w14:paraId="24A75D09" w14:textId="77777777" w:rsidR="005D1D70" w:rsidRDefault="00000000">
      <w:pPr>
        <w:pStyle w:val="Ttulo2"/>
        <w:numPr>
          <w:ilvl w:val="1"/>
          <w:numId w:val="2"/>
        </w:numPr>
        <w:spacing w:before="0"/>
        <w:rPr>
          <w:rFonts w:ascii="Calibri" w:eastAsia="Calibri" w:hAnsi="Calibri" w:cs="Calibri"/>
          <w:color w:val="000000"/>
          <w:sz w:val="24"/>
          <w:szCs w:val="24"/>
        </w:rPr>
      </w:pPr>
      <w:bookmarkStart w:id="19" w:name="_heading=h.wdroh71fj35s" w:colFirst="0" w:colLast="0"/>
      <w:bookmarkEnd w:id="19"/>
      <w:r>
        <w:rPr>
          <w:rFonts w:ascii="Calibri" w:eastAsia="Calibri" w:hAnsi="Calibri" w:cs="Calibri"/>
          <w:color w:val="000000"/>
          <w:sz w:val="24"/>
          <w:szCs w:val="24"/>
        </w:rPr>
        <w:t>Técnica de recolección de la información</w:t>
      </w:r>
    </w:p>
    <w:p w14:paraId="43A8E721" w14:textId="77777777" w:rsidR="0044299D" w:rsidRDefault="00000000">
      <w:pPr>
        <w:spacing w:after="160"/>
        <w:jc w:val="both"/>
      </w:pPr>
      <w:r>
        <w:rPr>
          <w:b/>
          <w:bCs/>
          <w:color w:val="000000"/>
          <w:sz w:val="24"/>
          <w:szCs w:val="24"/>
        </w:rPr>
        <w:t>Identificación de casos.</w:t>
      </w:r>
      <w:r>
        <w:rPr>
          <w:color w:val="000000"/>
          <w:sz w:val="24"/>
          <w:szCs w:val="24"/>
        </w:rPr>
        <w:t xml:space="preserve"> Dado que la afiliación religiosa no se registra de forma estructurada, se combinarán varias fuentes para aumentar la sensibilidad de la búsqueda: a) el listado de cirugías cardiacas del periodo, obtenido de los registros de salas de cirugía, perfusión y cuidado intensivo cardiovascular; b) la búsqueda de texto libre en la historia clínica electrónica de los términos «Testigo de Jehová», «rechazo transfusional», «disentimiento», «no acepta transfusión» y «sin sangre»; c) los formatos institucionales de disentimiento o rechazo de hemocomponentes; y d) los registros del servicio de transfusión de solicitudes canceladas por rechazo del paciente. Se documentará cuántos casos aporta cada fuente y su solapamiento. No se contactará a los pacientes, a sus familias ni a organizaciones religiosas.</w:t>
      </w:r>
    </w:p>
    <w:p w14:paraId="41B7B40E" w14:textId="77777777" w:rsidR="005D1D70" w:rsidRDefault="00000000">
      <w:pPr>
        <w:spacing w:before="240" w:after="240" w:line="240" w:lineRule="auto"/>
        <w:jc w:val="both"/>
        <w:rPr>
          <w:sz w:val="24"/>
          <w:szCs w:val="24"/>
        </w:rPr>
      </w:pPr>
      <w:r>
        <w:rPr>
          <w:b/>
          <w:sz w:val="24"/>
          <w:szCs w:val="24"/>
        </w:rPr>
        <w:t>Verificación y cirugía índice.</w:t>
      </w:r>
      <w:r>
        <w:rPr>
          <w:sz w:val="24"/>
          <w:szCs w:val="24"/>
        </w:rPr>
        <w:t xml:space="preserve"> Para cada caso identificado entre el 1 de enero de 2020 y el 31 de diciembre de 2025 se verificará la condición de Testigo de Jehová y la negativa preoperatoria a glóbulos rojos en historia clínica o consentimiento. La cirugía índice será la primera operación elegible de cada paciente en el periodo; otras operaciones y reintervenciones durante la misma hospitalización se registrarán como eventos. Si un paciente tiene una nueva hospitalización con otra cirugía elegible, se analizará descriptivamente y no se duplicará en la comparación principal por paciente.</w:t>
      </w:r>
    </w:p>
    <w:p>
      <w:pPr>
        <w:spacing w:before="240" w:after="240" w:line="240" w:lineRule="auto"/>
        <w:jc w:val="both"/>
      </w:pPr>
      <w:r>
        <w:rPr>
          <w:b/>
          <w:bCs/>
          <w:color w:val="000000"/>
          <w:sz w:val="24"/>
          <w:szCs w:val="24"/>
          <w:highlight w:val="yellow"/>
        </w:rPr>
        <w:t xml:space="preserve">Verificación de la documentación transfusional.</w:t>
      </w:r>
      <w:r>
        <w:rPr>
          <w:color w:val="000000"/>
          <w:sz w:val="24"/>
          <w:szCs w:val="24"/>
          <w:highlight w:val="yellow"/>
        </w:rPr>
        <w:t xml:space="preserve"> Para el 100 % de los pacientes, dos integrantes del equipo verificarán de forma independiente los siguientes elementos; las discrepancias se resolverán contra el documento original, con participación de un asesor científico:</w:t>
      </w:r>
    </w:p>
    <w:p>
      <w:pPr>
        <w:spacing w:before="60" w:after="60" w:line="240" w:lineRule="auto"/>
        <w:ind w:left="567"/>
        <w:jc w:val="both"/>
      </w:pPr>
      <w:r>
        <w:rPr>
          <w:color w:val="000000"/>
          <w:sz w:val="24"/>
          <w:szCs w:val="24"/>
          <w:highlight w:val="yellow"/>
        </w:rPr>
        <w:t xml:space="preserve">a) Negativa documentada: tipo de documento (formato institucional de disentimiento o rechazo de hemocomponentes, consentimiento quirúrgico o anestésico, documento de directrices o voluntades anticipadas aportado por el paciente, o nota médica), fecha respecto a la cirugía índice, firma del paciente o de su representante y profesional que lo registra. Solo se considerará válida la negativa registrada antes del inicio de la cirugía índice; si no consta por escrito, el caso no cumplirá el criterio de inclusión 4.</w:t>
      </w:r>
    </w:p>
    <w:p>
      <w:pPr>
        <w:spacing w:before="60" w:after="60" w:line="240" w:lineRule="auto"/>
        <w:ind w:left="567"/>
        <w:jc w:val="both"/>
      </w:pPr>
      <w:r>
        <w:rPr>
          <w:color w:val="000000"/>
          <w:sz w:val="24"/>
          <w:szCs w:val="24"/>
          <w:highlight w:val="yellow"/>
        </w:rPr>
        <w:t xml:space="preserve">b) Producto involucrado: aceptación, rechazo o ausencia de registro, por separado, de glóbulos rojos, plasma, plaquetas, crioprecipitado, glóbulos blancos, fracciones (albúmina, concentrado de fibrinógeno, concentrado de complejo protrombínico, factor VII activado recombinante, inmunoglobulinas), eritropoyetina y técnicas autólogas. Lo no documentado se registrará como «no documentado» y nunca se imputará a partir de la condición religiosa.</w:t>
      </w:r>
    </w:p>
    <w:p>
      <w:pPr>
        <w:spacing w:before="60" w:after="60" w:line="240" w:lineRule="auto"/>
        <w:ind w:left="567"/>
        <w:jc w:val="both"/>
      </w:pPr>
      <w:r>
        <w:rPr>
          <w:color w:val="000000"/>
          <w:sz w:val="24"/>
          <w:szCs w:val="24"/>
          <w:highlight w:val="yellow"/>
        </w:rPr>
        <w:t xml:space="preserve">c) Cambios de voluntad: cualquier registro posterior que modifique, amplíe o revoque la decisión inicial, con su fecha, la fase (preoperatoria, intraoperatoria o posoperatoria), quién expresa el cambio (paciente con capacidad o representante) y el documento de soporte.</w:t>
      </w:r>
    </w:p>
    <w:p>
      <w:pPr>
        <w:spacing w:before="60" w:after="60" w:line="240" w:lineRule="auto"/>
        <w:ind w:left="567"/>
        <w:jc w:val="both"/>
      </w:pPr>
      <w:r>
        <w:rPr>
          <w:color w:val="000000"/>
          <w:sz w:val="24"/>
          <w:szCs w:val="24"/>
          <w:highlight w:val="yellow"/>
        </w:rPr>
        <w:t xml:space="preserve">d) Circunstancias de cualquier transfusión registrada: producto, número de unidades, fecha, fase y servicio, verificados mediante triangulación entre el registro del servicio transfusional (solicitud, despacho y trazabilidad), el registro de anestesia o de enfermería y las notas médicas. La circunstancia se clasificará como: i) con consentimiento o cambio de voluntad documentado; ii) en emergencia, con paciente sin capacidad para decidir, según lo registrado en la historia clínica; iii) por orden judicial o administrativa documentada; iv) sin circunstancia documentada; o v) no concluyente, cuando las fuentes sean discordantes.</w:t>
      </w:r>
    </w:p>
    <w:p>
      <w:pPr>
        <w:spacing w:before="60" w:after="60" w:line="240" w:lineRule="auto"/>
        <w:ind w:left="567"/>
        <w:jc w:val="both"/>
      </w:pPr>
      <w:r>
        <w:rPr>
          <w:color w:val="000000"/>
          <w:sz w:val="24"/>
          <w:szCs w:val="24"/>
          <w:highlight w:val="yellow"/>
        </w:rPr>
        <w:t xml:space="preserve">Esta verificación busca clasificar correctamente la exposición y los desenlaces. El estudio no evaluará la legalidad, la pertinencia ni la responsabilidad individual de las decisiones asistenciales, y estos datos se informarán solo de forma agregada, sin identificar pacientes ni profesionales; si las transfusiones registradas son menos de cinco, se informarán como «menos de cinco», sin desagregarlas por circunstancia.</w:t>
      </w:r>
    </w:p>
    <w:p w14:paraId="3F835979" w14:textId="77777777" w:rsidR="005D1D70" w:rsidRDefault="00000000">
      <w:pPr>
        <w:spacing w:before="240" w:after="240" w:line="240" w:lineRule="auto"/>
        <w:jc w:val="both"/>
        <w:rPr>
          <w:sz w:val="24"/>
          <w:szCs w:val="24"/>
        </w:rPr>
      </w:pPr>
      <w:r>
        <w:rPr>
          <w:sz w:val="24"/>
          <w:szCs w:val="24"/>
        </w:rPr>
        <w:t>Dos integrantes del equipo verificarán las variables esenciales y resolverán discrepancias contra las notas originales. Se registrará por separado la ausencia de cada variable: la falta de creatinina, hemoglobina o seguimiento de 30 días no ocasionará la exclusión automática de un paciente con desenlace primario evaluable. La muerte, la transfusión o una cirugía interrumpida tras su inicio tampoco serán motivos de exclusión.</w:t>
      </w:r>
    </w:p>
    <w:p w14:paraId="2D0C4F60" w14:textId="77777777" w:rsidR="0044299D" w:rsidRDefault="00000000">
      <w:pPr>
        <w:spacing w:after="160"/>
        <w:jc w:val="both"/>
      </w:pPr>
      <w:r>
        <w:rPr>
          <w:b/>
          <w:bCs/>
          <w:color w:val="000000"/>
          <w:sz w:val="24"/>
          <w:szCs w:val="24"/>
        </w:rPr>
        <w:lastRenderedPageBreak/>
        <w:t>Control de calidad.</w:t>
      </w:r>
      <w:r>
        <w:rPr>
          <w:color w:val="000000"/>
          <w:sz w:val="24"/>
          <w:szCs w:val="24"/>
        </w:rPr>
        <w:t xml:space="preserve"> Los dos extractores revisarán de forma independiente una muestra aleatoria del 20 % de las historias (mínimo diez) y se estimará la concordancia en los componentes del desenlace primario mediante el índice kappa de Cohen. Si el índice es menor de 0,6 se revisarán las definiciones operativas y se reentrenará a los extractores antes de continuar (49).</w:t>
      </w:r>
    </w:p>
    <w:p w14:paraId="4C4DD63D" w14:textId="77777777" w:rsidR="005D1D70" w:rsidRDefault="00000000">
      <w:pPr>
        <w:spacing w:before="240" w:after="240" w:line="240" w:lineRule="auto"/>
        <w:jc w:val="both"/>
        <w:rPr>
          <w:sz w:val="24"/>
          <w:szCs w:val="24"/>
        </w:rPr>
      </w:pPr>
      <w:r>
        <w:rPr>
          <w:sz w:val="24"/>
          <w:szCs w:val="24"/>
        </w:rPr>
        <w:t>Los datos validados se incorporarán en el formulario electrónico basada en las definiciones operativas; después de la depuración se analizarán en R. Se documentará el número de casos identificados, elegibles, excluidos con sus motivos y evaluables para cada desenlace. Los resultados se describirán para los procedimientos realmente realizados y clasificables; los casos iniciados y no clasificables se describirán separadamente.</w:t>
      </w:r>
    </w:p>
    <w:p w14:paraId="6120BD1F" w14:textId="77777777" w:rsidR="005D1D70" w:rsidRDefault="005D1D70">
      <w:pPr>
        <w:shd w:val="clear" w:color="auto" w:fill="FFFFFF"/>
        <w:spacing w:after="0"/>
        <w:jc w:val="both"/>
        <w:rPr>
          <w:sz w:val="24"/>
          <w:szCs w:val="24"/>
        </w:rPr>
      </w:pPr>
    </w:p>
    <w:p w14:paraId="40043BBB" w14:textId="77777777" w:rsidR="005D1D70" w:rsidRDefault="00000000">
      <w:pPr>
        <w:pStyle w:val="Ttulo2"/>
        <w:numPr>
          <w:ilvl w:val="1"/>
          <w:numId w:val="2"/>
        </w:numPr>
        <w:spacing w:before="0"/>
        <w:rPr>
          <w:rFonts w:ascii="Calibri" w:eastAsia="Calibri" w:hAnsi="Calibri" w:cs="Calibri"/>
          <w:color w:val="000000"/>
          <w:sz w:val="24"/>
          <w:szCs w:val="24"/>
        </w:rPr>
      </w:pPr>
      <w:bookmarkStart w:id="20" w:name="_heading=h.gmdil2zt91w" w:colFirst="0" w:colLast="0"/>
      <w:bookmarkEnd w:id="20"/>
      <w:r>
        <w:rPr>
          <w:rFonts w:ascii="Calibri" w:eastAsia="Calibri" w:hAnsi="Calibri" w:cs="Calibri"/>
          <w:color w:val="000000"/>
          <w:sz w:val="24"/>
          <w:szCs w:val="24"/>
        </w:rPr>
        <w:t>Fuentes de información</w:t>
      </w:r>
    </w:p>
    <w:p w14:paraId="7D745D3B" w14:textId="77777777" w:rsidR="005D1D70" w:rsidRDefault="00000000">
      <w:pPr>
        <w:spacing w:before="240" w:after="240" w:line="240" w:lineRule="auto"/>
        <w:jc w:val="both"/>
        <w:rPr>
          <w:sz w:val="24"/>
          <w:szCs w:val="24"/>
        </w:rPr>
      </w:pPr>
      <w:r>
        <w:rPr>
          <w:sz w:val="24"/>
          <w:szCs w:val="24"/>
        </w:rPr>
        <w:t xml:space="preserve">La fuente principal de información serán las historias clínicas electrónicas y los registros institucionales de cirugía cardiovascular de la Clínica General del Norte. Se extraerán los datos demográficos, clínicos, quirúrgicos y de desenlace de adultos Testigos de Jehová con rechazo de glóbulos rojos documentado antes de la cirugía índice entre el 1 de enero de 2020 y el 31 de diciembre de 2025, con independencia de los hemocomponentes que eventualmente hayan recibido después.</w:t>
      </w:r>
    </w:p>
    <w:p w14:paraId="74299AA4" w14:textId="77777777" w:rsidR="005D1D70" w:rsidRDefault="00000000">
      <w:pPr>
        <w:spacing w:before="240" w:after="240" w:line="240" w:lineRule="auto"/>
        <w:jc w:val="both"/>
        <w:rPr>
          <w:sz w:val="24"/>
          <w:szCs w:val="24"/>
        </w:rPr>
      </w:pPr>
      <w:r>
        <w:rPr>
          <w:sz w:val="24"/>
          <w:szCs w:val="24"/>
        </w:rPr>
        <w:t>La utilización de esta fuente permitirá acceder a información sistemática, organizada y cronológica para reconstruir el curso clínico de cada paciente, documentar las intervenciones quirúrgicas y registrar las complicaciones y los desenlaces hospitalarios. Asimismo, facilitará la estructuración de una base de datos estandarizada para su posterior procesamiento y análisis estadístico.</w:t>
      </w:r>
    </w:p>
    <w:p w14:paraId="7B1E694E" w14:textId="77777777" w:rsidR="0044299D" w:rsidRDefault="00000000">
      <w:pPr>
        <w:spacing w:after="160"/>
        <w:jc w:val="both"/>
      </w:pPr>
      <w:r>
        <w:rPr>
          <w:color w:val="000000"/>
          <w:sz w:val="24"/>
          <w:szCs w:val="24"/>
        </w:rPr>
        <w:t>Para la mortalidad a 30 días se usarán las notas de control ambulatorio, los reingresos y los registros institucionales. De forma opcional, y solo si el comité de ética lo autoriza expresamente, se consultará la vigencia del documento de identidad en la Registraduría Nacional del Estado Civil; si no se autoriza, la condición vital a 30 días se informará como no determinada y se declarará como limitación.</w:t>
      </w:r>
    </w:p>
    <w:p w14:paraId="58BACC8C" w14:textId="77777777" w:rsidR="005D1D70" w:rsidRDefault="005D1D70">
      <w:pPr>
        <w:pBdr>
          <w:top w:val="nil"/>
          <w:left w:val="nil"/>
          <w:bottom w:val="nil"/>
          <w:right w:val="nil"/>
          <w:between w:val="nil"/>
        </w:pBdr>
        <w:spacing w:line="240" w:lineRule="auto"/>
        <w:jc w:val="both"/>
        <w:rPr>
          <w:sz w:val="24"/>
          <w:szCs w:val="24"/>
        </w:rPr>
      </w:pPr>
    </w:p>
    <w:p w14:paraId="1145F067" w14:textId="77777777" w:rsidR="005D1D70" w:rsidRDefault="005D1D70">
      <w:pPr>
        <w:shd w:val="clear" w:color="auto" w:fill="FFFFFF"/>
        <w:spacing w:after="0"/>
        <w:jc w:val="both"/>
        <w:rPr>
          <w:sz w:val="24"/>
          <w:szCs w:val="24"/>
        </w:rPr>
      </w:pPr>
    </w:p>
    <w:p w14:paraId="43245537" w14:textId="77777777" w:rsidR="005D1D70" w:rsidRDefault="00000000">
      <w:pPr>
        <w:pStyle w:val="Ttulo2"/>
        <w:numPr>
          <w:ilvl w:val="1"/>
          <w:numId w:val="2"/>
        </w:numPr>
        <w:spacing w:before="0"/>
        <w:rPr>
          <w:rFonts w:ascii="Calibri" w:eastAsia="Calibri" w:hAnsi="Calibri" w:cs="Calibri"/>
          <w:color w:val="000000"/>
          <w:sz w:val="24"/>
          <w:szCs w:val="24"/>
        </w:rPr>
      </w:pPr>
      <w:bookmarkStart w:id="21" w:name="_heading=h.wgrnso3kg9ne" w:colFirst="0" w:colLast="0"/>
      <w:bookmarkEnd w:id="21"/>
      <w:r>
        <w:rPr>
          <w:rFonts w:ascii="Calibri" w:eastAsia="Calibri" w:hAnsi="Calibri" w:cs="Calibri"/>
          <w:color w:val="000000"/>
          <w:sz w:val="24"/>
          <w:szCs w:val="24"/>
        </w:rPr>
        <w:t>Procesamiento y análisis de la información</w:t>
      </w:r>
    </w:p>
    <w:p w14:paraId="63E608DA" w14:textId="77777777" w:rsidR="005D1D70" w:rsidRDefault="005D1D70"/>
    <w:p w14:paraId="0AEE864A" w14:textId="77777777" w:rsidR="005D1D70" w:rsidRDefault="00000000">
      <w:pPr>
        <w:spacing w:before="240" w:after="240"/>
        <w:jc w:val="both"/>
        <w:rPr>
          <w:sz w:val="24"/>
          <w:szCs w:val="24"/>
        </w:rPr>
      </w:pPr>
      <w:r>
        <w:rPr>
          <w:sz w:val="24"/>
          <w:szCs w:val="24"/>
        </w:rPr>
        <w:t xml:space="preserve">Los datos serán sometidos a comprobaciones de consistencia (rangos, fechas y coherencia entre variables) y analizados en R, versión 4.4 o posterior. Se presentará un flujo de selección con el número de procedimientos identificados, pacientes elegibles, exclusiones justificadas, </w:t>
        <w:lastRenderedPageBreak/>
        <w:t>procedimientos clasificables y pacientes con información para cada desenlace. La unidad del análisis comparativo principal será el paciente y su primera cirugía índice elegible.</w:t>
      </w:r>
    </w:p>
    <w:p w14:paraId="7BA2785B" w14:textId="77777777" w:rsidR="005D1D70" w:rsidRDefault="00000000">
      <w:pPr>
        <w:spacing w:before="240" w:after="240"/>
        <w:jc w:val="both"/>
        <w:rPr>
          <w:sz w:val="24"/>
          <w:szCs w:val="24"/>
        </w:rPr>
      </w:pPr>
      <w:r>
        <w:rPr>
          <w:sz w:val="24"/>
          <w:szCs w:val="24"/>
        </w:rPr>
        <w:t>Las variables continuas se resumirán mediante media y desviación estándar o mediana y rango intercuartílico, según su distribución; las categóricas mediante frecuencias absolutas y porcentajes con su denominador. Para el desenlace primario y cada desenlace secundario se reportarán proporciones globales y por tipo de cirugía con intervalos de confianza del 95 % (método de Wilson cuando corresponda). Se informará la cantidad de datos faltantes por variable; los pacientes sin seguimiento verificable hasta 30 días no serán clasificados como vivos a los 30 días.</w:t>
      </w:r>
    </w:p>
    <w:p w14:paraId="22F03319" w14:textId="77777777" w:rsidR="005D1D70" w:rsidRDefault="00000000">
      <w:pPr>
        <w:spacing w:before="240" w:after="240"/>
        <w:jc w:val="both"/>
        <w:rPr>
          <w:sz w:val="24"/>
          <w:szCs w:val="24"/>
        </w:rPr>
      </w:pPr>
      <w:r>
        <w:rPr>
          <w:sz w:val="24"/>
          <w:szCs w:val="24"/>
        </w:rPr>
        <w:t>Se presentarán las frecuencias del desenlace primario por tipo de cirugía y las diferencias absolutas de riesgo por pares con su intervalo de confianza del 95 % (método de Newcombe), cuando sean estimables. Para evaluar de forma exploratoria las hipótesis H0 y H1 se utilizará la prueba exacta de Fisher-Freeman-Halton (extensión de la prueba exacta de Fisher a tablas de 2 × 3), preferida sobre la prueba de chi cuadrado por las frecuencias esperadas bajas. Se informará el valor p bilateral con p &lt; 0,05 como umbral convencional; si se calculan valores p para las comparaciones por pares se aplicará la corrección de Holm. Las comparaciones de desenlaces secundarios serán exploratorias, y la ausencia de significación estadística no se interpretará como equivalencia ni como seguridad.</w:t>
      </w:r>
    </w:p>
    <w:p w14:paraId="73E4F91B" w14:textId="77777777" w:rsidR="005D1D70" w:rsidRDefault="00000000">
      <w:pPr>
        <w:spacing w:before="240" w:after="240"/>
        <w:jc w:val="both"/>
        <w:rPr>
          <w:sz w:val="24"/>
          <w:szCs w:val="24"/>
        </w:rPr>
      </w:pPr>
      <w:r>
        <w:rPr>
          <w:sz w:val="24"/>
          <w:szCs w:val="24"/>
        </w:rPr>
        <w:t xml:space="preserve">Se ajustará un modelo de regresión logística exploratorio para el desenlace primario solo si se observan al menos diez eventos por parámetro estimado (50). Con el tipo de cirugía (dos variables indicadoras) y dos covariables preespecificadas —EuroSCORE II, que ya integra edad, urgencia y función ventricular, y hemoglobina preoperatoria— se requerirían al menos 40 eventos. Si no se alcanza ese número no se presentará un modelo multivariable; en su lugar se describirá el desenlace primario estratificado por urgencia (electiva frente a urgente o emergente) y por categoría de EuroSCORE II (menor de 2 %, 2 a 5 % y mayor de 5 %). Ante separación completa se utilizará la regresión logística penalizada de Firth. No se calculará potencia a posteriori; la precisión se evaluará mediante los intervalos de confianza, el número de eventos y los datos faltantes.</w:t>
      </w:r>
    </w:p>
    <w:p w14:paraId="32357566" w14:textId="77777777" w:rsidR="0044299D" w:rsidRDefault="00000000">
      <w:pPr>
        <w:spacing w:after="160"/>
        <w:jc w:val="both"/>
      </w:pPr>
      <w:r>
        <w:rPr>
          <w:b/>
          <w:bCs/>
          <w:color w:val="000000"/>
          <w:sz w:val="24"/>
          <w:szCs w:val="24"/>
        </w:rPr>
        <w:t>Datos faltantes y análisis de sensibilidad.</w:t>
      </w:r>
      <w:r>
        <w:rPr>
          <w:color w:val="000000"/>
          <w:sz w:val="24"/>
          <w:szCs w:val="24"/>
        </w:rPr>
        <w:t xml:space="preserve"> El análisis será de casos completos para cada variable, informando el denominador correspondiente; no se imputarán desenlaces. Se realizarán dos análisis de sensibilidad del desenlace primario: a) excluyendo a los pacientes que recibieron algún hemocomponente pese al rechazo inicial, y b) restringido a cirugía electiva.</w:t>
      </w:r>
    </w:p>
    <w:p w14:paraId="47E595CF" w14:textId="77777777" w:rsidR="005D1D70" w:rsidRDefault="00000000">
      <w:pPr>
        <w:spacing w:before="240" w:after="240"/>
        <w:jc w:val="both"/>
        <w:rPr>
          <w:sz w:val="24"/>
          <w:szCs w:val="24"/>
        </w:rPr>
      </w:pPr>
      <w:r>
        <w:rPr>
          <w:sz w:val="24"/>
          <w:szCs w:val="24"/>
        </w:rPr>
        <w:lastRenderedPageBreak/>
        <w:t>Las estimaciones derivadas de los análisis comparativos se interpretarán considerando el carácter observacional y retrospectivo del estudio, el tamaño de la cohorte y la posibilidad de confusión y sesgos inherentes al uso de registros clínicos secundarios. No se realizarán inferencias causales a partir de las asociaciones observadas.</w:t>
      </w:r>
    </w:p>
    <w:p w14:paraId="4DB0F22D" w14:textId="77777777" w:rsidR="005D1D70" w:rsidRDefault="005D1D70">
      <w:pPr>
        <w:spacing w:before="240" w:after="240"/>
        <w:jc w:val="both"/>
        <w:rPr>
          <w:sz w:val="24"/>
          <w:szCs w:val="24"/>
        </w:rPr>
      </w:pPr>
    </w:p>
    <w:p w14:paraId="1847893C" w14:textId="77777777" w:rsidR="005D1D70" w:rsidRDefault="00000000">
      <w:pPr>
        <w:spacing w:before="240" w:after="240"/>
        <w:jc w:val="both"/>
        <w:rPr>
          <w:b/>
          <w:bCs/>
          <w:sz w:val="24"/>
          <w:szCs w:val="24"/>
        </w:rPr>
      </w:pPr>
      <w:r>
        <w:rPr>
          <w:b/>
          <w:bCs/>
          <w:sz w:val="24"/>
          <w:szCs w:val="24"/>
        </w:rPr>
        <w:t>3.7.1  Posibles sesgos y estrategias de control</w:t>
      </w:r>
    </w:p>
    <w:p w14:paraId="0B6870F5" w14:textId="77777777" w:rsidR="005D1D70" w:rsidRDefault="00000000">
      <w:pPr>
        <w:spacing w:before="240" w:after="240"/>
        <w:jc w:val="both"/>
        <w:rPr>
          <w:sz w:val="24"/>
          <w:szCs w:val="24"/>
        </w:rPr>
      </w:pPr>
      <w:r>
        <w:rPr>
          <w:sz w:val="24"/>
          <w:szCs w:val="24"/>
        </w:rPr>
        <w:t xml:space="preserve">Los posibles sesgos incluyen: a) sesgo de selección por una búsqueda poco sensible de casos o por historias no disponibles, que se mitigará con la búsqueda en múltiples fuentes y el registro del aporte de cada una; b) sesgo de información por errores de clasificación de procedimientos o complicaciones, que se reducirá con definiciones operativas objetivas en lugar de diagnósticos anotados, doble extracción de una muestra y evaluación de la concordancia; c) seguimiento incompleto a 30 días, que se hará explícito sin asumir que los pacientes sin información están vivos; y d) confusión por indicación, dado que el tipo de cirugía se asocia con la urgencia y el riesgo basal, que se abordará mediante estratificación por urgencia y EuroSCORE II. Persistirá la posibilidad de confusión residual y no se atribuirán efectos causales al tipo de cirugía.</w:t>
      </w:r>
      <w:r>
        <w:rPr>
          <w:color w:val="000000"/>
          <w:sz w:val="24"/>
          <w:szCs w:val="24"/>
          <w:highlight w:val="yellow"/>
        </w:rPr>
        <w:t xml:space="preserve"> Por último, la validez temporal de los resultados se limita al contexto clínico y religioso de 2020–2025; no se extrapolarán a pacientes atendidos después de las comunicaciones de 2026 (numeral 2.1.5).</w:t>
      </w:r>
    </w:p>
    <w:p w14:paraId="40C21649" w14:textId="77777777" w:rsidR="005D1D70" w:rsidRDefault="005D1D70">
      <w:pPr>
        <w:spacing w:after="0"/>
        <w:rPr>
          <w:b/>
          <w:bCs/>
          <w:sz w:val="24"/>
          <w:szCs w:val="24"/>
        </w:rPr>
      </w:pPr>
    </w:p>
    <w:p w14:paraId="70DDB998" w14:textId="77777777" w:rsidR="005D1D70" w:rsidRDefault="00000000">
      <w:pPr>
        <w:pStyle w:val="Ttulo2"/>
        <w:numPr>
          <w:ilvl w:val="1"/>
          <w:numId w:val="2"/>
        </w:numPr>
        <w:spacing w:before="0"/>
        <w:rPr>
          <w:rFonts w:ascii="Calibri" w:eastAsia="Calibri" w:hAnsi="Calibri" w:cs="Calibri"/>
          <w:color w:val="000000"/>
          <w:sz w:val="24"/>
          <w:szCs w:val="24"/>
        </w:rPr>
      </w:pPr>
      <w:bookmarkStart w:id="22" w:name="_heading=h.9pt8rctpz78v" w:colFirst="0" w:colLast="0"/>
      <w:bookmarkEnd w:id="22"/>
      <w:r>
        <w:rPr>
          <w:rFonts w:ascii="Calibri" w:eastAsia="Calibri" w:hAnsi="Calibri" w:cs="Calibri"/>
          <w:color w:val="000000"/>
          <w:sz w:val="24"/>
          <w:szCs w:val="24"/>
        </w:rPr>
        <w:t>Operacionalización de variables</w:t>
      </w:r>
    </w:p>
    <w:p w14:paraId="0525FC93" w14:textId="77777777" w:rsidR="0044299D" w:rsidRDefault="00000000">
      <w:pPr>
        <w:spacing w:after="160"/>
        <w:jc w:val="both"/>
      </w:pPr>
      <w:r>
        <w:rPr>
          <w:color w:val="000000"/>
          <w:sz w:val="24"/>
          <w:szCs w:val="24"/>
        </w:rPr>
        <w:t xml:space="preserve">Las variables se organizan por dominio en la Tabla 3. Los componentes del desenlace primario se alinean con el compuesto de morbilidad o mortalidad mayor de la Society of Thoracic Surgeons (37), con la adición de shock cardiogénico y de infecciones graves por su relevancia en pacientes con anemia grave. Se preferirán criterios objetivos sobre los diagnósticos anotados en la historia clínica.</w:t>
      </w:r>
    </w:p>
    <w:p w14:paraId="1D574CBA" w14:textId="77777777" w:rsidR="0044299D" w:rsidRDefault="00000000">
      <w:pPr>
        <w:keepNext/>
        <w:spacing w:before="120" w:after="80"/>
      </w:pPr>
      <w:r>
        <w:rPr>
          <w:b/>
          <w:bCs/>
          <w:color w:val="000000"/>
        </w:rPr>
        <w:t>Tabla 3.</w:t>
      </w:r>
      <w:r>
        <w:rPr>
          <w:color w:val="000000"/>
        </w:rPr>
        <w:t xml:space="preserve"> Operacionalización de variables</w:t>
      </w:r>
    </w:p>
    <w:tbl>
      <w:tblPr>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900"/>
        <w:gridCol w:w="3504"/>
        <w:gridCol w:w="1100"/>
        <w:gridCol w:w="1100"/>
        <w:gridCol w:w="1800"/>
      </w:tblGrid>
      <w:tr w:rsidR="0044299D" w14:paraId="12275045" w14:textId="77777777">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39272D53" w14:textId="77777777" w:rsidR="0044299D" w:rsidRDefault="00000000">
            <w:pPr>
              <w:spacing w:after="0" w:line="240" w:lineRule="auto"/>
              <w:jc w:val="center"/>
            </w:pPr>
            <w:r>
              <w:rPr>
                <w:b/>
                <w:bCs/>
                <w:color w:val="000000"/>
                <w:sz w:val="16"/>
                <w:szCs w:val="16"/>
              </w:rPr>
              <w:t>Variable</w:t>
            </w:r>
          </w:p>
        </w:tc>
        <w:tc>
          <w:tcPr>
            <w:tcW w:w="3504"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2F029402" w14:textId="77777777" w:rsidR="0044299D" w:rsidRDefault="00000000">
            <w:pPr>
              <w:spacing w:after="0" w:line="240" w:lineRule="auto"/>
              <w:jc w:val="center"/>
            </w:pPr>
            <w:r>
              <w:rPr>
                <w:b/>
                <w:bCs/>
                <w:color w:val="000000"/>
                <w:sz w:val="16"/>
                <w:szCs w:val="16"/>
              </w:rPr>
              <w:t>Definición operacional</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10F4D5D0" w14:textId="77777777" w:rsidR="0044299D" w:rsidRDefault="00000000">
            <w:pPr>
              <w:spacing w:after="0" w:line="240" w:lineRule="auto"/>
              <w:jc w:val="center"/>
            </w:pPr>
            <w:r>
              <w:rPr>
                <w:b/>
                <w:bCs/>
                <w:color w:val="000000"/>
                <w:sz w:val="16"/>
                <w:szCs w:val="16"/>
              </w:rPr>
              <w:t>Naturaleza</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1BBB522C" w14:textId="77777777" w:rsidR="0044299D" w:rsidRDefault="00000000">
            <w:pPr>
              <w:spacing w:after="0" w:line="240" w:lineRule="auto"/>
              <w:jc w:val="center"/>
            </w:pPr>
            <w:r>
              <w:rPr>
                <w:b/>
                <w:bCs/>
                <w:color w:val="000000"/>
                <w:sz w:val="16"/>
                <w:szCs w:val="16"/>
              </w:rPr>
              <w:t>Nivel de medición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7C4C3201" w14:textId="77777777" w:rsidR="0044299D" w:rsidRDefault="00000000">
            <w:pPr>
              <w:spacing w:after="0" w:line="240" w:lineRule="auto"/>
              <w:jc w:val="center"/>
            </w:pPr>
            <w:r>
              <w:rPr>
                <w:b/>
                <w:bCs/>
                <w:color w:val="000000"/>
                <w:sz w:val="16"/>
                <w:szCs w:val="16"/>
              </w:rPr>
              <w:t>Indicador / categorías</w:t>
            </w:r>
          </w:p>
        </w:tc>
      </w:tr>
      <w:tr w:rsidR="0044299D" w14:paraId="55461407" w14:textId="77777777">
        <w:trPr>
          <w:cantSplit/>
          <w:jc w:val="center"/>
        </w:trPr>
        <w:tc>
          <w:tcPr>
            <w:tcW w:w="9404" w:type="dxa"/>
            <w:gridSpan w:val="5"/>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093F1CF2" w14:textId="77777777" w:rsidR="0044299D" w:rsidRDefault="00000000">
            <w:pPr>
              <w:spacing w:after="0" w:line="240" w:lineRule="auto"/>
            </w:pPr>
            <w:r>
              <w:rPr>
                <w:b/>
                <w:bCs/>
                <w:color w:val="000000"/>
                <w:sz w:val="16"/>
                <w:szCs w:val="16"/>
              </w:rPr>
              <w:t>Clasificación del procedimiento (variable de exposición)</w:t>
            </w:r>
          </w:p>
        </w:tc>
      </w:tr>
      <w:tr w:rsidR="0044299D" w14:paraId="7FC3DD58"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7B3F82" w14:textId="77777777" w:rsidR="0044299D" w:rsidRDefault="00000000">
            <w:pPr>
              <w:spacing w:after="0" w:line="240" w:lineRule="auto"/>
            </w:pPr>
            <w:r>
              <w:rPr>
                <w:b/>
                <w:bCs/>
                <w:color w:val="000000"/>
                <w:sz w:val="16"/>
                <w:szCs w:val="16"/>
              </w:rPr>
              <w:t>Tipo de procedimiento</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405ECE" w14:textId="77777777" w:rsidR="0044299D" w:rsidRDefault="00000000">
            <w:pPr>
              <w:spacing w:after="0" w:line="240" w:lineRule="auto"/>
            </w:pPr>
            <w:r>
              <w:rPr>
                <w:color w:val="000000"/>
                <w:sz w:val="16"/>
                <w:szCs w:val="16"/>
              </w:rPr>
              <w:t>Procedimiento realizado en la cirugía índice según la nota operatoria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81D2FD"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87F8B2" w14:textId="77777777" w:rsidR="0044299D" w:rsidRDefault="00000000">
            <w:pPr>
              <w:spacing w:after="0" w:line="240" w:lineRule="auto"/>
            </w:pPr>
            <w:r>
              <w:rPr>
                <w:color w:val="000000"/>
                <w:sz w:val="16"/>
                <w:szCs w:val="16"/>
              </w:rPr>
              <w:t>Nominal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5C94C3" w14:textId="77777777" w:rsidR="0044299D" w:rsidRDefault="00000000">
            <w:pPr>
              <w:spacing w:after="0" w:line="240" w:lineRule="auto"/>
            </w:pPr>
            <w:r>
              <w:rPr>
                <w:color w:val="000000"/>
                <w:sz w:val="16"/>
                <w:szCs w:val="16"/>
              </w:rPr>
              <w:t>Revascularización coronaria / valvular / combinada / otro (descripción separada)</w:t>
            </w:r>
          </w:p>
        </w:tc>
      </w:tr>
      <w:tr w:rsidR="0044299D" w14:paraId="459E045A"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0F7760" w14:textId="77777777" w:rsidR="0044299D" w:rsidRDefault="00000000">
            <w:pPr>
              <w:spacing w:after="0" w:line="240" w:lineRule="auto"/>
            </w:pPr>
            <w:r>
              <w:rPr>
                <w:b/>
                <w:bCs/>
                <w:color w:val="000000"/>
                <w:sz w:val="16"/>
                <w:szCs w:val="16"/>
              </w:rPr>
              <w:t>Número de injertos</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6361D6" w14:textId="77777777" w:rsidR="0044299D" w:rsidRDefault="00000000">
            <w:pPr>
              <w:spacing w:after="0" w:line="240" w:lineRule="auto"/>
            </w:pPr>
            <w:r>
              <w:rPr>
                <w:color w:val="000000"/>
                <w:sz w:val="16"/>
                <w:szCs w:val="16"/>
              </w:rPr>
              <w:t>Número de anastomosis coronarias distales</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AD1EEB" w14:textId="77777777" w:rsidR="0044299D" w:rsidRDefault="00000000">
            <w:pPr>
              <w:spacing w:after="0" w:line="240" w:lineRule="auto"/>
            </w:pPr>
            <w:r>
              <w:rPr>
                <w:color w:val="000000"/>
                <w:sz w:val="16"/>
                <w:szCs w:val="16"/>
              </w:rPr>
              <w:t>Cuantitativa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87DE7B" w14:textId="77777777" w:rsidR="0044299D" w:rsidRDefault="00000000">
            <w:pPr>
              <w:spacing w:after="0" w:line="240" w:lineRule="auto"/>
            </w:pPr>
            <w:r>
              <w:rPr>
                <w:color w:val="000000"/>
                <w:sz w:val="16"/>
                <w:szCs w:val="16"/>
              </w:rPr>
              <w:t>Razón</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6F0EF8" w14:textId="77777777" w:rsidR="0044299D" w:rsidRDefault="00000000">
            <w:pPr>
              <w:spacing w:after="0" w:line="240" w:lineRule="auto"/>
            </w:pPr>
            <w:r>
              <w:rPr>
                <w:color w:val="000000"/>
                <w:sz w:val="16"/>
                <w:szCs w:val="16"/>
              </w:rPr>
              <w:t>Número</w:t>
            </w:r>
          </w:p>
        </w:tc>
      </w:tr>
      <w:tr w:rsidR="0044299D" w14:paraId="6328941A"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19DCBE" w14:textId="77777777" w:rsidR="0044299D" w:rsidRDefault="00000000">
            <w:pPr>
              <w:spacing w:after="0" w:line="240" w:lineRule="auto"/>
            </w:pPr>
            <w:r>
              <w:rPr>
                <w:b/>
                <w:bCs/>
                <w:color w:val="000000"/>
                <w:sz w:val="16"/>
                <w:szCs w:val="16"/>
              </w:rPr>
              <w:t>Válvulas intervenidas</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363C04" w14:textId="77777777" w:rsidR="0044299D" w:rsidRDefault="00000000">
            <w:pPr>
              <w:spacing w:after="0" w:line="240" w:lineRule="auto"/>
            </w:pPr>
            <w:r>
              <w:rPr>
                <w:color w:val="000000"/>
                <w:sz w:val="16"/>
                <w:szCs w:val="16"/>
              </w:rPr>
              <w:t>Válvulas intervenidas y tipo de intervención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A93AE0"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44598C" w14:textId="77777777" w:rsidR="0044299D" w:rsidRDefault="00000000">
            <w:pPr>
              <w:spacing w:after="0" w:line="240" w:lineRule="auto"/>
            </w:pPr>
            <w:r>
              <w:rPr>
                <w:color w:val="000000"/>
                <w:sz w:val="16"/>
                <w:szCs w:val="16"/>
              </w:rPr>
              <w:t>Nominal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2C3636" w14:textId="77777777" w:rsidR="0044299D" w:rsidRDefault="00000000">
            <w:pPr>
              <w:spacing w:after="0" w:line="240" w:lineRule="auto"/>
            </w:pPr>
            <w:r>
              <w:rPr>
                <w:color w:val="000000"/>
                <w:sz w:val="16"/>
                <w:szCs w:val="16"/>
              </w:rPr>
              <w:t xml:space="preserve">Aórtica, mitral, tricuspídea, pulmonar; prótesis mecánica, prótesis biológica o reparación</w:t>
            </w:r>
          </w:p>
        </w:tc>
      </w:tr>
      <w:tr w:rsidR="0044299D" w14:paraId="622A841E"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C68529" w14:textId="77777777" w:rsidR="0044299D" w:rsidRDefault="00000000">
            <w:pPr>
              <w:spacing w:after="0" w:line="240" w:lineRule="auto"/>
            </w:pPr>
            <w:r>
              <w:rPr>
                <w:b/>
                <w:bCs/>
                <w:color w:val="000000"/>
                <w:sz w:val="16"/>
                <w:szCs w:val="16"/>
              </w:rPr>
              <w:t>Año de la cirugía</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EF35F6" w14:textId="77777777" w:rsidR="0044299D" w:rsidRDefault="00000000">
            <w:pPr>
              <w:spacing w:after="0" w:line="240" w:lineRule="auto"/>
            </w:pPr>
            <w:r>
              <w:rPr>
                <w:color w:val="000000"/>
                <w:sz w:val="16"/>
                <w:szCs w:val="16"/>
              </w:rPr>
              <w:t>Año calendario de la cirugía índice</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F5DD74"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3DA919" w14:textId="77777777" w:rsidR="0044299D" w:rsidRDefault="00000000">
            <w:pPr>
              <w:spacing w:after="0" w:line="240" w:lineRule="auto"/>
            </w:pPr>
            <w:r>
              <w:rPr>
                <w:color w:val="000000"/>
                <w:sz w:val="16"/>
                <w:szCs w:val="16"/>
              </w:rPr>
              <w:t>Ordinal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8CE499" w14:textId="77777777" w:rsidR="0044299D" w:rsidRDefault="00000000">
            <w:pPr>
              <w:spacing w:after="0" w:line="240" w:lineRule="auto"/>
            </w:pPr>
            <w:r>
              <w:rPr>
                <w:color w:val="000000"/>
                <w:sz w:val="16"/>
                <w:szCs w:val="16"/>
              </w:rPr>
              <w:t>2020 a 2025</w:t>
            </w:r>
          </w:p>
        </w:tc>
      </w:tr>
      <w:tr w:rsidR="0044299D" w14:paraId="7810ACAC" w14:textId="77777777">
        <w:trPr>
          <w:cantSplit/>
          <w:jc w:val="center"/>
        </w:trPr>
        <w:tc>
          <w:tcPr>
            <w:tcW w:w="9404" w:type="dxa"/>
            <w:gridSpan w:val="5"/>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141B5821" w14:textId="77777777" w:rsidR="0044299D" w:rsidRDefault="00000000">
            <w:pPr>
              <w:spacing w:after="0" w:line="240" w:lineRule="auto"/>
            </w:pPr>
            <w:r>
              <w:rPr>
                <w:b/>
                <w:bCs/>
                <w:color w:val="000000"/>
                <w:sz w:val="16"/>
                <w:szCs w:val="16"/>
              </w:rPr>
              <w:lastRenderedPageBreak/>
              <w:t>Variables sociodemográficas y antropométricas</w:t>
            </w:r>
          </w:p>
        </w:tc>
      </w:tr>
      <w:tr w:rsidR="0044299D" w14:paraId="284B4F98"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BD35A6" w14:textId="77777777" w:rsidR="0044299D" w:rsidRDefault="00000000">
            <w:pPr>
              <w:spacing w:after="0" w:line="240" w:lineRule="auto"/>
            </w:pPr>
            <w:r>
              <w:rPr>
                <w:b/>
                <w:bCs/>
                <w:color w:val="000000"/>
                <w:sz w:val="16"/>
                <w:szCs w:val="16"/>
              </w:rPr>
              <w:t>Edad</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C00230" w14:textId="77777777" w:rsidR="0044299D" w:rsidRDefault="00000000">
            <w:pPr>
              <w:spacing w:after="0" w:line="240" w:lineRule="auto"/>
            </w:pPr>
            <w:r>
              <w:rPr>
                <w:color w:val="000000"/>
                <w:sz w:val="16"/>
                <w:szCs w:val="16"/>
              </w:rPr>
              <w:t>Años cumplidos a la fecha de la cirugía índice</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20BFF5" w14:textId="77777777" w:rsidR="0044299D" w:rsidRDefault="00000000">
            <w:pPr>
              <w:spacing w:after="0" w:line="240" w:lineRule="auto"/>
            </w:pPr>
            <w:r>
              <w:rPr>
                <w:color w:val="000000"/>
                <w:sz w:val="16"/>
                <w:szCs w:val="16"/>
              </w:rPr>
              <w:t>Cuantitativa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70EFA6" w14:textId="77777777" w:rsidR="0044299D" w:rsidRDefault="00000000">
            <w:pPr>
              <w:spacing w:after="0" w:line="240" w:lineRule="auto"/>
            </w:pPr>
            <w:r>
              <w:rPr>
                <w:color w:val="000000"/>
                <w:sz w:val="16"/>
                <w:szCs w:val="16"/>
              </w:rPr>
              <w:t>Razón</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A67E62" w14:textId="77777777" w:rsidR="0044299D" w:rsidRDefault="00000000">
            <w:pPr>
              <w:spacing w:after="0" w:line="240" w:lineRule="auto"/>
            </w:pPr>
            <w:r>
              <w:rPr>
                <w:color w:val="000000"/>
                <w:sz w:val="16"/>
                <w:szCs w:val="16"/>
              </w:rPr>
              <w:t>Años</w:t>
            </w:r>
          </w:p>
        </w:tc>
      </w:tr>
      <w:tr w:rsidR="0044299D" w14:paraId="16E46ACC"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393376" w14:textId="77777777" w:rsidR="0044299D" w:rsidRDefault="00000000">
            <w:pPr>
              <w:spacing w:after="0" w:line="240" w:lineRule="auto"/>
            </w:pPr>
            <w:r>
              <w:rPr>
                <w:b/>
                <w:bCs/>
                <w:color w:val="000000"/>
                <w:sz w:val="16"/>
                <w:szCs w:val="16"/>
              </w:rPr>
              <w:t>Sexo</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782D60" w14:textId="77777777" w:rsidR="0044299D" w:rsidRDefault="00000000">
            <w:pPr>
              <w:spacing w:after="0" w:line="240" w:lineRule="auto"/>
            </w:pPr>
            <w:r>
              <w:rPr>
                <w:color w:val="000000"/>
                <w:sz w:val="16"/>
                <w:szCs w:val="16"/>
              </w:rPr>
              <w:t>Sexo registrado en la historia clínica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71B14A"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AB2F90" w14:textId="77777777" w:rsidR="0044299D" w:rsidRDefault="00000000">
            <w:pPr>
              <w:spacing w:after="0" w:line="240" w:lineRule="auto"/>
            </w:pPr>
            <w:r>
              <w:rPr>
                <w:color w:val="000000"/>
                <w:sz w:val="16"/>
                <w:szCs w:val="16"/>
              </w:rPr>
              <w:t>Nominal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4C6C53" w14:textId="77777777" w:rsidR="0044299D" w:rsidRDefault="00000000">
            <w:pPr>
              <w:spacing w:after="0" w:line="240" w:lineRule="auto"/>
            </w:pPr>
            <w:r>
              <w:rPr>
                <w:color w:val="000000"/>
                <w:sz w:val="16"/>
                <w:szCs w:val="16"/>
              </w:rPr>
              <w:t>Masculino / Femenino</w:t>
            </w:r>
          </w:p>
        </w:tc>
      </w:tr>
      <w:tr w:rsidR="0044299D" w14:paraId="138C060F"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E1C1E4" w14:textId="77777777" w:rsidR="0044299D" w:rsidRDefault="00000000">
            <w:pPr>
              <w:spacing w:after="0" w:line="240" w:lineRule="auto"/>
            </w:pPr>
            <w:r>
              <w:rPr>
                <w:b/>
                <w:bCs/>
                <w:color w:val="000000"/>
                <w:sz w:val="16"/>
                <w:szCs w:val="16"/>
              </w:rPr>
              <w:t>Peso y talla</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D820FF" w14:textId="77777777" w:rsidR="0044299D" w:rsidRDefault="00000000">
            <w:pPr>
              <w:spacing w:after="0" w:line="240" w:lineRule="auto"/>
            </w:pPr>
            <w:r>
              <w:rPr>
                <w:color w:val="000000"/>
                <w:sz w:val="16"/>
                <w:szCs w:val="16"/>
              </w:rPr>
              <w:t>Último registro preoperatorio</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768FF4" w14:textId="77777777" w:rsidR="0044299D" w:rsidRDefault="00000000">
            <w:pPr>
              <w:spacing w:after="0" w:line="240" w:lineRule="auto"/>
            </w:pPr>
            <w:r>
              <w:rPr>
                <w:color w:val="000000"/>
                <w:sz w:val="16"/>
                <w:szCs w:val="16"/>
              </w:rPr>
              <w:t>Cuantitativa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7D821E" w14:textId="77777777" w:rsidR="0044299D" w:rsidRDefault="00000000">
            <w:pPr>
              <w:spacing w:after="0" w:line="240" w:lineRule="auto"/>
            </w:pPr>
            <w:r>
              <w:rPr>
                <w:color w:val="000000"/>
                <w:sz w:val="16"/>
                <w:szCs w:val="16"/>
              </w:rPr>
              <w:t>Razón</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F5AA1D" w14:textId="77777777" w:rsidR="0044299D" w:rsidRDefault="00000000">
            <w:pPr>
              <w:spacing w:after="0" w:line="240" w:lineRule="auto"/>
            </w:pPr>
            <w:r>
              <w:rPr>
                <w:color w:val="000000"/>
                <w:sz w:val="16"/>
                <w:szCs w:val="16"/>
              </w:rPr>
              <w:t>Kilogramos; centímetros</w:t>
            </w:r>
          </w:p>
        </w:tc>
      </w:tr>
      <w:tr w:rsidR="0044299D" w14:paraId="3B595A47"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D13A06" w14:textId="77777777" w:rsidR="0044299D" w:rsidRDefault="00000000">
            <w:pPr>
              <w:spacing w:after="0" w:line="240" w:lineRule="auto"/>
            </w:pPr>
            <w:r>
              <w:rPr>
                <w:b/>
                <w:bCs/>
                <w:color w:val="000000"/>
                <w:sz w:val="16"/>
                <w:szCs w:val="16"/>
              </w:rPr>
              <w:t>Índice de masa corporal</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ABEA72" w14:textId="77777777" w:rsidR="0044299D" w:rsidRDefault="00000000">
            <w:pPr>
              <w:spacing w:after="0" w:line="240" w:lineRule="auto"/>
            </w:pPr>
            <w:r>
              <w:rPr>
                <w:color w:val="000000"/>
                <w:sz w:val="16"/>
                <w:szCs w:val="16"/>
              </w:rPr>
              <w:t>Peso (kilogramos) / talla (metros) al cuadrado</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4DF168" w14:textId="77777777" w:rsidR="0044299D" w:rsidRDefault="00000000">
            <w:pPr>
              <w:spacing w:after="0" w:line="240" w:lineRule="auto"/>
            </w:pPr>
            <w:r>
              <w:rPr>
                <w:color w:val="000000"/>
                <w:sz w:val="16"/>
                <w:szCs w:val="16"/>
              </w:rPr>
              <w:t>Cuantitativa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32DC07" w14:textId="77777777" w:rsidR="0044299D" w:rsidRDefault="00000000">
            <w:pPr>
              <w:spacing w:after="0" w:line="240" w:lineRule="auto"/>
            </w:pPr>
            <w:r>
              <w:rPr>
                <w:color w:val="000000"/>
                <w:sz w:val="16"/>
                <w:szCs w:val="16"/>
              </w:rPr>
              <w:t>Razón</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2FC9B0" w14:textId="77777777" w:rsidR="0044299D" w:rsidRDefault="00000000">
            <w:pPr>
              <w:spacing w:after="0" w:line="240" w:lineRule="auto"/>
            </w:pPr>
            <w:r>
              <w:rPr>
                <w:color w:val="000000"/>
                <w:sz w:val="16"/>
                <w:szCs w:val="16"/>
              </w:rPr>
              <w:t>kg/m²</w:t>
            </w:r>
          </w:p>
        </w:tc>
      </w:tr>
      <w:tr w:rsidR="0044299D" w14:paraId="1EAE525E"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E91A80" w14:textId="77777777" w:rsidR="0044299D" w:rsidRDefault="00000000">
            <w:pPr>
              <w:spacing w:after="0" w:line="240" w:lineRule="auto"/>
            </w:pPr>
            <w:r>
              <w:rPr>
                <w:b/>
                <w:bCs/>
                <w:color w:val="000000"/>
                <w:sz w:val="16"/>
                <w:szCs w:val="16"/>
              </w:rPr>
              <w:t>Superficie corporal</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AA8FFF" w14:textId="77777777" w:rsidR="0044299D" w:rsidRDefault="00000000">
            <w:pPr>
              <w:spacing w:after="0" w:line="240" w:lineRule="auto"/>
            </w:pPr>
            <w:r>
              <w:rPr>
                <w:color w:val="000000"/>
                <w:sz w:val="16"/>
                <w:szCs w:val="16"/>
              </w:rPr>
              <w:t>Fórmula de Mosteller</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62E7E8" w14:textId="77777777" w:rsidR="0044299D" w:rsidRDefault="00000000">
            <w:pPr>
              <w:spacing w:after="0" w:line="240" w:lineRule="auto"/>
            </w:pPr>
            <w:r>
              <w:rPr>
                <w:color w:val="000000"/>
                <w:sz w:val="16"/>
                <w:szCs w:val="16"/>
              </w:rPr>
              <w:t>Cuantitativa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676095" w14:textId="77777777" w:rsidR="0044299D" w:rsidRDefault="00000000">
            <w:pPr>
              <w:spacing w:after="0" w:line="240" w:lineRule="auto"/>
            </w:pPr>
            <w:r>
              <w:rPr>
                <w:color w:val="000000"/>
                <w:sz w:val="16"/>
                <w:szCs w:val="16"/>
              </w:rPr>
              <w:t>Razón</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F121E6" w14:textId="77777777" w:rsidR="0044299D" w:rsidRDefault="00000000">
            <w:pPr>
              <w:spacing w:after="0" w:line="240" w:lineRule="auto"/>
            </w:pPr>
            <w:r>
              <w:rPr>
                <w:color w:val="000000"/>
                <w:sz w:val="16"/>
                <w:szCs w:val="16"/>
              </w:rPr>
              <w:t>m²</w:t>
            </w:r>
          </w:p>
        </w:tc>
      </w:tr>
      <w:tr w:rsidR="0044299D" w14:paraId="677F9761" w14:textId="77777777">
        <w:trPr>
          <w:cantSplit/>
          <w:jc w:val="center"/>
        </w:trPr>
        <w:tc>
          <w:tcPr>
            <w:tcW w:w="9404" w:type="dxa"/>
            <w:gridSpan w:val="5"/>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209AA383" w14:textId="77777777" w:rsidR="0044299D" w:rsidRDefault="00000000">
            <w:pPr>
              <w:spacing w:after="0" w:line="240" w:lineRule="auto"/>
            </w:pPr>
            <w:r>
              <w:rPr>
                <w:b/>
                <w:bCs/>
                <w:color w:val="000000"/>
                <w:sz w:val="16"/>
                <w:szCs w:val="16"/>
              </w:rPr>
              <w:t>Riesgo quirúrgico y estado clínico preoperatorio</w:t>
            </w:r>
          </w:p>
        </w:tc>
      </w:tr>
      <w:tr w:rsidR="0044299D" w14:paraId="5327DD4E"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DF4652" w14:textId="77777777" w:rsidR="0044299D" w:rsidRDefault="00000000">
            <w:pPr>
              <w:spacing w:after="0" w:line="240" w:lineRule="auto"/>
            </w:pPr>
            <w:r>
              <w:rPr>
                <w:b/>
                <w:bCs/>
                <w:color w:val="000000"/>
                <w:sz w:val="16"/>
                <w:szCs w:val="16"/>
              </w:rPr>
              <w:t xml:space="preserve">EuroSCORE II</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9988B7" w14:textId="77777777" w:rsidR="0044299D" w:rsidRDefault="00000000">
            <w:pPr>
              <w:spacing w:after="0" w:line="240" w:lineRule="auto"/>
            </w:pPr>
            <w:r>
              <w:rPr>
                <w:color w:val="000000"/>
                <w:sz w:val="16"/>
                <w:szCs w:val="16"/>
              </w:rPr>
              <w:t>Mortalidad hospitalaria predicha, calculada con las variables del modelo (43)</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1E8E8D" w14:textId="77777777" w:rsidR="0044299D" w:rsidRDefault="00000000">
            <w:pPr>
              <w:spacing w:after="0" w:line="240" w:lineRule="auto"/>
            </w:pPr>
            <w:r>
              <w:rPr>
                <w:color w:val="000000"/>
                <w:sz w:val="16"/>
                <w:szCs w:val="16"/>
              </w:rPr>
              <w:t>Cuantitativa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4F884B" w14:textId="77777777" w:rsidR="0044299D" w:rsidRDefault="00000000">
            <w:pPr>
              <w:spacing w:after="0" w:line="240" w:lineRule="auto"/>
            </w:pPr>
            <w:r>
              <w:rPr>
                <w:color w:val="000000"/>
                <w:sz w:val="16"/>
                <w:szCs w:val="16"/>
              </w:rPr>
              <w:t>Razón</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2C939E" w14:textId="77777777" w:rsidR="0044299D" w:rsidRDefault="00000000">
            <w:pPr>
              <w:spacing w:after="0" w:line="240" w:lineRule="auto"/>
            </w:pPr>
            <w:r>
              <w:rPr>
                <w:color w:val="000000"/>
                <w:sz w:val="16"/>
                <w:szCs w:val="16"/>
              </w:rPr>
              <w:t>Porcentaje</w:t>
            </w:r>
          </w:p>
        </w:tc>
      </w:tr>
      <w:tr w:rsidR="0044299D" w14:paraId="75AD192A"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61C90F" w14:textId="77777777" w:rsidR="0044299D" w:rsidRDefault="00000000">
            <w:pPr>
              <w:spacing w:after="0" w:line="240" w:lineRule="auto"/>
            </w:pPr>
            <w:r>
              <w:rPr>
                <w:b/>
                <w:bCs/>
                <w:color w:val="000000"/>
                <w:sz w:val="16"/>
                <w:szCs w:val="16"/>
              </w:rPr>
              <w:t xml:space="preserve">Categoría de EuroSCORE II</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6B287B" w14:textId="77777777" w:rsidR="0044299D" w:rsidRDefault="00000000">
            <w:pPr>
              <w:spacing w:after="0" w:line="240" w:lineRule="auto"/>
            </w:pPr>
            <w:r>
              <w:rPr>
                <w:color w:val="000000"/>
                <w:sz w:val="16"/>
                <w:szCs w:val="16"/>
              </w:rPr>
              <w:t>Estratificación del riesgo predicho</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FCBCF7"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EA381B" w14:textId="77777777" w:rsidR="0044299D" w:rsidRDefault="00000000">
            <w:pPr>
              <w:spacing w:after="0" w:line="240" w:lineRule="auto"/>
            </w:pPr>
            <w:r>
              <w:rPr>
                <w:color w:val="000000"/>
                <w:sz w:val="16"/>
                <w:szCs w:val="16"/>
              </w:rPr>
              <w:t>Ordinal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773EB3" w14:textId="77777777" w:rsidR="0044299D" w:rsidRDefault="00000000">
            <w:pPr>
              <w:spacing w:after="0" w:line="240" w:lineRule="auto"/>
            </w:pPr>
            <w:r>
              <w:rPr>
                <w:color w:val="000000"/>
                <w:sz w:val="16"/>
                <w:szCs w:val="16"/>
              </w:rPr>
              <w:t>Menor de 2 % / 2 a 5 % / mayor de 5 %</w:t>
            </w:r>
          </w:p>
        </w:tc>
      </w:tr>
      <w:tr w:rsidR="0044299D" w14:paraId="563AC250"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AB4CAF" w14:textId="77777777" w:rsidR="0044299D" w:rsidRDefault="00000000">
            <w:pPr>
              <w:spacing w:after="0" w:line="240" w:lineRule="auto"/>
            </w:pPr>
            <w:r>
              <w:rPr>
                <w:b/>
                <w:bCs/>
                <w:color w:val="000000"/>
                <w:sz w:val="16"/>
                <w:szCs w:val="16"/>
              </w:rPr>
              <w:t>Urgencia de la cirugía</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A982C2" w14:textId="77777777" w:rsidR="0044299D" w:rsidRDefault="00000000">
            <w:pPr>
              <w:spacing w:after="0" w:line="240" w:lineRule="auto"/>
            </w:pPr>
            <w:r>
              <w:rPr>
                <w:color w:val="000000"/>
                <w:sz w:val="16"/>
                <w:szCs w:val="16"/>
              </w:rPr>
              <w:t xml:space="preserve">Definiciones del EuroSCORE II: electiva; urgente (hospitalizado que no puede egresar antes de la cirugía); emergente (antes del inicio de la siguiente jornada); de rescate (reanimación en curso)</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0A1442"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B80245" w14:textId="77777777" w:rsidR="0044299D" w:rsidRDefault="00000000">
            <w:pPr>
              <w:spacing w:after="0" w:line="240" w:lineRule="auto"/>
            </w:pPr>
            <w:r>
              <w:rPr>
                <w:color w:val="000000"/>
                <w:sz w:val="16"/>
                <w:szCs w:val="16"/>
              </w:rPr>
              <w:t>Ordinal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3BBFD2" w14:textId="77777777" w:rsidR="0044299D" w:rsidRDefault="00000000">
            <w:pPr>
              <w:spacing w:after="0" w:line="240" w:lineRule="auto"/>
            </w:pPr>
            <w:r>
              <w:rPr>
                <w:color w:val="000000"/>
                <w:sz w:val="16"/>
                <w:szCs w:val="16"/>
              </w:rPr>
              <w:t>Electiva / urgente / emergente / de rescate / no consta</w:t>
            </w:r>
          </w:p>
        </w:tc>
      </w:tr>
      <w:tr w:rsidR="0044299D" w14:paraId="05D23053"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3D6DFA" w14:textId="77777777" w:rsidR="0044299D" w:rsidRDefault="00000000">
            <w:pPr>
              <w:spacing w:after="0" w:line="240" w:lineRule="auto"/>
            </w:pPr>
            <w:r>
              <w:rPr>
                <w:b/>
                <w:bCs/>
                <w:color w:val="000000"/>
                <w:sz w:val="16"/>
                <w:szCs w:val="16"/>
              </w:rPr>
              <w:t>Cirugía cardiaca previa</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B0CD68" w14:textId="77777777" w:rsidR="0044299D" w:rsidRDefault="00000000">
            <w:pPr>
              <w:spacing w:after="0" w:line="240" w:lineRule="auto"/>
            </w:pPr>
            <w:r>
              <w:rPr>
                <w:color w:val="000000"/>
                <w:sz w:val="16"/>
                <w:szCs w:val="16"/>
              </w:rPr>
              <w:t>Esternotomía o toracotomía cardiaca previa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C51AD2"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A2D6DD" w14:textId="77777777" w:rsidR="0044299D" w:rsidRDefault="00000000">
            <w:pPr>
              <w:spacing w:after="0" w:line="240" w:lineRule="auto"/>
            </w:pPr>
            <w:r>
              <w:rPr>
                <w:color w:val="000000"/>
                <w:sz w:val="16"/>
                <w:szCs w:val="16"/>
              </w:rPr>
              <w:t>Nominal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199768" w14:textId="77777777" w:rsidR="0044299D" w:rsidRDefault="00000000">
            <w:pPr>
              <w:spacing w:after="0" w:line="240" w:lineRule="auto"/>
            </w:pPr>
            <w:r>
              <w:rPr>
                <w:color w:val="000000"/>
                <w:sz w:val="16"/>
                <w:szCs w:val="16"/>
              </w:rPr>
              <w:t>Sí / No / No consta</w:t>
            </w:r>
          </w:p>
        </w:tc>
      </w:tr>
      <w:tr w:rsidR="0044299D" w14:paraId="51250BA2"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9494D3" w14:textId="77777777" w:rsidR="0044299D" w:rsidRDefault="00000000">
            <w:pPr>
              <w:spacing w:after="0" w:line="240" w:lineRule="auto"/>
            </w:pPr>
            <w:r>
              <w:rPr>
                <w:b/>
                <w:bCs/>
                <w:color w:val="000000"/>
                <w:sz w:val="16"/>
                <w:szCs w:val="16"/>
              </w:rPr>
              <w:t>Clase funcional</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1E5717" w14:textId="77777777" w:rsidR="0044299D" w:rsidRDefault="00000000">
            <w:pPr>
              <w:spacing w:after="0" w:line="240" w:lineRule="auto"/>
            </w:pPr>
            <w:r>
              <w:rPr>
                <w:color w:val="000000"/>
                <w:sz w:val="16"/>
                <w:szCs w:val="16"/>
              </w:rPr>
              <w:t xml:space="preserve">Clase de la New York Heart Association registrada antes de la cirugía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FFF189"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E1E8FC" w14:textId="77777777" w:rsidR="0044299D" w:rsidRDefault="00000000">
            <w:pPr>
              <w:spacing w:after="0" w:line="240" w:lineRule="auto"/>
            </w:pPr>
            <w:r>
              <w:rPr>
                <w:color w:val="000000"/>
                <w:sz w:val="16"/>
                <w:szCs w:val="16"/>
              </w:rPr>
              <w:t>Ordinal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B4120C" w14:textId="77777777" w:rsidR="0044299D" w:rsidRDefault="00000000">
            <w:pPr>
              <w:spacing w:after="0" w:line="240" w:lineRule="auto"/>
            </w:pPr>
            <w:r>
              <w:rPr>
                <w:color w:val="000000"/>
                <w:sz w:val="16"/>
                <w:szCs w:val="16"/>
              </w:rPr>
              <w:t>I / II / III / IV</w:t>
            </w:r>
          </w:p>
        </w:tc>
      </w:tr>
      <w:tr w:rsidR="0044299D" w14:paraId="51712822"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3C2551" w14:textId="77777777" w:rsidR="0044299D" w:rsidRDefault="00000000">
            <w:pPr>
              <w:spacing w:after="0" w:line="240" w:lineRule="auto"/>
            </w:pPr>
            <w:r>
              <w:rPr>
                <w:b/>
                <w:bCs/>
                <w:color w:val="000000"/>
                <w:sz w:val="16"/>
                <w:szCs w:val="16"/>
              </w:rPr>
              <w:t>Fracción de eyección del ventrículo izquierdo</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704847" w14:textId="77777777" w:rsidR="0044299D" w:rsidRDefault="00000000">
            <w:pPr>
              <w:spacing w:after="0" w:line="240" w:lineRule="auto"/>
            </w:pPr>
            <w:r>
              <w:rPr>
                <w:color w:val="000000"/>
                <w:sz w:val="16"/>
                <w:szCs w:val="16"/>
              </w:rPr>
              <w:t>Último valor ecocardiográfico preoperatorio</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9199F1" w14:textId="77777777" w:rsidR="0044299D" w:rsidRDefault="00000000">
            <w:pPr>
              <w:spacing w:after="0" w:line="240" w:lineRule="auto"/>
            </w:pPr>
            <w:r>
              <w:rPr>
                <w:color w:val="000000"/>
                <w:sz w:val="16"/>
                <w:szCs w:val="16"/>
              </w:rPr>
              <w:t>Cuantitativa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CB9DB2" w14:textId="77777777" w:rsidR="0044299D" w:rsidRDefault="00000000">
            <w:pPr>
              <w:spacing w:after="0" w:line="240" w:lineRule="auto"/>
            </w:pPr>
            <w:r>
              <w:rPr>
                <w:color w:val="000000"/>
                <w:sz w:val="16"/>
                <w:szCs w:val="16"/>
              </w:rPr>
              <w:t>Razón</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6DAC1F" w14:textId="77777777" w:rsidR="0044299D" w:rsidRDefault="00000000">
            <w:pPr>
              <w:spacing w:after="0" w:line="240" w:lineRule="auto"/>
            </w:pPr>
            <w:r>
              <w:rPr>
                <w:color w:val="000000"/>
                <w:sz w:val="16"/>
                <w:szCs w:val="16"/>
              </w:rPr>
              <w:t>Porcentaje</w:t>
            </w:r>
          </w:p>
        </w:tc>
      </w:tr>
      <w:tr w:rsidR="0044299D" w14:paraId="7A603481"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1D7864" w14:textId="77777777" w:rsidR="0044299D" w:rsidRDefault="00000000">
            <w:pPr>
              <w:spacing w:after="0" w:line="240" w:lineRule="auto"/>
            </w:pPr>
            <w:r>
              <w:rPr>
                <w:b/>
                <w:bCs/>
                <w:color w:val="000000"/>
                <w:sz w:val="16"/>
                <w:szCs w:val="16"/>
              </w:rPr>
              <w:t>Infarto reciente</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A07E93" w14:textId="77777777" w:rsidR="0044299D" w:rsidRDefault="00000000">
            <w:pPr>
              <w:spacing w:after="0" w:line="240" w:lineRule="auto"/>
            </w:pPr>
            <w:r>
              <w:rPr>
                <w:color w:val="000000"/>
                <w:sz w:val="16"/>
                <w:szCs w:val="16"/>
              </w:rPr>
              <w:t>Infarto agudo de miocardio en los 90 días previos</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24BCF9"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7261C5" w14:textId="77777777" w:rsidR="0044299D" w:rsidRDefault="00000000">
            <w:pPr>
              <w:spacing w:after="0" w:line="240" w:lineRule="auto"/>
            </w:pPr>
            <w:r>
              <w:rPr>
                <w:color w:val="000000"/>
                <w:sz w:val="16"/>
                <w:szCs w:val="16"/>
              </w:rPr>
              <w:t>Nominal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1D76B7" w14:textId="77777777" w:rsidR="0044299D" w:rsidRDefault="00000000">
            <w:pPr>
              <w:spacing w:after="0" w:line="240" w:lineRule="auto"/>
            </w:pPr>
            <w:r>
              <w:rPr>
                <w:color w:val="000000"/>
                <w:sz w:val="16"/>
                <w:szCs w:val="16"/>
              </w:rPr>
              <w:t>Sí / No / No consta</w:t>
            </w:r>
          </w:p>
        </w:tc>
      </w:tr>
      <w:tr w:rsidR="0044299D" w14:paraId="26186944"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CB2A87" w14:textId="77777777" w:rsidR="0044299D" w:rsidRDefault="00000000">
            <w:pPr>
              <w:spacing w:after="0" w:line="240" w:lineRule="auto"/>
            </w:pPr>
            <w:r>
              <w:rPr>
                <w:b/>
                <w:bCs/>
                <w:color w:val="000000"/>
                <w:sz w:val="16"/>
                <w:szCs w:val="16"/>
              </w:rPr>
              <w:t>Endocarditis activa</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2B6C03" w14:textId="77777777" w:rsidR="0044299D" w:rsidRDefault="00000000">
            <w:pPr>
              <w:spacing w:after="0" w:line="240" w:lineRule="auto"/>
            </w:pPr>
            <w:r>
              <w:rPr>
                <w:color w:val="000000"/>
                <w:sz w:val="16"/>
                <w:szCs w:val="16"/>
              </w:rPr>
              <w:t>Tratamiento antibiótico por endocarditis en curso al momento de la cirugía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DB894E"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2F437D" w14:textId="77777777" w:rsidR="0044299D" w:rsidRDefault="00000000">
            <w:pPr>
              <w:spacing w:after="0" w:line="240" w:lineRule="auto"/>
            </w:pPr>
            <w:r>
              <w:rPr>
                <w:color w:val="000000"/>
                <w:sz w:val="16"/>
                <w:szCs w:val="16"/>
              </w:rPr>
              <w:t>Nominal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3CD732" w14:textId="77777777" w:rsidR="0044299D" w:rsidRDefault="00000000">
            <w:pPr>
              <w:spacing w:after="0" w:line="240" w:lineRule="auto"/>
            </w:pPr>
            <w:r>
              <w:rPr>
                <w:color w:val="000000"/>
                <w:sz w:val="16"/>
                <w:szCs w:val="16"/>
              </w:rPr>
              <w:t>Sí / No / No consta</w:t>
            </w:r>
          </w:p>
        </w:tc>
      </w:tr>
      <w:tr w:rsidR="0044299D" w14:paraId="4CA27F43"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8B0FDA" w14:textId="77777777" w:rsidR="0044299D" w:rsidRDefault="00000000">
            <w:pPr>
              <w:spacing w:after="0" w:line="240" w:lineRule="auto"/>
            </w:pPr>
            <w:r>
              <w:rPr>
                <w:b/>
                <w:bCs/>
                <w:color w:val="000000"/>
                <w:sz w:val="16"/>
                <w:szCs w:val="16"/>
              </w:rPr>
              <w:t>Comorbilidades</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EBCFE0" w14:textId="77777777" w:rsidR="0044299D" w:rsidRDefault="00000000">
            <w:pPr>
              <w:spacing w:after="0" w:line="240" w:lineRule="auto"/>
            </w:pPr>
            <w:r>
              <w:rPr>
                <w:color w:val="000000"/>
                <w:sz w:val="16"/>
                <w:szCs w:val="16"/>
              </w:rPr>
              <w:t xml:space="preserve">Diagnóstico previo registrado de hipertensión arterial, diabetes mellitus (y uso de insulina), enfermedad renal crónica, enfermedad pulmonar obstructiva crónica, fibrilación auricular, arteriopatía extracardiaca y enfermedad cerebrovascular</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928842"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823B8C" w14:textId="77777777" w:rsidR="0044299D" w:rsidRDefault="00000000">
            <w:pPr>
              <w:spacing w:after="0" w:line="240" w:lineRule="auto"/>
            </w:pPr>
            <w:r>
              <w:rPr>
                <w:color w:val="000000"/>
                <w:sz w:val="16"/>
                <w:szCs w:val="16"/>
              </w:rPr>
              <w:t>Nominal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332F18" w14:textId="77777777" w:rsidR="0044299D" w:rsidRDefault="00000000">
            <w:pPr>
              <w:spacing w:after="0" w:line="240" w:lineRule="auto"/>
            </w:pPr>
            <w:r>
              <w:rPr>
                <w:color w:val="000000"/>
                <w:sz w:val="16"/>
                <w:szCs w:val="16"/>
              </w:rPr>
              <w:t>Sí / No, para cada una</w:t>
            </w:r>
          </w:p>
        </w:tc>
      </w:tr>
      <w:tr w:rsidR="0044299D" w14:paraId="28B241B4"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F91B7D" w14:textId="77777777" w:rsidR="0044299D" w:rsidRDefault="00000000">
            <w:pPr>
              <w:spacing w:after="0" w:line="240" w:lineRule="auto"/>
            </w:pPr>
            <w:r>
              <w:rPr>
                <w:b/>
                <w:bCs/>
                <w:color w:val="000000"/>
                <w:sz w:val="16"/>
                <w:szCs w:val="16"/>
              </w:rPr>
              <w:t>Antitrombóticos preoperatorios</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A03E56" w14:textId="77777777" w:rsidR="0044299D" w:rsidRDefault="00000000">
            <w:pPr>
              <w:spacing w:after="0" w:line="240" w:lineRule="auto"/>
            </w:pPr>
            <w:r>
              <w:rPr>
                <w:color w:val="000000"/>
                <w:sz w:val="16"/>
                <w:szCs w:val="16"/>
              </w:rPr>
              <w:t>Uso de ácido acetilsalicílico, inhibidor del receptor P2Y12, antagonista de la vitamina K o anticoagulante oral directo en los 7 días previos, y días desde la última dosis</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843E5D" w14:textId="77777777" w:rsidR="0044299D" w:rsidRDefault="00000000">
            <w:pPr>
              <w:spacing w:after="0" w:line="240" w:lineRule="auto"/>
            </w:pPr>
            <w:r>
              <w:rPr>
                <w:color w:val="000000"/>
                <w:sz w:val="16"/>
                <w:szCs w:val="16"/>
              </w:rPr>
              <w:t>Cualitativa y cuantitativa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593673" w14:textId="77777777" w:rsidR="0044299D" w:rsidRDefault="00000000">
            <w:pPr>
              <w:spacing w:after="0" w:line="240" w:lineRule="auto"/>
            </w:pPr>
            <w:r>
              <w:rPr>
                <w:color w:val="000000"/>
                <w:sz w:val="16"/>
                <w:szCs w:val="16"/>
              </w:rPr>
              <w:t>Nominal y razón</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8AAA3F" w14:textId="77777777" w:rsidR="0044299D" w:rsidRDefault="00000000">
            <w:pPr>
              <w:spacing w:after="0" w:line="240" w:lineRule="auto"/>
            </w:pPr>
            <w:r>
              <w:rPr>
                <w:color w:val="000000"/>
                <w:sz w:val="16"/>
                <w:szCs w:val="16"/>
              </w:rPr>
              <w:t>Fármaco; días</w:t>
            </w:r>
          </w:p>
        </w:tc>
      </w:tr>
      <w:tr w:rsidR="0044299D" w14:paraId="6A424D9C" w14:textId="77777777">
        <w:trPr>
          <w:cantSplit/>
          <w:jc w:val="center"/>
        </w:trPr>
        <w:tc>
          <w:tcPr>
            <w:tcW w:w="9404" w:type="dxa"/>
            <w:gridSpan w:val="5"/>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598F51CF" w14:textId="77777777" w:rsidR="0044299D" w:rsidRDefault="00000000">
            <w:pPr>
              <w:spacing w:after="0" w:line="240" w:lineRule="auto"/>
            </w:pPr>
            <w:r>
              <w:rPr>
                <w:b/>
                <w:bCs/>
                <w:color w:val="000000"/>
                <w:sz w:val="16"/>
                <w:szCs w:val="16"/>
              </w:rPr>
              <w:t>Laboratorio preoperatorio</w:t>
            </w:r>
          </w:p>
        </w:tc>
      </w:tr>
      <w:tr w:rsidR="0044299D" w14:paraId="7BFA5876"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A84A98" w14:textId="77777777" w:rsidR="0044299D" w:rsidRDefault="00000000">
            <w:pPr>
              <w:spacing w:after="0" w:line="240" w:lineRule="auto"/>
            </w:pPr>
            <w:r>
              <w:rPr>
                <w:b/>
                <w:bCs/>
                <w:color w:val="000000"/>
                <w:sz w:val="16"/>
                <w:szCs w:val="16"/>
              </w:rPr>
              <w:t>Hemoglobina y hematocrito preoperatorios</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42526E" w14:textId="77777777" w:rsidR="0044299D" w:rsidRDefault="00000000">
            <w:pPr>
              <w:spacing w:after="0" w:line="240" w:lineRule="auto"/>
            </w:pPr>
            <w:r>
              <w:rPr>
                <w:color w:val="000000"/>
                <w:sz w:val="16"/>
                <w:szCs w:val="16"/>
              </w:rPr>
              <w:t>Último valor antes de la cirugía índice</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611C0E" w14:textId="77777777" w:rsidR="0044299D" w:rsidRDefault="00000000">
            <w:pPr>
              <w:spacing w:after="0" w:line="240" w:lineRule="auto"/>
            </w:pPr>
            <w:r>
              <w:rPr>
                <w:color w:val="000000"/>
                <w:sz w:val="16"/>
                <w:szCs w:val="16"/>
              </w:rPr>
              <w:t>Cuantitativa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7E139D" w14:textId="77777777" w:rsidR="0044299D" w:rsidRDefault="00000000">
            <w:pPr>
              <w:spacing w:after="0" w:line="240" w:lineRule="auto"/>
            </w:pPr>
            <w:r>
              <w:rPr>
                <w:color w:val="000000"/>
                <w:sz w:val="16"/>
                <w:szCs w:val="16"/>
              </w:rPr>
              <w:t>Razón</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C32F4D" w14:textId="77777777" w:rsidR="0044299D" w:rsidRDefault="00000000">
            <w:pPr>
              <w:spacing w:after="0" w:line="240" w:lineRule="auto"/>
            </w:pPr>
            <w:r>
              <w:rPr>
                <w:color w:val="000000"/>
                <w:sz w:val="16"/>
                <w:szCs w:val="16"/>
              </w:rPr>
              <w:t>g/dL; porcentaje</w:t>
            </w:r>
          </w:p>
        </w:tc>
      </w:tr>
      <w:tr w:rsidR="0044299D" w14:paraId="10AE7B60"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20AF9C" w14:textId="77777777" w:rsidR="0044299D" w:rsidRDefault="00000000">
            <w:pPr>
              <w:spacing w:after="0" w:line="240" w:lineRule="auto"/>
            </w:pPr>
            <w:r>
              <w:rPr>
                <w:b/>
                <w:bCs/>
                <w:color w:val="000000"/>
                <w:sz w:val="16"/>
                <w:szCs w:val="16"/>
              </w:rPr>
              <w:t>Anemia preoperatoria</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FDE08B" w14:textId="77777777" w:rsidR="0044299D" w:rsidRDefault="00000000">
            <w:pPr>
              <w:spacing w:after="0" w:line="240" w:lineRule="auto"/>
            </w:pPr>
            <w:r>
              <w:rPr>
                <w:color w:val="000000"/>
                <w:sz w:val="16"/>
                <w:szCs w:val="16"/>
              </w:rPr>
              <w:t xml:space="preserve">Hemoglobina menor de 13 g/dL en ambos sexos (25); se informará además según la Organización Mundial de la Salud (menor de 13 g/dL en hombres y de 12 g/dL en mujeres)</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9C0B69"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6EAFF5" w14:textId="77777777" w:rsidR="0044299D" w:rsidRDefault="00000000">
            <w:pPr>
              <w:spacing w:after="0" w:line="240" w:lineRule="auto"/>
            </w:pPr>
            <w:r>
              <w:rPr>
                <w:color w:val="000000"/>
                <w:sz w:val="16"/>
                <w:szCs w:val="16"/>
              </w:rPr>
              <w:t>Nominal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612AAA" w14:textId="77777777" w:rsidR="0044299D" w:rsidRDefault="00000000">
            <w:pPr>
              <w:spacing w:after="0" w:line="240" w:lineRule="auto"/>
            </w:pPr>
            <w:r>
              <w:rPr>
                <w:color w:val="000000"/>
                <w:sz w:val="16"/>
                <w:szCs w:val="16"/>
              </w:rPr>
              <w:t>Sí / No</w:t>
            </w:r>
          </w:p>
        </w:tc>
      </w:tr>
      <w:tr w:rsidR="0044299D" w14:paraId="048A3E22"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BFCD85" w14:textId="77777777" w:rsidR="0044299D" w:rsidRDefault="00000000">
            <w:pPr>
              <w:spacing w:after="0" w:line="240" w:lineRule="auto"/>
            </w:pPr>
            <w:r>
              <w:rPr>
                <w:b/>
                <w:bCs/>
                <w:color w:val="000000"/>
                <w:sz w:val="16"/>
                <w:szCs w:val="16"/>
              </w:rPr>
              <w:t>Ferritina y saturación de transferrina</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3C3146" w14:textId="77777777" w:rsidR="0044299D" w:rsidRDefault="00000000">
            <w:pPr>
              <w:spacing w:after="0" w:line="240" w:lineRule="auto"/>
            </w:pPr>
            <w:r>
              <w:rPr>
                <w:color w:val="000000"/>
                <w:sz w:val="16"/>
                <w:szCs w:val="16"/>
              </w:rPr>
              <w:t>Último valor antes de la cirugía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3B08A0" w14:textId="77777777" w:rsidR="0044299D" w:rsidRDefault="00000000">
            <w:pPr>
              <w:spacing w:after="0" w:line="240" w:lineRule="auto"/>
            </w:pPr>
            <w:r>
              <w:rPr>
                <w:color w:val="000000"/>
                <w:sz w:val="16"/>
                <w:szCs w:val="16"/>
              </w:rPr>
              <w:t>Cuantitativa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C68C76" w14:textId="77777777" w:rsidR="0044299D" w:rsidRDefault="00000000">
            <w:pPr>
              <w:spacing w:after="0" w:line="240" w:lineRule="auto"/>
            </w:pPr>
            <w:r>
              <w:rPr>
                <w:color w:val="000000"/>
                <w:sz w:val="16"/>
                <w:szCs w:val="16"/>
              </w:rPr>
              <w:t>Razón</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075666" w14:textId="77777777" w:rsidR="0044299D" w:rsidRDefault="00000000">
            <w:pPr>
              <w:spacing w:after="0" w:line="240" w:lineRule="auto"/>
            </w:pPr>
            <w:r>
              <w:rPr>
                <w:color w:val="000000"/>
                <w:sz w:val="16"/>
                <w:szCs w:val="16"/>
              </w:rPr>
              <w:t>ng/mL; porcentaje</w:t>
            </w:r>
          </w:p>
        </w:tc>
      </w:tr>
      <w:tr w:rsidR="0044299D" w14:paraId="496D46F1"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7E3EDF" w14:textId="77777777" w:rsidR="0044299D" w:rsidRDefault="00000000">
            <w:pPr>
              <w:spacing w:after="0" w:line="240" w:lineRule="auto"/>
            </w:pPr>
            <w:r>
              <w:rPr>
                <w:b/>
                <w:bCs/>
                <w:color w:val="000000"/>
                <w:sz w:val="16"/>
                <w:szCs w:val="16"/>
              </w:rPr>
              <w:t>Plaquetas</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3EC467" w14:textId="77777777" w:rsidR="0044299D" w:rsidRDefault="00000000">
            <w:pPr>
              <w:spacing w:after="0" w:line="240" w:lineRule="auto"/>
            </w:pPr>
            <w:r>
              <w:rPr>
                <w:color w:val="000000"/>
                <w:sz w:val="16"/>
                <w:szCs w:val="16"/>
              </w:rPr>
              <w:t>Último recuento antes de la cirugía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01A9FE" w14:textId="77777777" w:rsidR="0044299D" w:rsidRDefault="00000000">
            <w:pPr>
              <w:spacing w:after="0" w:line="240" w:lineRule="auto"/>
            </w:pPr>
            <w:r>
              <w:rPr>
                <w:color w:val="000000"/>
                <w:sz w:val="16"/>
                <w:szCs w:val="16"/>
              </w:rPr>
              <w:t>Cuantitativa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E33172" w14:textId="77777777" w:rsidR="0044299D" w:rsidRDefault="00000000">
            <w:pPr>
              <w:spacing w:after="0" w:line="240" w:lineRule="auto"/>
            </w:pPr>
            <w:r>
              <w:rPr>
                <w:color w:val="000000"/>
                <w:sz w:val="16"/>
                <w:szCs w:val="16"/>
              </w:rPr>
              <w:t>Razón</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EC906B" w14:textId="77777777" w:rsidR="0044299D" w:rsidRDefault="00000000">
            <w:pPr>
              <w:spacing w:after="0" w:line="240" w:lineRule="auto"/>
            </w:pPr>
            <w:r>
              <w:rPr>
                <w:color w:val="000000"/>
                <w:sz w:val="16"/>
                <w:szCs w:val="16"/>
              </w:rPr>
              <w:t>Células/µL</w:t>
            </w:r>
          </w:p>
        </w:tc>
      </w:tr>
      <w:tr w:rsidR="0044299D" w14:paraId="3E5733A3"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475EF3" w14:textId="77777777" w:rsidR="0044299D" w:rsidRDefault="00000000">
            <w:pPr>
              <w:spacing w:after="0" w:line="240" w:lineRule="auto"/>
            </w:pPr>
            <w:r>
              <w:rPr>
                <w:b/>
                <w:bCs/>
                <w:color w:val="000000"/>
                <w:sz w:val="16"/>
                <w:szCs w:val="16"/>
              </w:rPr>
              <w:t>Razón internacional normalizada y tiempo de tromboplastina parcial</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124A1F" w14:textId="77777777" w:rsidR="0044299D" w:rsidRDefault="00000000">
            <w:pPr>
              <w:spacing w:after="0" w:line="240" w:lineRule="auto"/>
            </w:pPr>
            <w:r>
              <w:rPr>
                <w:color w:val="000000"/>
                <w:sz w:val="16"/>
                <w:szCs w:val="16"/>
              </w:rPr>
              <w:t>Último valor antes de la cirugía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B269CB" w14:textId="77777777" w:rsidR="0044299D" w:rsidRDefault="00000000">
            <w:pPr>
              <w:spacing w:after="0" w:line="240" w:lineRule="auto"/>
            </w:pPr>
            <w:r>
              <w:rPr>
                <w:color w:val="000000"/>
                <w:sz w:val="16"/>
                <w:szCs w:val="16"/>
              </w:rPr>
              <w:t>Cuantitativa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917380" w14:textId="77777777" w:rsidR="0044299D" w:rsidRDefault="00000000">
            <w:pPr>
              <w:spacing w:after="0" w:line="240" w:lineRule="auto"/>
            </w:pPr>
            <w:r>
              <w:rPr>
                <w:color w:val="000000"/>
                <w:sz w:val="16"/>
                <w:szCs w:val="16"/>
              </w:rPr>
              <w:t>Razón</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08DEC7" w14:textId="77777777" w:rsidR="0044299D" w:rsidRDefault="00000000">
            <w:pPr>
              <w:spacing w:after="0" w:line="240" w:lineRule="auto"/>
            </w:pPr>
            <w:r>
              <w:rPr>
                <w:color w:val="000000"/>
                <w:sz w:val="16"/>
                <w:szCs w:val="16"/>
              </w:rPr>
              <w:t>Valor numérico; segundos</w:t>
            </w:r>
          </w:p>
        </w:tc>
      </w:tr>
      <w:tr w:rsidR="0044299D" w14:paraId="4AC22EB4"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64C8A9" w14:textId="77777777" w:rsidR="0044299D" w:rsidRDefault="00000000">
            <w:pPr>
              <w:spacing w:after="0" w:line="240" w:lineRule="auto"/>
            </w:pPr>
            <w:r>
              <w:rPr>
                <w:b/>
                <w:bCs/>
                <w:color w:val="000000"/>
                <w:sz w:val="16"/>
                <w:szCs w:val="16"/>
              </w:rPr>
              <w:t>Creatinina y tasa de filtración glomerular</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72CA11" w14:textId="77777777" w:rsidR="0044299D" w:rsidRDefault="00000000">
            <w:pPr>
              <w:spacing w:after="0" w:line="240" w:lineRule="auto"/>
            </w:pPr>
            <w:r>
              <w:rPr>
                <w:color w:val="000000"/>
                <w:sz w:val="16"/>
                <w:szCs w:val="16"/>
              </w:rPr>
              <w:t>Última creatinina preoperatoria (valor basal) y tasa estimada con la ecuación CKD-EPI 2021</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BEE3BD" w14:textId="77777777" w:rsidR="0044299D" w:rsidRDefault="00000000">
            <w:pPr>
              <w:spacing w:after="0" w:line="240" w:lineRule="auto"/>
            </w:pPr>
            <w:r>
              <w:rPr>
                <w:color w:val="000000"/>
                <w:sz w:val="16"/>
                <w:szCs w:val="16"/>
              </w:rPr>
              <w:t>Cuantitativa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33A347" w14:textId="77777777" w:rsidR="0044299D" w:rsidRDefault="00000000">
            <w:pPr>
              <w:spacing w:after="0" w:line="240" w:lineRule="auto"/>
            </w:pPr>
            <w:r>
              <w:rPr>
                <w:color w:val="000000"/>
                <w:sz w:val="16"/>
                <w:szCs w:val="16"/>
              </w:rPr>
              <w:t>Razón</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0B9790" w14:textId="77777777" w:rsidR="0044299D" w:rsidRDefault="00000000">
            <w:pPr>
              <w:spacing w:after="0" w:line="240" w:lineRule="auto"/>
            </w:pPr>
            <w:r>
              <w:rPr>
                <w:color w:val="000000"/>
                <w:sz w:val="16"/>
                <w:szCs w:val="16"/>
              </w:rPr>
              <w:t xml:space="preserve">mg/dL; mL/min/1,73 m²</w:t>
            </w:r>
          </w:p>
        </w:tc>
      </w:tr>
      <w:tr w:rsidR="0044299D" w14:paraId="4062C417" w14:textId="77777777">
        <w:trPr>
          <w:cantSplit/>
          <w:jc w:val="center"/>
        </w:trPr>
        <w:tc>
          <w:tcPr>
            <w:tcW w:w="9404" w:type="dxa"/>
            <w:gridSpan w:val="5"/>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16867C7F" w14:textId="77777777" w:rsidR="0044299D" w:rsidRDefault="00000000">
            <w:pPr>
              <w:spacing w:after="0" w:line="240" w:lineRule="auto"/>
            </w:pPr>
            <w:r>
              <w:rPr>
                <w:b/>
                <w:bCs/>
                <w:color w:val="000000"/>
                <w:sz w:val="16"/>
                <w:szCs w:val="16"/>
              </w:rPr>
              <w:lastRenderedPageBreak/>
              <w:t>Perfil individual de aceptación</w:t>
            </w:r>
          </w:p>
        </w:tc>
      </w:tr>
      <w:tr w:rsidR="0044299D" w14:paraId="6F69CF51"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0989C9" w14:textId="77777777" w:rsidR="0044299D" w:rsidRDefault="00000000">
            <w:pPr>
              <w:spacing w:after="0" w:line="240" w:lineRule="auto"/>
            </w:pPr>
            <w:r>
              <w:rPr>
                <w:b/>
                <w:bCs/>
                <w:color w:val="000000"/>
                <w:sz w:val="16"/>
                <w:szCs w:val="16"/>
              </w:rPr>
              <w:t>Aceptación de alternativas</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F7BF49" w14:textId="77777777" w:rsidR="0044299D" w:rsidRDefault="00000000">
            <w:pPr>
              <w:spacing w:after="0" w:line="240" w:lineRule="auto"/>
            </w:pPr>
            <w:r>
              <w:rPr>
                <w:color w:val="000000"/>
                <w:sz w:val="16"/>
                <w:szCs w:val="16"/>
              </w:rPr>
              <w:t xml:space="preserve">Aceptación o rechazo documentado en el consentimiento o en el documento de voluntades anticipadas de: albúmina, concentrado de fibrinógeno, concentrado de complejo protrombínico, recuperador celular, hemodilución normovolémica aguda, circulación extracorpórea y eritropoyetina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721024"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E1E688" w14:textId="77777777" w:rsidR="0044299D" w:rsidRDefault="00000000">
            <w:pPr>
              <w:spacing w:after="0" w:line="240" w:lineRule="auto"/>
            </w:pPr>
            <w:r>
              <w:rPr>
                <w:color w:val="000000"/>
                <w:sz w:val="16"/>
                <w:szCs w:val="16"/>
              </w:rPr>
              <w:t>Nominal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55C4C0" w14:textId="77777777" w:rsidR="0044299D" w:rsidRDefault="00000000">
            <w:pPr>
              <w:spacing w:after="0" w:line="240" w:lineRule="auto"/>
            </w:pPr>
            <w:r>
              <w:rPr>
                <w:color w:val="000000"/>
                <w:sz w:val="16"/>
                <w:szCs w:val="16"/>
              </w:rPr>
              <w:t>Acepta / rechaza / no documentado, para cada una</w:t>
            </w:r>
          </w:p>
        </w:tc>
      </w:tr>
      <w:tr w:rsidR="0044299D" w14:paraId="698B506D"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4340E6" w14:textId="77777777" w:rsidR="0044299D" w:rsidRDefault="00000000">
            <w:pPr>
              <w:spacing w:after="0" w:line="240" w:lineRule="auto"/>
            </w:pPr>
            <w:r>
              <w:rPr>
                <w:b/>
                <w:bCs/>
                <w:color w:val="000000"/>
                <w:sz w:val="16"/>
                <w:szCs w:val="16"/>
              </w:rPr>
              <w:t>Rechazo de plasma y plaquetas</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1D95BE" w14:textId="77777777" w:rsidR="0044299D" w:rsidRDefault="00000000">
            <w:pPr>
              <w:spacing w:after="0" w:line="240" w:lineRule="auto"/>
            </w:pPr>
            <w:r>
              <w:rPr>
                <w:color w:val="000000"/>
                <w:sz w:val="16"/>
                <w:szCs w:val="16"/>
              </w:rPr>
              <w:t>Rechazo documentado antes de la cirugía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0659DC"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B243D6" w14:textId="77777777" w:rsidR="0044299D" w:rsidRDefault="00000000">
            <w:pPr>
              <w:spacing w:after="0" w:line="240" w:lineRule="auto"/>
            </w:pPr>
            <w:r>
              <w:rPr>
                <w:color w:val="000000"/>
                <w:sz w:val="16"/>
                <w:szCs w:val="16"/>
              </w:rPr>
              <w:t>Nominal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E12668" w14:textId="77777777" w:rsidR="0044299D" w:rsidRDefault="00000000">
            <w:pPr>
              <w:spacing w:after="0" w:line="240" w:lineRule="auto"/>
            </w:pPr>
            <w:r>
              <w:rPr>
                <w:color w:val="000000"/>
                <w:sz w:val="16"/>
                <w:szCs w:val="16"/>
              </w:rPr>
              <w:t>Sí / No / No consta</w:t>
            </w:r>
          </w:p>
        </w:tc>
      </w:tr>
      <w:tr w:rsidR="0044299D" w14:paraId="34512445" w14:textId="77777777">
        <w:trPr>
          <w:cantSplit/>
          <w:jc w:val="center"/>
        </w:trPr>
        <w:tc>
          <w:tcPr>
            <w:tcW w:w="9404" w:type="dxa"/>
            <w:gridSpan w:val="5"/>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20994DFA" w14:textId="77777777" w:rsidR="0044299D" w:rsidRDefault="00000000">
            <w:pPr>
              <w:spacing w:after="0" w:line="240" w:lineRule="auto"/>
            </w:pPr>
            <w:r>
              <w:rPr>
                <w:b/>
                <w:bCs/>
                <w:color w:val="000000"/>
                <w:sz w:val="16"/>
                <w:szCs w:val="16"/>
              </w:rPr>
              <w:t>Estrategias de conservación sanguínea</w:t>
            </w:r>
          </w:p>
        </w:tc>
      </w:tr>
      <w:tr w:rsidR="0044299D" w14:paraId="5AF6FCAD"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E94A9A" w14:textId="77777777" w:rsidR="0044299D" w:rsidRDefault="00000000">
            <w:pPr>
              <w:spacing w:after="0" w:line="240" w:lineRule="auto"/>
            </w:pPr>
            <w:r>
              <w:rPr>
                <w:b/>
                <w:bCs/>
                <w:color w:val="000000"/>
                <w:sz w:val="16"/>
                <w:szCs w:val="16"/>
              </w:rPr>
              <w:t>Optimización preoperatoria</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DFC020" w14:textId="77777777" w:rsidR="0044299D" w:rsidRDefault="00000000">
            <w:pPr>
              <w:spacing w:after="0" w:line="240" w:lineRule="auto"/>
            </w:pPr>
            <w:r>
              <w:rPr>
                <w:color w:val="000000"/>
                <w:sz w:val="16"/>
                <w:szCs w:val="16"/>
              </w:rPr>
              <w:t>Hierro intravenoso u oral, eritropoyetina, vitamina B12 o ácido fólico antes de la cirugía; dosis total y días entre el inicio y la cirugía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DA5EB9" w14:textId="77777777" w:rsidR="0044299D" w:rsidRDefault="00000000">
            <w:pPr>
              <w:spacing w:after="0" w:line="240" w:lineRule="auto"/>
            </w:pPr>
            <w:r>
              <w:rPr>
                <w:color w:val="000000"/>
                <w:sz w:val="16"/>
                <w:szCs w:val="16"/>
              </w:rPr>
              <w:t>Cualitativa y cuantitativa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70A38C" w14:textId="77777777" w:rsidR="0044299D" w:rsidRDefault="00000000">
            <w:pPr>
              <w:spacing w:after="0" w:line="240" w:lineRule="auto"/>
            </w:pPr>
            <w:r>
              <w:rPr>
                <w:color w:val="000000"/>
                <w:sz w:val="16"/>
                <w:szCs w:val="16"/>
              </w:rPr>
              <w:t>Nominal y razón</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3ED826" w14:textId="77777777" w:rsidR="0044299D" w:rsidRDefault="00000000">
            <w:pPr>
              <w:spacing w:after="0" w:line="240" w:lineRule="auto"/>
            </w:pPr>
            <w:r>
              <w:rPr>
                <w:color w:val="000000"/>
                <w:sz w:val="16"/>
                <w:szCs w:val="16"/>
              </w:rPr>
              <w:t>Sí / No por agente; miligramos o unidades; días</w:t>
            </w:r>
          </w:p>
        </w:tc>
      </w:tr>
      <w:tr w:rsidR="0044299D" w14:paraId="33A7BE01"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485A1B" w14:textId="77777777" w:rsidR="0044299D" w:rsidRDefault="00000000">
            <w:pPr>
              <w:spacing w:after="0" w:line="240" w:lineRule="auto"/>
            </w:pPr>
            <w:r>
              <w:rPr>
                <w:b/>
                <w:bCs/>
                <w:color w:val="000000"/>
                <w:sz w:val="16"/>
                <w:szCs w:val="16"/>
              </w:rPr>
              <w:t>Ácido tranexámico</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B58ECF" w14:textId="77777777" w:rsidR="0044299D" w:rsidRDefault="00000000">
            <w:pPr>
              <w:spacing w:after="0" w:line="240" w:lineRule="auto"/>
            </w:pPr>
            <w:r>
              <w:rPr>
                <w:color w:val="000000"/>
                <w:sz w:val="16"/>
                <w:szCs w:val="16"/>
              </w:rPr>
              <w:t>Administración intraoperatoria y dosis total</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345C3E" w14:textId="77777777" w:rsidR="0044299D" w:rsidRDefault="00000000">
            <w:pPr>
              <w:spacing w:after="0" w:line="240" w:lineRule="auto"/>
            </w:pPr>
            <w:r>
              <w:rPr>
                <w:color w:val="000000"/>
                <w:sz w:val="16"/>
                <w:szCs w:val="16"/>
              </w:rPr>
              <w:t>Cualitativa y cuantitativa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C35D1E" w14:textId="77777777" w:rsidR="0044299D" w:rsidRDefault="00000000">
            <w:pPr>
              <w:spacing w:after="0" w:line="240" w:lineRule="auto"/>
            </w:pPr>
            <w:r>
              <w:rPr>
                <w:color w:val="000000"/>
                <w:sz w:val="16"/>
                <w:szCs w:val="16"/>
              </w:rPr>
              <w:t>Nominal y razón</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D800EA" w14:textId="77777777" w:rsidR="0044299D" w:rsidRDefault="00000000">
            <w:pPr>
              <w:spacing w:after="0" w:line="240" w:lineRule="auto"/>
            </w:pPr>
            <w:r>
              <w:rPr>
                <w:color w:val="000000"/>
                <w:sz w:val="16"/>
                <w:szCs w:val="16"/>
              </w:rPr>
              <w:t>Sí / No; mg/kg</w:t>
            </w:r>
          </w:p>
        </w:tc>
      </w:tr>
      <w:tr w:rsidR="0044299D" w14:paraId="0CBDF1AE"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30F5E8" w14:textId="77777777" w:rsidR="0044299D" w:rsidRDefault="00000000">
            <w:pPr>
              <w:spacing w:after="0" w:line="240" w:lineRule="auto"/>
            </w:pPr>
            <w:r>
              <w:rPr>
                <w:b/>
                <w:bCs/>
                <w:color w:val="000000"/>
                <w:sz w:val="16"/>
                <w:szCs w:val="16"/>
              </w:rPr>
              <w:t>Técnicas autólogas</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56ADB3" w14:textId="77777777" w:rsidR="0044299D" w:rsidRDefault="00000000">
            <w:pPr>
              <w:spacing w:after="0" w:line="240" w:lineRule="auto"/>
            </w:pPr>
            <w:r>
              <w:rPr>
                <w:color w:val="000000"/>
                <w:sz w:val="16"/>
                <w:szCs w:val="16"/>
              </w:rPr>
              <w:t xml:space="preserve">Recuperador celular (volumen reinfundido), hemodilución normovolémica aguda, cebado autólogo retrógrado o circuito de circulación extracorpórea miniaturizado</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5250D1"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F342E3" w14:textId="77777777" w:rsidR="0044299D" w:rsidRDefault="00000000">
            <w:pPr>
              <w:spacing w:after="0" w:line="240" w:lineRule="auto"/>
            </w:pPr>
            <w:r>
              <w:rPr>
                <w:color w:val="000000"/>
                <w:sz w:val="16"/>
                <w:szCs w:val="16"/>
              </w:rPr>
              <w:t>Nominal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59CA98" w14:textId="77777777" w:rsidR="0044299D" w:rsidRDefault="00000000">
            <w:pPr>
              <w:spacing w:after="0" w:line="240" w:lineRule="auto"/>
            </w:pPr>
            <w:r>
              <w:rPr>
                <w:color w:val="000000"/>
                <w:sz w:val="16"/>
                <w:szCs w:val="16"/>
              </w:rPr>
              <w:t>Sí / No por técnica; mililitros</w:t>
            </w:r>
          </w:p>
        </w:tc>
      </w:tr>
      <w:tr w:rsidR="0044299D" w14:paraId="5026B114"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ED461F" w14:textId="77777777" w:rsidR="0044299D" w:rsidRDefault="00000000">
            <w:pPr>
              <w:spacing w:after="0" w:line="240" w:lineRule="auto"/>
            </w:pPr>
            <w:r>
              <w:rPr>
                <w:b/>
                <w:bCs/>
                <w:color w:val="000000"/>
                <w:sz w:val="16"/>
                <w:szCs w:val="16"/>
              </w:rPr>
              <w:t>Agentes hemostáticos</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A81004" w14:textId="77777777" w:rsidR="0044299D" w:rsidRDefault="00000000">
            <w:pPr>
              <w:spacing w:after="0" w:line="240" w:lineRule="auto"/>
            </w:pPr>
            <w:r>
              <w:rPr>
                <w:color w:val="000000"/>
                <w:sz w:val="16"/>
                <w:szCs w:val="16"/>
              </w:rPr>
              <w:t>Concentrado de fibrinógeno, concentrado de complejo protrombínico, factor VII activado recombinante, desmopresina o hemostáticos tópicos</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7B53ED"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4F8935" w14:textId="77777777" w:rsidR="0044299D" w:rsidRDefault="00000000">
            <w:pPr>
              <w:spacing w:after="0" w:line="240" w:lineRule="auto"/>
            </w:pPr>
            <w:r>
              <w:rPr>
                <w:color w:val="000000"/>
                <w:sz w:val="16"/>
                <w:szCs w:val="16"/>
              </w:rPr>
              <w:t>Nominal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4F957C" w14:textId="77777777" w:rsidR="0044299D" w:rsidRDefault="00000000">
            <w:pPr>
              <w:spacing w:after="0" w:line="240" w:lineRule="auto"/>
            </w:pPr>
            <w:r>
              <w:rPr>
                <w:color w:val="000000"/>
                <w:sz w:val="16"/>
                <w:szCs w:val="16"/>
              </w:rPr>
              <w:t>Sí / No por agente</w:t>
            </w:r>
          </w:p>
        </w:tc>
      </w:tr>
      <w:tr w:rsidR="0044299D" w14:paraId="765709D6"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642FD8" w14:textId="77777777" w:rsidR="0044299D" w:rsidRDefault="00000000">
            <w:pPr>
              <w:spacing w:after="0" w:line="240" w:lineRule="auto"/>
            </w:pPr>
            <w:r>
              <w:rPr>
                <w:b/>
                <w:bCs/>
                <w:color w:val="000000"/>
                <w:sz w:val="16"/>
                <w:szCs w:val="16"/>
              </w:rPr>
              <w:t>Pruebas viscoelásticas</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8C5AAB" w14:textId="77777777" w:rsidR="0044299D" w:rsidRDefault="00000000">
            <w:pPr>
              <w:spacing w:after="0" w:line="240" w:lineRule="auto"/>
            </w:pPr>
            <w:r>
              <w:rPr>
                <w:color w:val="000000"/>
                <w:sz w:val="16"/>
                <w:szCs w:val="16"/>
              </w:rPr>
              <w:t xml:space="preserve">Uso de tromboelastografía o tromboelastometría para guiar la hemostasia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7F2CDB"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E8CC7D" w14:textId="77777777" w:rsidR="0044299D" w:rsidRDefault="00000000">
            <w:pPr>
              <w:spacing w:after="0" w:line="240" w:lineRule="auto"/>
            </w:pPr>
            <w:r>
              <w:rPr>
                <w:color w:val="000000"/>
                <w:sz w:val="16"/>
                <w:szCs w:val="16"/>
              </w:rPr>
              <w:t>Nominal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F9A5B6" w14:textId="77777777" w:rsidR="0044299D" w:rsidRDefault="00000000">
            <w:pPr>
              <w:spacing w:after="0" w:line="240" w:lineRule="auto"/>
            </w:pPr>
            <w:r>
              <w:rPr>
                <w:color w:val="000000"/>
                <w:sz w:val="16"/>
                <w:szCs w:val="16"/>
              </w:rPr>
              <w:t>Sí / No / No consta</w:t>
            </w:r>
          </w:p>
        </w:tc>
      </w:tr>
      <w:tr w:rsidR="0044299D" w14:paraId="5D5148DE"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2144F7" w14:textId="77777777" w:rsidR="0044299D" w:rsidRDefault="00000000">
            <w:pPr>
              <w:spacing w:after="0" w:line="240" w:lineRule="auto"/>
            </w:pPr>
            <w:r>
              <w:rPr>
                <w:b/>
                <w:bCs/>
                <w:color w:val="000000"/>
                <w:sz w:val="16"/>
                <w:szCs w:val="16"/>
              </w:rPr>
              <w:t>Conservación posoperatoria</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5F72B4" w14:textId="77777777" w:rsidR="0044299D" w:rsidRDefault="00000000">
            <w:pPr>
              <w:spacing w:after="0" w:line="240" w:lineRule="auto"/>
            </w:pPr>
            <w:r>
              <w:rPr>
                <w:color w:val="000000"/>
                <w:sz w:val="16"/>
                <w:szCs w:val="16"/>
              </w:rPr>
              <w:t>Flebotomía restringida (tubos pediátricos o protocolo de reducción de muestras), hierro intravenoso o eritropoyetina posoperatorios</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C014FE"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F2378E" w14:textId="77777777" w:rsidR="0044299D" w:rsidRDefault="00000000">
            <w:pPr>
              <w:spacing w:after="0" w:line="240" w:lineRule="auto"/>
            </w:pPr>
            <w:r>
              <w:rPr>
                <w:color w:val="000000"/>
                <w:sz w:val="16"/>
                <w:szCs w:val="16"/>
              </w:rPr>
              <w:t>Nominal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4A0FEA" w14:textId="77777777" w:rsidR="0044299D" w:rsidRDefault="00000000">
            <w:pPr>
              <w:spacing w:after="0" w:line="240" w:lineRule="auto"/>
            </w:pPr>
            <w:r>
              <w:rPr>
                <w:color w:val="000000"/>
                <w:sz w:val="16"/>
                <w:szCs w:val="16"/>
              </w:rPr>
              <w:t>Sí / No por medida</w:t>
            </w:r>
          </w:p>
        </w:tc>
      </w:tr>
      <w:tr w:rsidR="0044299D" w14:paraId="51E39FDE" w14:textId="77777777">
        <w:trPr>
          <w:cantSplit/>
          <w:jc w:val="center"/>
        </w:trPr>
        <w:tc>
          <w:tcPr>
            <w:tcW w:w="9404" w:type="dxa"/>
            <w:gridSpan w:val="5"/>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126543B8" w14:textId="77777777" w:rsidR="0044299D" w:rsidRDefault="00000000">
            <w:pPr>
              <w:spacing w:after="0" w:line="240" w:lineRule="auto"/>
            </w:pPr>
            <w:r>
              <w:rPr>
                <w:b/>
                <w:bCs/>
                <w:color w:val="000000"/>
                <w:sz w:val="16"/>
                <w:szCs w:val="16"/>
              </w:rPr>
              <w:t>Variables intraoperatorias</w:t>
            </w:r>
          </w:p>
        </w:tc>
      </w:tr>
      <w:tr w:rsidR="0044299D" w14:paraId="073B8A82"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78E011" w14:textId="77777777" w:rsidR="0044299D" w:rsidRDefault="00000000">
            <w:pPr>
              <w:spacing w:after="0" w:line="240" w:lineRule="auto"/>
            </w:pPr>
            <w:r>
              <w:rPr>
                <w:b/>
                <w:bCs/>
                <w:color w:val="000000"/>
                <w:sz w:val="16"/>
                <w:szCs w:val="16"/>
              </w:rPr>
              <w:t>Circulación extracorpórea</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38AC8A" w14:textId="77777777" w:rsidR="0044299D" w:rsidRDefault="00000000">
            <w:pPr>
              <w:spacing w:after="0" w:line="240" w:lineRule="auto"/>
            </w:pPr>
            <w:r>
              <w:rPr>
                <w:color w:val="000000"/>
                <w:sz w:val="16"/>
                <w:szCs w:val="16"/>
              </w:rPr>
              <w:t>Realización con o sin circulación extracorpórea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400519"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105730" w14:textId="77777777" w:rsidR="0044299D" w:rsidRDefault="00000000">
            <w:pPr>
              <w:spacing w:after="0" w:line="240" w:lineRule="auto"/>
            </w:pPr>
            <w:r>
              <w:rPr>
                <w:color w:val="000000"/>
                <w:sz w:val="16"/>
                <w:szCs w:val="16"/>
              </w:rPr>
              <w:t>Nominal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EDB4BD" w14:textId="77777777" w:rsidR="0044299D" w:rsidRDefault="00000000">
            <w:pPr>
              <w:spacing w:after="0" w:line="240" w:lineRule="auto"/>
            </w:pPr>
            <w:r>
              <w:rPr>
                <w:color w:val="000000"/>
                <w:sz w:val="16"/>
                <w:szCs w:val="16"/>
              </w:rPr>
              <w:t>Con / sin</w:t>
            </w:r>
          </w:p>
        </w:tc>
      </w:tr>
      <w:tr w:rsidR="0044299D" w14:paraId="62101863"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3D5A85" w14:textId="77777777" w:rsidR="0044299D" w:rsidRDefault="00000000">
            <w:pPr>
              <w:spacing w:after="0" w:line="240" w:lineRule="auto"/>
            </w:pPr>
            <w:r>
              <w:rPr>
                <w:b/>
                <w:bCs/>
                <w:color w:val="000000"/>
                <w:sz w:val="16"/>
                <w:szCs w:val="16"/>
              </w:rPr>
              <w:t>Tiempos quirúrgicos</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C66A1F" w14:textId="77777777" w:rsidR="0044299D" w:rsidRDefault="00000000">
            <w:pPr>
              <w:spacing w:after="0" w:line="240" w:lineRule="auto"/>
            </w:pPr>
            <w:r>
              <w:rPr>
                <w:color w:val="000000"/>
                <w:sz w:val="16"/>
                <w:szCs w:val="16"/>
              </w:rPr>
              <w:t>Tiempo de circulación extracorpórea, de pinzamiento aórtico y duración total de la cirugía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E1FDE2" w14:textId="77777777" w:rsidR="0044299D" w:rsidRDefault="00000000">
            <w:pPr>
              <w:spacing w:after="0" w:line="240" w:lineRule="auto"/>
            </w:pPr>
            <w:r>
              <w:rPr>
                <w:color w:val="000000"/>
                <w:sz w:val="16"/>
                <w:szCs w:val="16"/>
              </w:rPr>
              <w:t>Cuantitativa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D579AE" w14:textId="77777777" w:rsidR="0044299D" w:rsidRDefault="00000000">
            <w:pPr>
              <w:spacing w:after="0" w:line="240" w:lineRule="auto"/>
            </w:pPr>
            <w:r>
              <w:rPr>
                <w:color w:val="000000"/>
                <w:sz w:val="16"/>
                <w:szCs w:val="16"/>
              </w:rPr>
              <w:t>Razón</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A9D2FD" w14:textId="77777777" w:rsidR="0044299D" w:rsidRDefault="00000000">
            <w:pPr>
              <w:spacing w:after="0" w:line="240" w:lineRule="auto"/>
            </w:pPr>
            <w:r>
              <w:rPr>
                <w:color w:val="000000"/>
                <w:sz w:val="16"/>
                <w:szCs w:val="16"/>
              </w:rPr>
              <w:t>Minutos</w:t>
            </w:r>
          </w:p>
        </w:tc>
      </w:tr>
      <w:tr w:rsidR="0044299D" w14:paraId="34D5D5CD"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847E0F" w14:textId="77777777" w:rsidR="0044299D" w:rsidRDefault="00000000">
            <w:pPr>
              <w:spacing w:after="0" w:line="240" w:lineRule="auto"/>
            </w:pPr>
            <w:r>
              <w:rPr>
                <w:b/>
                <w:bCs/>
                <w:color w:val="000000"/>
                <w:sz w:val="16"/>
                <w:szCs w:val="16"/>
              </w:rPr>
              <w:t>Abordaje</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E4D519" w14:textId="77777777" w:rsidR="0044299D" w:rsidRDefault="00000000">
            <w:pPr>
              <w:spacing w:after="0" w:line="240" w:lineRule="auto"/>
            </w:pPr>
            <w:r>
              <w:rPr>
                <w:color w:val="000000"/>
                <w:sz w:val="16"/>
                <w:szCs w:val="16"/>
              </w:rPr>
              <w:t>Vía de acceso quirúrgico</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CFFD24"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2F3ED8" w14:textId="77777777" w:rsidR="0044299D" w:rsidRDefault="00000000">
            <w:pPr>
              <w:spacing w:after="0" w:line="240" w:lineRule="auto"/>
            </w:pPr>
            <w:r>
              <w:rPr>
                <w:color w:val="000000"/>
                <w:sz w:val="16"/>
                <w:szCs w:val="16"/>
              </w:rPr>
              <w:t>Nominal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8ACC8C" w14:textId="77777777" w:rsidR="0044299D" w:rsidRDefault="00000000">
            <w:pPr>
              <w:spacing w:after="0" w:line="240" w:lineRule="auto"/>
            </w:pPr>
            <w:r>
              <w:rPr>
                <w:color w:val="000000"/>
                <w:sz w:val="16"/>
                <w:szCs w:val="16"/>
              </w:rPr>
              <w:t>Esternotomía completa / mínimamente invasivo</w:t>
            </w:r>
          </w:p>
        </w:tc>
      </w:tr>
      <w:tr w:rsidR="0044299D" w14:paraId="345131AB" w14:textId="77777777">
        <w:trPr>
          <w:cantSplit/>
          <w:jc w:val="center"/>
        </w:trPr>
        <w:tc>
          <w:tcPr>
            <w:tcW w:w="9404" w:type="dxa"/>
            <w:gridSpan w:val="5"/>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0A77E321" w14:textId="77777777" w:rsidR="0044299D" w:rsidRDefault="00000000">
            <w:pPr>
              <w:spacing w:after="0" w:line="240" w:lineRule="auto"/>
            </w:pPr>
            <w:r>
              <w:rPr>
                <w:b/>
                <w:bCs/>
                <w:color w:val="000000"/>
                <w:sz w:val="16"/>
                <w:szCs w:val="16"/>
              </w:rPr>
              <w:t>Variables hematológicas y de sangrado</w:t>
            </w:r>
          </w:p>
        </w:tc>
      </w:tr>
      <w:tr w:rsidR="0044299D" w14:paraId="5CA2EB94"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EB4E4E" w14:textId="77777777" w:rsidR="0044299D" w:rsidRDefault="00000000">
            <w:pPr>
              <w:spacing w:after="0" w:line="240" w:lineRule="auto"/>
            </w:pPr>
            <w:r>
              <w:rPr>
                <w:b/>
                <w:bCs/>
                <w:color w:val="000000"/>
                <w:sz w:val="16"/>
                <w:szCs w:val="16"/>
              </w:rPr>
              <w:t>Hemoglobina y hematocrito posoperatorios</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27D05D" w14:textId="77777777" w:rsidR="0044299D" w:rsidRDefault="00000000">
            <w:pPr>
              <w:spacing w:after="0" w:line="240" w:lineRule="auto"/>
            </w:pPr>
            <w:r>
              <w:rPr>
                <w:color w:val="000000"/>
                <w:sz w:val="16"/>
                <w:szCs w:val="16"/>
              </w:rPr>
              <w:t>Primer valor al ingreso a la unidad de cuidados intensivos, valor mínimo durante la hospitalización y último valor antes del egreso</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716B4E" w14:textId="77777777" w:rsidR="0044299D" w:rsidRDefault="00000000">
            <w:pPr>
              <w:spacing w:after="0" w:line="240" w:lineRule="auto"/>
            </w:pPr>
            <w:r>
              <w:rPr>
                <w:color w:val="000000"/>
                <w:sz w:val="16"/>
                <w:szCs w:val="16"/>
              </w:rPr>
              <w:t>Cuantitativa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2E8247" w14:textId="77777777" w:rsidR="0044299D" w:rsidRDefault="00000000">
            <w:pPr>
              <w:spacing w:after="0" w:line="240" w:lineRule="auto"/>
            </w:pPr>
            <w:r>
              <w:rPr>
                <w:color w:val="000000"/>
                <w:sz w:val="16"/>
                <w:szCs w:val="16"/>
              </w:rPr>
              <w:t>Razón</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48A9B1" w14:textId="77777777" w:rsidR="0044299D" w:rsidRDefault="00000000">
            <w:pPr>
              <w:spacing w:after="0" w:line="240" w:lineRule="auto"/>
            </w:pPr>
            <w:r>
              <w:rPr>
                <w:color w:val="000000"/>
                <w:sz w:val="16"/>
                <w:szCs w:val="16"/>
              </w:rPr>
              <w:t>g/dL; porcentaje</w:t>
            </w:r>
          </w:p>
        </w:tc>
      </w:tr>
      <w:tr w:rsidR="0044299D" w14:paraId="3BA1104C"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346567" w14:textId="77777777" w:rsidR="0044299D" w:rsidRDefault="00000000">
            <w:pPr>
              <w:spacing w:after="0" w:line="240" w:lineRule="auto"/>
            </w:pPr>
            <w:r>
              <w:rPr>
                <w:b/>
                <w:bCs/>
                <w:color w:val="000000"/>
                <w:sz w:val="16"/>
                <w:szCs w:val="16"/>
              </w:rPr>
              <w:t>Caída máxima de hemoglobina</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231C0E" w14:textId="77777777" w:rsidR="0044299D" w:rsidRDefault="00000000">
            <w:pPr>
              <w:spacing w:after="0" w:line="240" w:lineRule="auto"/>
            </w:pPr>
            <w:r>
              <w:rPr>
                <w:color w:val="000000"/>
                <w:sz w:val="16"/>
                <w:szCs w:val="16"/>
              </w:rPr>
              <w:t>Hemoglobina preoperatoria menos hemoglobina mínima posoperatoria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F7ED53" w14:textId="77777777" w:rsidR="0044299D" w:rsidRDefault="00000000">
            <w:pPr>
              <w:spacing w:after="0" w:line="240" w:lineRule="auto"/>
            </w:pPr>
            <w:r>
              <w:rPr>
                <w:color w:val="000000"/>
                <w:sz w:val="16"/>
                <w:szCs w:val="16"/>
              </w:rPr>
              <w:t>Cuantitativa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585163" w14:textId="77777777" w:rsidR="0044299D" w:rsidRDefault="00000000">
            <w:pPr>
              <w:spacing w:after="0" w:line="240" w:lineRule="auto"/>
            </w:pPr>
            <w:r>
              <w:rPr>
                <w:color w:val="000000"/>
                <w:sz w:val="16"/>
                <w:szCs w:val="16"/>
              </w:rPr>
              <w:t>Razón</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371157" w14:textId="77777777" w:rsidR="0044299D" w:rsidRDefault="00000000">
            <w:pPr>
              <w:spacing w:after="0" w:line="240" w:lineRule="auto"/>
            </w:pPr>
            <w:r>
              <w:rPr>
                <w:color w:val="000000"/>
                <w:sz w:val="16"/>
                <w:szCs w:val="16"/>
              </w:rPr>
              <w:t>g/dL</w:t>
            </w:r>
          </w:p>
        </w:tc>
      </w:tr>
      <w:tr w:rsidR="0044299D" w14:paraId="48FAC312"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FAF759" w14:textId="77777777" w:rsidR="0044299D" w:rsidRDefault="00000000">
            <w:pPr>
              <w:spacing w:after="0" w:line="240" w:lineRule="auto"/>
            </w:pPr>
            <w:r>
              <w:rPr>
                <w:b/>
                <w:bCs/>
                <w:color w:val="000000"/>
                <w:sz w:val="16"/>
                <w:szCs w:val="16"/>
              </w:rPr>
              <w:t>Anemia posoperatoria grave</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EFCC9A" w14:textId="77777777" w:rsidR="0044299D" w:rsidRDefault="00000000">
            <w:pPr>
              <w:spacing w:after="0" w:line="240" w:lineRule="auto"/>
            </w:pPr>
            <w:r>
              <w:rPr>
                <w:color w:val="000000"/>
                <w:sz w:val="16"/>
                <w:szCs w:val="16"/>
              </w:rPr>
              <w:t xml:space="preserve">Hemoglobina mínima menor de 7 g/dL o hematocrito mínimo menor de 21 % durante la hospitalización índice (8,9)</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88FD6C"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6EEB09" w14:textId="77777777" w:rsidR="0044299D" w:rsidRDefault="00000000">
            <w:pPr>
              <w:spacing w:after="0" w:line="240" w:lineRule="auto"/>
            </w:pPr>
            <w:r>
              <w:rPr>
                <w:color w:val="000000"/>
                <w:sz w:val="16"/>
                <w:szCs w:val="16"/>
              </w:rPr>
              <w:t>Nominal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3B60BB" w14:textId="77777777" w:rsidR="0044299D" w:rsidRDefault="00000000">
            <w:pPr>
              <w:spacing w:after="0" w:line="240" w:lineRule="auto"/>
            </w:pPr>
            <w:r>
              <w:rPr>
                <w:color w:val="000000"/>
                <w:sz w:val="16"/>
                <w:szCs w:val="16"/>
              </w:rPr>
              <w:t>Sí / No</w:t>
            </w:r>
          </w:p>
        </w:tc>
      </w:tr>
      <w:tr w:rsidR="0044299D" w14:paraId="198FA961"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1A5AE9" w14:textId="77777777" w:rsidR="0044299D" w:rsidRDefault="00000000">
            <w:pPr>
              <w:spacing w:after="0" w:line="240" w:lineRule="auto"/>
            </w:pPr>
            <w:r>
              <w:rPr>
                <w:b/>
                <w:bCs/>
                <w:color w:val="000000"/>
                <w:sz w:val="16"/>
                <w:szCs w:val="16"/>
              </w:rPr>
              <w:t>Anemia posoperatoria crítica</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1E8087" w14:textId="77777777" w:rsidR="0044299D" w:rsidRDefault="00000000">
            <w:pPr>
              <w:spacing w:after="0" w:line="240" w:lineRule="auto"/>
            </w:pPr>
            <w:r>
              <w:rPr>
                <w:color w:val="000000"/>
                <w:sz w:val="16"/>
                <w:szCs w:val="16"/>
              </w:rPr>
              <w:t xml:space="preserve">Hemoglobina mínima menor de 5 g/dL (9)</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357364"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988D95" w14:textId="77777777" w:rsidR="0044299D" w:rsidRDefault="00000000">
            <w:pPr>
              <w:spacing w:after="0" w:line="240" w:lineRule="auto"/>
            </w:pPr>
            <w:r>
              <w:rPr>
                <w:color w:val="000000"/>
                <w:sz w:val="16"/>
                <w:szCs w:val="16"/>
              </w:rPr>
              <w:t>Nominal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7C6732" w14:textId="77777777" w:rsidR="0044299D" w:rsidRDefault="00000000">
            <w:pPr>
              <w:spacing w:after="0" w:line="240" w:lineRule="auto"/>
            </w:pPr>
            <w:r>
              <w:rPr>
                <w:color w:val="000000"/>
                <w:sz w:val="16"/>
                <w:szCs w:val="16"/>
              </w:rPr>
              <w:t>Sí / No</w:t>
            </w:r>
          </w:p>
        </w:tc>
      </w:tr>
      <w:tr w:rsidR="0044299D" w14:paraId="271A2E85"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61BB44" w14:textId="77777777" w:rsidR="0044299D" w:rsidRDefault="00000000">
            <w:pPr>
              <w:spacing w:after="0" w:line="240" w:lineRule="auto"/>
            </w:pPr>
            <w:r>
              <w:rPr>
                <w:b/>
                <w:bCs/>
                <w:color w:val="000000"/>
                <w:sz w:val="16"/>
                <w:szCs w:val="16"/>
              </w:rPr>
              <w:t>Categoría de hemoglobina mínima</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59EF0E" w14:textId="77777777" w:rsidR="0044299D" w:rsidRDefault="00000000">
            <w:pPr>
              <w:spacing w:after="0" w:line="240" w:lineRule="auto"/>
            </w:pPr>
            <w:r>
              <w:rPr>
                <w:color w:val="000000"/>
                <w:sz w:val="16"/>
                <w:szCs w:val="16"/>
              </w:rPr>
              <w:t>Estratos de hemoglobina mínima posoperatoria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34AD47"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E83151" w14:textId="77777777" w:rsidR="0044299D" w:rsidRDefault="00000000">
            <w:pPr>
              <w:spacing w:after="0" w:line="240" w:lineRule="auto"/>
            </w:pPr>
            <w:r>
              <w:rPr>
                <w:color w:val="000000"/>
                <w:sz w:val="16"/>
                <w:szCs w:val="16"/>
              </w:rPr>
              <w:t>Ordinal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B8D6EE" w14:textId="77777777" w:rsidR="0044299D" w:rsidRDefault="00000000">
            <w:pPr>
              <w:spacing w:after="0" w:line="240" w:lineRule="auto"/>
            </w:pPr>
            <w:r>
              <w:rPr>
                <w:color w:val="000000"/>
                <w:sz w:val="16"/>
                <w:szCs w:val="16"/>
              </w:rPr>
              <w:t>8 o más / 7 a 7,9 / 5 a 6,9 / menor de 5 g/dL</w:t>
            </w:r>
          </w:p>
        </w:tc>
      </w:tr>
      <w:tr w:rsidR="0044299D" w14:paraId="33DFC8EF"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7777CA" w14:textId="77777777" w:rsidR="0044299D" w:rsidRDefault="00000000">
            <w:pPr>
              <w:spacing w:after="0" w:line="240" w:lineRule="auto"/>
            </w:pPr>
            <w:r>
              <w:rPr>
                <w:b/>
                <w:bCs/>
                <w:color w:val="000000"/>
                <w:sz w:val="16"/>
                <w:szCs w:val="16"/>
              </w:rPr>
              <w:t>Drenaje torácico</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3B4133" w14:textId="77777777" w:rsidR="0044299D" w:rsidRDefault="00000000">
            <w:pPr>
              <w:spacing w:after="0" w:line="240" w:lineRule="auto"/>
            </w:pPr>
            <w:r>
              <w:rPr>
                <w:color w:val="000000"/>
                <w:sz w:val="16"/>
                <w:szCs w:val="16"/>
              </w:rPr>
              <w:t>Volumen acumulado a las 12 y 24 horas desde el ingreso a la unidad de cuidados intensivos</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40F992" w14:textId="77777777" w:rsidR="0044299D" w:rsidRDefault="00000000">
            <w:pPr>
              <w:spacing w:after="0" w:line="240" w:lineRule="auto"/>
            </w:pPr>
            <w:r>
              <w:rPr>
                <w:color w:val="000000"/>
                <w:sz w:val="16"/>
                <w:szCs w:val="16"/>
              </w:rPr>
              <w:t>Cuantitativa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B35125" w14:textId="77777777" w:rsidR="0044299D" w:rsidRDefault="00000000">
            <w:pPr>
              <w:spacing w:after="0" w:line="240" w:lineRule="auto"/>
            </w:pPr>
            <w:r>
              <w:rPr>
                <w:color w:val="000000"/>
                <w:sz w:val="16"/>
                <w:szCs w:val="16"/>
              </w:rPr>
              <w:t>Razón</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3CE310" w14:textId="77777777" w:rsidR="0044299D" w:rsidRDefault="00000000">
            <w:pPr>
              <w:spacing w:after="0" w:line="240" w:lineRule="auto"/>
            </w:pPr>
            <w:r>
              <w:rPr>
                <w:color w:val="000000"/>
                <w:sz w:val="16"/>
                <w:szCs w:val="16"/>
              </w:rPr>
              <w:t>Mililitros</w:t>
            </w:r>
          </w:p>
        </w:tc>
      </w:tr>
      <w:tr w:rsidR="0044299D" w14:paraId="499DB43E"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2C56C9" w14:textId="77777777" w:rsidR="0044299D" w:rsidRDefault="00000000">
            <w:pPr>
              <w:spacing w:after="0" w:line="240" w:lineRule="auto"/>
            </w:pPr>
            <w:r>
              <w:rPr>
                <w:b/>
                <w:bCs/>
                <w:color w:val="000000"/>
                <w:sz w:val="16"/>
                <w:szCs w:val="16"/>
              </w:rPr>
              <w:lastRenderedPageBreak/>
              <w:t>Sangrado mayor</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0A2E51" w14:textId="77777777" w:rsidR="0044299D" w:rsidRDefault="00000000">
            <w:pPr>
              <w:spacing w:after="0" w:line="240" w:lineRule="auto"/>
            </w:pPr>
            <w:r>
              <w:rPr>
                <w:color w:val="000000"/>
                <w:sz w:val="16"/>
                <w:szCs w:val="16"/>
              </w:rPr>
              <w:t xml:space="preserve">Clase 3 o 4 de la definición universal de sangrado perioperatorio, adaptada a sus componentes medibles: drenaje, reexploración, taponamiento y uso de concentrados de factores (38)</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9FB657"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22E413" w14:textId="77777777" w:rsidR="0044299D" w:rsidRDefault="00000000">
            <w:pPr>
              <w:spacing w:after="0" w:line="240" w:lineRule="auto"/>
            </w:pPr>
            <w:r>
              <w:rPr>
                <w:color w:val="000000"/>
                <w:sz w:val="16"/>
                <w:szCs w:val="16"/>
              </w:rPr>
              <w:t>Ordinal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9476C8" w14:textId="77777777" w:rsidR="0044299D" w:rsidRDefault="00000000">
            <w:pPr>
              <w:spacing w:after="0" w:line="240" w:lineRule="auto"/>
            </w:pPr>
            <w:r>
              <w:rPr>
                <w:color w:val="000000"/>
                <w:sz w:val="16"/>
                <w:szCs w:val="16"/>
              </w:rPr>
              <w:t>Clase 0 a 4</w:t>
            </w:r>
          </w:p>
        </w:tc>
      </w:tr>
      <w:tr w:rsidR="0044299D" w14:paraId="6BA8FC5E"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188358" w14:textId="77777777" w:rsidR="0044299D" w:rsidRDefault="00000000">
            <w:pPr>
              <w:spacing w:after="0" w:line="240" w:lineRule="auto"/>
            </w:pPr>
            <w:r>
              <w:rPr>
                <w:b/>
                <w:bCs/>
                <w:color w:val="000000"/>
                <w:sz w:val="16"/>
                <w:szCs w:val="16"/>
              </w:rPr>
              <w:t xml:space="preserve">Transfusión de hemocomponentes</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73921F" w14:textId="77777777" w:rsidR="0044299D" w:rsidRDefault="00000000">
            <w:pPr>
              <w:spacing w:after="0" w:line="240" w:lineRule="auto"/>
            </w:pPr>
            <w:r>
              <w:rPr>
                <w:color w:val="000000"/>
                <w:sz w:val="16"/>
                <w:szCs w:val="16"/>
              </w:rPr>
              <w:t xml:space="preserve">Administración de cualquier hemocomponente pese al rechazo preoperatorio, con tipo, momento y circunstancia documentada; no modifica la elegibilidad</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B99039"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DE8FD5" w14:textId="77777777" w:rsidR="0044299D" w:rsidRDefault="00000000">
            <w:pPr>
              <w:spacing w:after="0" w:line="240" w:lineRule="auto"/>
            </w:pPr>
            <w:r>
              <w:rPr>
                <w:color w:val="000000"/>
                <w:sz w:val="16"/>
                <w:szCs w:val="16"/>
              </w:rPr>
              <w:t>Nominal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40AFE7" w14:textId="77777777" w:rsidR="0044299D" w:rsidRDefault="00000000">
            <w:pPr>
              <w:spacing w:after="0" w:line="240" w:lineRule="auto"/>
            </w:pPr>
            <w:r>
              <w:rPr>
                <w:color w:val="000000"/>
                <w:sz w:val="16"/>
                <w:szCs w:val="16"/>
              </w:rPr>
              <w:t>Sí / No / No consta</w:t>
            </w:r>
          </w:p>
        </w:tc>
      </w:tr>
      <w:tr w:rsidR="0044299D">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pPr>
              <w:spacing w:after="0" w:line="240" w:lineRule="auto"/>
            </w:pPr>
            <w:r>
              <w:rPr>
                <w:b/>
                <w:bCs/>
                <w:color w:val="000000"/>
                <w:sz w:val="16"/>
                <w:szCs w:val="16"/>
                <w:highlight w:val="yellow"/>
              </w:rPr>
              <w:t xml:space="preserve">Documento de la negativa transfusional</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pPr>
              <w:spacing w:after="0" w:line="240" w:lineRule="auto"/>
            </w:pPr>
            <w:r>
              <w:rPr>
                <w:color w:val="000000"/>
                <w:sz w:val="16"/>
                <w:szCs w:val="16"/>
                <w:highlight w:val="yellow"/>
              </w:rPr>
              <w:t xml:space="preserve">Tipo de documento en el que consta la negativa previa a la cirugía índice y tiempo entre su registro y la cirugía (numeral 3.5)</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pPr>
              <w:spacing w:after="0" w:line="240" w:lineRule="auto"/>
            </w:pPr>
            <w:r>
              <w:rPr>
                <w:color w:val="000000"/>
                <w:sz w:val="16"/>
                <w:szCs w:val="16"/>
                <w:highlight w:val="yellow"/>
              </w:rPr>
              <w:t xml:space="preserve">Cualitativa y cuantitativa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pPr>
              <w:spacing w:after="0" w:line="240" w:lineRule="auto"/>
            </w:pPr>
            <w:r>
              <w:rPr>
                <w:color w:val="000000"/>
                <w:sz w:val="16"/>
                <w:szCs w:val="16"/>
                <w:highlight w:val="yellow"/>
              </w:rPr>
              <w:t xml:space="preserve">Nominal y razón</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pPr>
              <w:spacing w:after="0" w:line="240" w:lineRule="auto"/>
            </w:pPr>
            <w:r>
              <w:rPr>
                <w:color w:val="000000"/>
                <w:sz w:val="16"/>
                <w:szCs w:val="16"/>
                <w:highlight w:val="yellow"/>
              </w:rPr>
              <w:t xml:space="preserve">Formato institucional / consentimiento / directriz anticipada / nota médica; días</w:t>
            </w:r>
          </w:p>
        </w:tc>
      </w:tr>
      <w:tr w:rsidR="0044299D">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pPr>
              <w:spacing w:after="0" w:line="240" w:lineRule="auto"/>
            </w:pPr>
            <w:r>
              <w:rPr>
                <w:b/>
                <w:bCs/>
                <w:color w:val="000000"/>
                <w:sz w:val="16"/>
                <w:szCs w:val="16"/>
                <w:highlight w:val="yellow"/>
              </w:rPr>
              <w:t xml:space="preserve">Cambio de voluntad</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pPr>
              <w:spacing w:after="0" w:line="240" w:lineRule="auto"/>
            </w:pPr>
            <w:r>
              <w:rPr>
                <w:color w:val="000000"/>
                <w:sz w:val="16"/>
                <w:szCs w:val="16"/>
                <w:highlight w:val="yellow"/>
              </w:rPr>
              <w:t xml:space="preserve">Registro posterior que modifica, amplía o revoca la decisión inicial, con fecha, fase y persona que lo expresa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pPr>
              <w:spacing w:after="0" w:line="240" w:lineRule="auto"/>
            </w:pPr>
            <w:r>
              <w:rPr>
                <w:color w:val="000000"/>
                <w:sz w:val="16"/>
                <w:szCs w:val="16"/>
                <w:highlight w:val="yellow"/>
              </w:rPr>
              <w:t xml:space="preserve">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pPr>
              <w:spacing w:after="0" w:line="240" w:lineRule="auto"/>
            </w:pPr>
            <w:r>
              <w:rPr>
                <w:color w:val="000000"/>
                <w:sz w:val="16"/>
                <w:szCs w:val="16"/>
                <w:highlight w:val="yellow"/>
              </w:rPr>
              <w:t xml:space="preserve">Nominal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pPr>
              <w:spacing w:after="0" w:line="240" w:lineRule="auto"/>
            </w:pPr>
            <w:r>
              <w:rPr>
                <w:color w:val="000000"/>
                <w:sz w:val="16"/>
                <w:szCs w:val="16"/>
                <w:highlight w:val="yellow"/>
              </w:rPr>
              <w:t xml:space="preserve">Sí / No / No documentado; fase</w:t>
            </w:r>
          </w:p>
        </w:tc>
      </w:tr>
      <w:tr w:rsidR="0044299D">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pPr>
              <w:spacing w:after="0" w:line="240" w:lineRule="auto"/>
            </w:pPr>
            <w:r>
              <w:rPr>
                <w:b/>
                <w:bCs/>
                <w:color w:val="000000"/>
                <w:sz w:val="16"/>
                <w:szCs w:val="16"/>
                <w:highlight w:val="yellow"/>
              </w:rPr>
              <w:t xml:space="preserve">Circunstancia de la transfusión</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pPr>
              <w:spacing w:after="0" w:line="240" w:lineRule="auto"/>
            </w:pPr>
            <w:r>
              <w:rPr>
                <w:color w:val="000000"/>
                <w:sz w:val="16"/>
                <w:szCs w:val="16"/>
                <w:highlight w:val="yellow"/>
              </w:rPr>
              <w:t xml:space="preserve">Circunstancia documentada de cualquier transfusión pese a la negativa, verificada por triangulación de fuentes (numeral 3.5)</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pPr>
              <w:spacing w:after="0" w:line="240" w:lineRule="auto"/>
            </w:pPr>
            <w:r>
              <w:rPr>
                <w:color w:val="000000"/>
                <w:sz w:val="16"/>
                <w:szCs w:val="16"/>
                <w:highlight w:val="yellow"/>
              </w:rPr>
              <w:t xml:space="preserve">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pPr>
              <w:spacing w:after="0" w:line="240" w:lineRule="auto"/>
            </w:pPr>
            <w:r>
              <w:rPr>
                <w:color w:val="000000"/>
                <w:sz w:val="16"/>
                <w:szCs w:val="16"/>
                <w:highlight w:val="yellow"/>
              </w:rPr>
              <w:t xml:space="preserve">Nominal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pPr>
              <w:spacing w:after="0" w:line="240" w:lineRule="auto"/>
            </w:pPr>
            <w:r>
              <w:rPr>
                <w:color w:val="000000"/>
                <w:sz w:val="16"/>
                <w:szCs w:val="16"/>
                <w:highlight w:val="yellow"/>
              </w:rPr>
              <w:t xml:space="preserve">Con consentimiento o cambio de voluntad / emergencia sin capacidad / orden judicial o administrativa / sin circunstancia documentada / no concluyente</w:t>
            </w:r>
          </w:p>
        </w:tc>
      </w:tr>
      <w:tr w:rsidR="0044299D" w14:paraId="466DCE30" w14:textId="77777777">
        <w:trPr>
          <w:cantSplit/>
          <w:jc w:val="center"/>
        </w:trPr>
        <w:tc>
          <w:tcPr>
            <w:tcW w:w="9404" w:type="dxa"/>
            <w:gridSpan w:val="5"/>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4CE69EFA" w14:textId="77777777" w:rsidR="0044299D" w:rsidRDefault="00000000">
            <w:pPr>
              <w:spacing w:after="0" w:line="240" w:lineRule="auto"/>
            </w:pPr>
            <w:r>
              <w:rPr>
                <w:b/>
                <w:bCs/>
                <w:color w:val="000000"/>
                <w:sz w:val="16"/>
                <w:szCs w:val="16"/>
              </w:rPr>
              <w:t>Desenlace primario y sus componentes (desde la cirugía índice hasta el egreso)</w:t>
            </w:r>
          </w:p>
        </w:tc>
      </w:tr>
      <w:tr w:rsidR="0044299D" w14:paraId="2BC97937"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8BDA74" w14:textId="77777777" w:rsidR="0044299D" w:rsidRDefault="00000000">
            <w:pPr>
              <w:spacing w:after="0" w:line="240" w:lineRule="auto"/>
            </w:pPr>
            <w:r>
              <w:rPr>
                <w:b/>
                <w:bCs/>
                <w:color w:val="000000"/>
                <w:sz w:val="16"/>
                <w:szCs w:val="16"/>
              </w:rPr>
              <w:t>Desenlace primario compuesto</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489E3B" w14:textId="77777777" w:rsidR="0044299D" w:rsidRDefault="00000000">
            <w:pPr>
              <w:spacing w:after="0" w:line="240" w:lineRule="auto"/>
            </w:pPr>
            <w:r>
              <w:rPr>
                <w:color w:val="000000"/>
                <w:sz w:val="16"/>
                <w:szCs w:val="16"/>
              </w:rPr>
              <w:t>Al menos uno de los componentes siguientes; cada paciente se cuenta una vez</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EB34A4"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4F777B" w14:textId="77777777" w:rsidR="0044299D" w:rsidRDefault="00000000">
            <w:pPr>
              <w:spacing w:after="0" w:line="240" w:lineRule="auto"/>
            </w:pPr>
            <w:r>
              <w:rPr>
                <w:color w:val="000000"/>
                <w:sz w:val="16"/>
                <w:szCs w:val="16"/>
              </w:rPr>
              <w:t>Nominal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A785EB" w14:textId="77777777" w:rsidR="0044299D" w:rsidRDefault="00000000">
            <w:pPr>
              <w:spacing w:after="0" w:line="240" w:lineRule="auto"/>
            </w:pPr>
            <w:r>
              <w:rPr>
                <w:color w:val="000000"/>
                <w:sz w:val="16"/>
                <w:szCs w:val="16"/>
              </w:rPr>
              <w:t>Sí / No</w:t>
            </w:r>
          </w:p>
        </w:tc>
      </w:tr>
      <w:tr w:rsidR="0044299D" w14:paraId="288338B3"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3BFB95" w14:textId="77777777" w:rsidR="0044299D" w:rsidRDefault="00000000">
            <w:pPr>
              <w:spacing w:after="0" w:line="240" w:lineRule="auto"/>
            </w:pPr>
            <w:r>
              <w:rPr>
                <w:b/>
                <w:bCs/>
                <w:color w:val="000000"/>
                <w:sz w:val="16"/>
                <w:szCs w:val="16"/>
              </w:rPr>
              <w:t>Muerte intrahospitalaria</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2F83B4" w14:textId="77777777" w:rsidR="0044299D" w:rsidRDefault="00000000">
            <w:pPr>
              <w:spacing w:after="0" w:line="240" w:lineRule="auto"/>
            </w:pPr>
            <w:r>
              <w:rPr>
                <w:color w:val="000000"/>
                <w:sz w:val="16"/>
                <w:szCs w:val="16"/>
              </w:rPr>
              <w:t>Muerte por cualquier causa durante la hospitalización índice</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DC84E7"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E37D24" w14:textId="77777777" w:rsidR="0044299D" w:rsidRDefault="00000000">
            <w:pPr>
              <w:spacing w:after="0" w:line="240" w:lineRule="auto"/>
            </w:pPr>
            <w:r>
              <w:rPr>
                <w:color w:val="000000"/>
                <w:sz w:val="16"/>
                <w:szCs w:val="16"/>
              </w:rPr>
              <w:t>Nominal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44A539" w14:textId="77777777" w:rsidR="0044299D" w:rsidRDefault="00000000">
            <w:pPr>
              <w:spacing w:after="0" w:line="240" w:lineRule="auto"/>
            </w:pPr>
            <w:r>
              <w:rPr>
                <w:color w:val="000000"/>
                <w:sz w:val="16"/>
                <w:szCs w:val="16"/>
              </w:rPr>
              <w:t>Sí / No</w:t>
            </w:r>
          </w:p>
        </w:tc>
      </w:tr>
      <w:tr w:rsidR="0044299D" w14:paraId="3DAF2774"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22FF52" w14:textId="77777777" w:rsidR="0044299D" w:rsidRDefault="00000000">
            <w:pPr>
              <w:spacing w:after="0" w:line="240" w:lineRule="auto"/>
            </w:pPr>
            <w:r>
              <w:rPr>
                <w:b/>
                <w:bCs/>
                <w:color w:val="000000"/>
                <w:sz w:val="16"/>
                <w:szCs w:val="16"/>
              </w:rPr>
              <w:t>Accidente cerebrovascular</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A9D3E4" w14:textId="77777777" w:rsidR="0044299D" w:rsidRDefault="00000000">
            <w:pPr>
              <w:spacing w:after="0" w:line="240" w:lineRule="auto"/>
            </w:pPr>
            <w:r>
              <w:rPr>
                <w:color w:val="000000"/>
                <w:sz w:val="16"/>
                <w:szCs w:val="16"/>
              </w:rPr>
              <w:t>Déficit neurológico focal nuevo de origen central que persiste más de 24 horas o con lesión aguda en neuroimagen, documentado por neurología o por imagen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32A945"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9494EF" w14:textId="77777777" w:rsidR="0044299D" w:rsidRDefault="00000000">
            <w:pPr>
              <w:spacing w:after="0" w:line="240" w:lineRule="auto"/>
            </w:pPr>
            <w:r>
              <w:rPr>
                <w:color w:val="000000"/>
                <w:sz w:val="16"/>
                <w:szCs w:val="16"/>
              </w:rPr>
              <w:t>Nominal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2258A3" w14:textId="77777777" w:rsidR="0044299D" w:rsidRDefault="00000000">
            <w:pPr>
              <w:spacing w:after="0" w:line="240" w:lineRule="auto"/>
            </w:pPr>
            <w:r>
              <w:rPr>
                <w:color w:val="000000"/>
                <w:sz w:val="16"/>
                <w:szCs w:val="16"/>
              </w:rPr>
              <w:t>Sí / No</w:t>
            </w:r>
          </w:p>
        </w:tc>
      </w:tr>
      <w:tr w:rsidR="0044299D" w14:paraId="0CE91FF6"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895680" w14:textId="77777777" w:rsidR="0044299D" w:rsidRDefault="00000000">
            <w:pPr>
              <w:spacing w:after="0" w:line="240" w:lineRule="auto"/>
            </w:pPr>
            <w:r>
              <w:rPr>
                <w:b/>
                <w:bCs/>
                <w:color w:val="000000"/>
                <w:sz w:val="16"/>
                <w:szCs w:val="16"/>
              </w:rPr>
              <w:t>Shock cardiogénico</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C8194F" w14:textId="77777777" w:rsidR="0044299D" w:rsidRDefault="00000000">
            <w:pPr>
              <w:spacing w:after="0" w:line="240" w:lineRule="auto"/>
            </w:pPr>
            <w:r>
              <w:rPr>
                <w:color w:val="000000"/>
                <w:sz w:val="16"/>
                <w:szCs w:val="16"/>
              </w:rPr>
              <w:t xml:space="preserve">Presión arterial sistólica menor de 90 mmHg por más de 30 minutos, o necesidad de vasopresor o inotrópico para mantenerla, con signos de hipoperfusión (lactato mayor de 2 mmol/L, gasto urinario menor de 0,5 mL/kg/h o alteración del estado de conciencia) o necesidad de soporte circulatorio mecánico, de causa cardiaca (estadio C o mayor) (41)</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7FB702"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9C69E6" w14:textId="77777777" w:rsidR="0044299D" w:rsidRDefault="00000000">
            <w:pPr>
              <w:spacing w:after="0" w:line="240" w:lineRule="auto"/>
            </w:pPr>
            <w:r>
              <w:rPr>
                <w:color w:val="000000"/>
                <w:sz w:val="16"/>
                <w:szCs w:val="16"/>
              </w:rPr>
              <w:t>Nominal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97496F" w14:textId="77777777" w:rsidR="0044299D" w:rsidRDefault="00000000">
            <w:pPr>
              <w:spacing w:after="0" w:line="240" w:lineRule="auto"/>
            </w:pPr>
            <w:r>
              <w:rPr>
                <w:color w:val="000000"/>
                <w:sz w:val="16"/>
                <w:szCs w:val="16"/>
              </w:rPr>
              <w:t>Sí / No</w:t>
            </w:r>
          </w:p>
        </w:tc>
      </w:tr>
      <w:tr w:rsidR="0044299D" w14:paraId="6CA8C4D4"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7BE4C6" w14:textId="77777777" w:rsidR="0044299D" w:rsidRDefault="00000000">
            <w:pPr>
              <w:spacing w:after="0" w:line="240" w:lineRule="auto"/>
            </w:pPr>
            <w:r>
              <w:rPr>
                <w:b/>
                <w:bCs/>
                <w:color w:val="000000"/>
                <w:sz w:val="16"/>
                <w:szCs w:val="16"/>
              </w:rPr>
              <w:t>Lesión renal aguda</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0479EA" w14:textId="77777777" w:rsidR="0044299D" w:rsidRDefault="00000000">
            <w:pPr>
              <w:spacing w:after="0" w:line="240" w:lineRule="auto"/>
            </w:pPr>
            <w:r>
              <w:rPr>
                <w:color w:val="000000"/>
                <w:sz w:val="16"/>
                <w:szCs w:val="16"/>
              </w:rPr>
              <w:t xml:space="preserve">Criterios de creatinina en los 7 días posoperatorios: estadio 1, aumento de 0,3 mg/dL o más en 48 horas o de 1,5 a 1,9 veces el basal; estadio 2, de 2,0 a 2,9 veces; estadio 3, 3 veces o más, creatinina de 4 mg/dL o más, o inicio de terapia de reemplazo renal (39). Componente del compuesto: estadio 2 o 3</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C5D4C2"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7FECA5" w14:textId="77777777" w:rsidR="0044299D" w:rsidRDefault="00000000">
            <w:pPr>
              <w:spacing w:after="0" w:line="240" w:lineRule="auto"/>
            </w:pPr>
            <w:r>
              <w:rPr>
                <w:color w:val="000000"/>
                <w:sz w:val="16"/>
                <w:szCs w:val="16"/>
              </w:rPr>
              <w:t>Ordinal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A64B70" w14:textId="77777777" w:rsidR="0044299D" w:rsidRDefault="00000000">
            <w:pPr>
              <w:spacing w:after="0" w:line="240" w:lineRule="auto"/>
            </w:pPr>
            <w:r>
              <w:rPr>
                <w:color w:val="000000"/>
                <w:sz w:val="16"/>
                <w:szCs w:val="16"/>
              </w:rPr>
              <w:t>Sin lesión / estadio 1 / 2 / 3</w:t>
            </w:r>
          </w:p>
        </w:tc>
      </w:tr>
      <w:tr w:rsidR="0044299D" w14:paraId="21471AA5"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93DB40" w14:textId="77777777" w:rsidR="0044299D" w:rsidRDefault="00000000">
            <w:pPr>
              <w:spacing w:after="0" w:line="240" w:lineRule="auto"/>
            </w:pPr>
            <w:r>
              <w:rPr>
                <w:b/>
                <w:bCs/>
                <w:color w:val="000000"/>
                <w:sz w:val="16"/>
                <w:szCs w:val="16"/>
              </w:rPr>
              <w:t>Complicación respiratoria</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4EDED2" w14:textId="77777777" w:rsidR="0044299D" w:rsidRDefault="00000000">
            <w:pPr>
              <w:spacing w:after="0" w:line="240" w:lineRule="auto"/>
            </w:pPr>
            <w:r>
              <w:rPr>
                <w:color w:val="000000"/>
                <w:sz w:val="16"/>
                <w:szCs w:val="16"/>
              </w:rPr>
              <w:t xml:space="preserve">Ventilación mecánica invasiva mayor de 24 horas desde la salida de sala de cirugía o reintubación durante la hospitalización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C6FD73"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F5F27A" w14:textId="77777777" w:rsidR="0044299D" w:rsidRDefault="00000000">
            <w:pPr>
              <w:spacing w:after="0" w:line="240" w:lineRule="auto"/>
            </w:pPr>
            <w:r>
              <w:rPr>
                <w:color w:val="000000"/>
                <w:sz w:val="16"/>
                <w:szCs w:val="16"/>
              </w:rPr>
              <w:t>Nominal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641A06" w14:textId="77777777" w:rsidR="0044299D" w:rsidRDefault="00000000">
            <w:pPr>
              <w:spacing w:after="0" w:line="240" w:lineRule="auto"/>
            </w:pPr>
            <w:r>
              <w:rPr>
                <w:color w:val="000000"/>
                <w:sz w:val="16"/>
                <w:szCs w:val="16"/>
              </w:rPr>
              <w:t>Sí / No</w:t>
            </w:r>
          </w:p>
        </w:tc>
      </w:tr>
      <w:tr w:rsidR="0044299D" w14:paraId="3BB9CA8B"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D5E3D7" w14:textId="77777777" w:rsidR="0044299D" w:rsidRDefault="00000000">
            <w:pPr>
              <w:spacing w:after="0" w:line="240" w:lineRule="auto"/>
            </w:pPr>
            <w:r>
              <w:rPr>
                <w:b/>
                <w:bCs/>
                <w:color w:val="000000"/>
                <w:sz w:val="16"/>
                <w:szCs w:val="16"/>
              </w:rPr>
              <w:t>Infección grave</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9275EB" w14:textId="77777777" w:rsidR="0044299D" w:rsidRDefault="00000000">
            <w:pPr>
              <w:spacing w:after="0" w:line="240" w:lineRule="auto"/>
            </w:pPr>
            <w:r>
              <w:rPr>
                <w:color w:val="000000"/>
                <w:sz w:val="16"/>
                <w:szCs w:val="16"/>
              </w:rPr>
              <w:t xml:space="preserve">Sepsis (infección sospechada o confirmada con aumento de 2 o más puntos en la escala SOFA) (40); mediastinitis o infección profunda de la herida esternal (compromiso de músculo, hueso o mediastino con cultivo positivo, hallazgo en reintervención o signos clínicos y de imagen); o neumonía asociada al ventilador (nuevo infiltrado con criterios clínicos tras más de 48 horas de ventilación)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C25E70"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ADACA8" w14:textId="77777777" w:rsidR="0044299D" w:rsidRDefault="00000000">
            <w:pPr>
              <w:spacing w:after="0" w:line="240" w:lineRule="auto"/>
            </w:pPr>
            <w:r>
              <w:rPr>
                <w:color w:val="000000"/>
                <w:sz w:val="16"/>
                <w:szCs w:val="16"/>
              </w:rPr>
              <w:t>Nominal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C564D2" w14:textId="77777777" w:rsidR="0044299D" w:rsidRDefault="00000000">
            <w:pPr>
              <w:spacing w:after="0" w:line="240" w:lineRule="auto"/>
            </w:pPr>
            <w:r>
              <w:rPr>
                <w:color w:val="000000"/>
                <w:sz w:val="16"/>
                <w:szCs w:val="16"/>
              </w:rPr>
              <w:t>Sí / No, por tipo</w:t>
            </w:r>
          </w:p>
        </w:tc>
      </w:tr>
      <w:tr w:rsidR="0044299D" w14:paraId="64DF1F70"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9C12E2" w14:textId="77777777" w:rsidR="0044299D" w:rsidRDefault="00000000">
            <w:pPr>
              <w:spacing w:after="0" w:line="240" w:lineRule="auto"/>
            </w:pPr>
            <w:r>
              <w:rPr>
                <w:b/>
                <w:bCs/>
                <w:color w:val="000000"/>
                <w:sz w:val="16"/>
                <w:szCs w:val="16"/>
              </w:rPr>
              <w:t>Reintervención</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8D4084" w14:textId="77777777" w:rsidR="0044299D" w:rsidRDefault="00000000">
            <w:pPr>
              <w:spacing w:after="0" w:line="240" w:lineRule="auto"/>
            </w:pPr>
            <w:r>
              <w:rPr>
                <w:color w:val="000000"/>
                <w:sz w:val="16"/>
                <w:szCs w:val="16"/>
              </w:rPr>
              <w:t>Nuevo procedimiento en sala de cirugía o reapertura torácica en cuidado intensivo relacionado con la cirugía índice</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F0EEAE"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01642D" w14:textId="77777777" w:rsidR="0044299D" w:rsidRDefault="00000000">
            <w:pPr>
              <w:spacing w:after="0" w:line="240" w:lineRule="auto"/>
            </w:pPr>
            <w:r>
              <w:rPr>
                <w:color w:val="000000"/>
                <w:sz w:val="16"/>
                <w:szCs w:val="16"/>
              </w:rPr>
              <w:t>Nominal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6CD974" w14:textId="77777777" w:rsidR="0044299D" w:rsidRDefault="00000000">
            <w:pPr>
              <w:spacing w:after="0" w:line="240" w:lineRule="auto"/>
            </w:pPr>
            <w:r>
              <w:rPr>
                <w:color w:val="000000"/>
                <w:sz w:val="16"/>
                <w:szCs w:val="16"/>
              </w:rPr>
              <w:t>Sí / No; causa: sangrado o taponamiento, injerto o válvula, herida, otra</w:t>
            </w:r>
          </w:p>
        </w:tc>
      </w:tr>
      <w:tr w:rsidR="0044299D" w14:paraId="6DDD05D8" w14:textId="77777777">
        <w:trPr>
          <w:cantSplit/>
          <w:jc w:val="center"/>
        </w:trPr>
        <w:tc>
          <w:tcPr>
            <w:tcW w:w="9404" w:type="dxa"/>
            <w:gridSpan w:val="5"/>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5EC605E5" w14:textId="77777777" w:rsidR="0044299D" w:rsidRDefault="00000000">
            <w:pPr>
              <w:spacing w:after="0" w:line="240" w:lineRule="auto"/>
            </w:pPr>
            <w:r>
              <w:rPr>
                <w:b/>
                <w:bCs/>
                <w:color w:val="000000"/>
                <w:sz w:val="16"/>
                <w:szCs w:val="16"/>
              </w:rPr>
              <w:t>Desenlaces secundarios</w:t>
            </w:r>
          </w:p>
        </w:tc>
      </w:tr>
      <w:tr w:rsidR="0044299D" w14:paraId="45983080"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361FA3" w14:textId="77777777" w:rsidR="0044299D" w:rsidRDefault="00000000">
            <w:pPr>
              <w:spacing w:after="0" w:line="240" w:lineRule="auto"/>
            </w:pPr>
            <w:r>
              <w:rPr>
                <w:b/>
                <w:bCs/>
                <w:color w:val="000000"/>
                <w:sz w:val="16"/>
                <w:szCs w:val="16"/>
              </w:rPr>
              <w:t>Mortalidad a 30 días</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6886E8" w14:textId="77777777" w:rsidR="0044299D" w:rsidRDefault="00000000">
            <w:pPr>
              <w:spacing w:after="0" w:line="240" w:lineRule="auto"/>
            </w:pPr>
            <w:r>
              <w:rPr>
                <w:color w:val="000000"/>
                <w:sz w:val="16"/>
                <w:szCs w:val="16"/>
              </w:rPr>
              <w:t>Muerte confirmada dentro de los 30 días de la cirugía índice; sin verificación, no determinada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0C5230"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B9E875" w14:textId="77777777" w:rsidR="0044299D" w:rsidRDefault="00000000">
            <w:pPr>
              <w:spacing w:after="0" w:line="240" w:lineRule="auto"/>
            </w:pPr>
            <w:r>
              <w:rPr>
                <w:color w:val="000000"/>
                <w:sz w:val="16"/>
                <w:szCs w:val="16"/>
              </w:rPr>
              <w:t>Nominal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17B56F" w14:textId="77777777" w:rsidR="0044299D" w:rsidRDefault="00000000">
            <w:pPr>
              <w:spacing w:after="0" w:line="240" w:lineRule="auto"/>
            </w:pPr>
            <w:r>
              <w:rPr>
                <w:color w:val="000000"/>
                <w:sz w:val="16"/>
                <w:szCs w:val="16"/>
              </w:rPr>
              <w:t>Sí / No / No determinada</w:t>
            </w:r>
          </w:p>
        </w:tc>
      </w:tr>
      <w:tr w:rsidR="0044299D" w14:paraId="27824752"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897BC8" w14:textId="77777777" w:rsidR="0044299D" w:rsidRDefault="00000000">
            <w:pPr>
              <w:spacing w:after="0" w:line="240" w:lineRule="auto"/>
            </w:pPr>
            <w:r>
              <w:rPr>
                <w:b/>
                <w:bCs/>
                <w:color w:val="000000"/>
                <w:sz w:val="16"/>
                <w:szCs w:val="16"/>
              </w:rPr>
              <w:t>Infarto de miocardio perioperatorio</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5EAD55" w14:textId="77777777" w:rsidR="0044299D" w:rsidRDefault="00000000">
            <w:pPr>
              <w:spacing w:after="0" w:line="240" w:lineRule="auto"/>
            </w:pPr>
            <w:r>
              <w:rPr>
                <w:color w:val="000000"/>
                <w:sz w:val="16"/>
                <w:szCs w:val="16"/>
              </w:rPr>
              <w:t>Infarto tipo 5 según la cuarta definición universal (42)</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2C4B27"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4BF6A0" w14:textId="77777777" w:rsidR="0044299D" w:rsidRDefault="00000000">
            <w:pPr>
              <w:spacing w:after="0" w:line="240" w:lineRule="auto"/>
            </w:pPr>
            <w:r>
              <w:rPr>
                <w:color w:val="000000"/>
                <w:sz w:val="16"/>
                <w:szCs w:val="16"/>
              </w:rPr>
              <w:t>Nominal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4141B4" w14:textId="77777777" w:rsidR="0044299D" w:rsidRDefault="00000000">
            <w:pPr>
              <w:spacing w:after="0" w:line="240" w:lineRule="auto"/>
            </w:pPr>
            <w:r>
              <w:rPr>
                <w:color w:val="000000"/>
                <w:sz w:val="16"/>
                <w:szCs w:val="16"/>
              </w:rPr>
              <w:t>Sí / No</w:t>
            </w:r>
          </w:p>
        </w:tc>
      </w:tr>
      <w:tr w:rsidR="0044299D" w14:paraId="532519AC"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F6DFB8" w14:textId="77777777" w:rsidR="0044299D" w:rsidRDefault="00000000">
            <w:pPr>
              <w:spacing w:after="0" w:line="240" w:lineRule="auto"/>
            </w:pPr>
            <w:r>
              <w:rPr>
                <w:b/>
                <w:bCs/>
                <w:color w:val="000000"/>
                <w:sz w:val="16"/>
                <w:szCs w:val="16"/>
              </w:rPr>
              <w:t>Fibrilación auricular posoperatoria</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F161E5" w14:textId="77777777" w:rsidR="0044299D" w:rsidRDefault="00000000">
            <w:pPr>
              <w:spacing w:after="0" w:line="240" w:lineRule="auto"/>
            </w:pPr>
            <w:r>
              <w:rPr>
                <w:color w:val="000000"/>
                <w:sz w:val="16"/>
                <w:szCs w:val="16"/>
              </w:rPr>
              <w:t>Fibrilación auricular nueva documentada durante la hospitalización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45760B" w14:textId="77777777" w:rsidR="0044299D" w:rsidRDefault="00000000">
            <w:pPr>
              <w:spacing w:after="0" w:line="240" w:lineRule="auto"/>
            </w:pPr>
            <w:r>
              <w:rPr>
                <w:color w:val="000000"/>
                <w:sz w:val="16"/>
                <w:szCs w:val="16"/>
              </w:rPr>
              <w:t>Cualitativa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CE5464" w14:textId="77777777" w:rsidR="0044299D" w:rsidRDefault="00000000">
            <w:pPr>
              <w:spacing w:after="0" w:line="240" w:lineRule="auto"/>
            </w:pPr>
            <w:r>
              <w:rPr>
                <w:color w:val="000000"/>
                <w:sz w:val="16"/>
                <w:szCs w:val="16"/>
              </w:rPr>
              <w:t>Nominal</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887CB6" w14:textId="77777777" w:rsidR="0044299D" w:rsidRDefault="00000000">
            <w:pPr>
              <w:spacing w:after="0" w:line="240" w:lineRule="auto"/>
            </w:pPr>
            <w:r>
              <w:rPr>
                <w:color w:val="000000"/>
                <w:sz w:val="16"/>
                <w:szCs w:val="16"/>
              </w:rPr>
              <w:t>Sí / No</w:t>
            </w:r>
          </w:p>
        </w:tc>
      </w:tr>
      <w:tr w:rsidR="0044299D" w14:paraId="40AD3D7C"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56C73B" w14:textId="77777777" w:rsidR="0044299D" w:rsidRDefault="00000000">
            <w:pPr>
              <w:spacing w:after="0" w:line="240" w:lineRule="auto"/>
            </w:pPr>
            <w:r>
              <w:rPr>
                <w:b/>
                <w:bCs/>
                <w:color w:val="000000"/>
                <w:sz w:val="16"/>
                <w:szCs w:val="16"/>
              </w:rPr>
              <w:lastRenderedPageBreak/>
              <w:t>Soporte posoperatorio</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2603EB" w14:textId="77777777" w:rsidR="0044299D" w:rsidRDefault="00000000">
            <w:pPr>
              <w:spacing w:after="0" w:line="240" w:lineRule="auto"/>
            </w:pPr>
            <w:r>
              <w:rPr>
                <w:color w:val="000000"/>
                <w:sz w:val="16"/>
                <w:szCs w:val="16"/>
              </w:rPr>
              <w:t>Duración de la ventilación mecánica invasiva y uso de vasopresores o inotrópicos</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710DEA" w14:textId="77777777" w:rsidR="0044299D" w:rsidRDefault="00000000">
            <w:pPr>
              <w:spacing w:after="0" w:line="240" w:lineRule="auto"/>
            </w:pPr>
            <w:r>
              <w:rPr>
                <w:color w:val="000000"/>
                <w:sz w:val="16"/>
                <w:szCs w:val="16"/>
              </w:rPr>
              <w:t>Cualitativa y cuantitativa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2F7EAF" w14:textId="77777777" w:rsidR="0044299D" w:rsidRDefault="00000000">
            <w:pPr>
              <w:spacing w:after="0" w:line="240" w:lineRule="auto"/>
            </w:pPr>
            <w:r>
              <w:rPr>
                <w:color w:val="000000"/>
                <w:sz w:val="16"/>
                <w:szCs w:val="16"/>
              </w:rPr>
              <w:t>Nominal y razón</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1BCDA6" w14:textId="77777777" w:rsidR="0044299D" w:rsidRDefault="00000000">
            <w:pPr>
              <w:spacing w:after="0" w:line="240" w:lineRule="auto"/>
            </w:pPr>
            <w:r>
              <w:rPr>
                <w:color w:val="000000"/>
                <w:sz w:val="16"/>
                <w:szCs w:val="16"/>
              </w:rPr>
              <w:t>Horas; Sí / No</w:t>
            </w:r>
          </w:p>
        </w:tc>
      </w:tr>
      <w:tr w:rsidR="0044299D" w14:paraId="1DB3AC2D"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1C9244" w14:textId="77777777" w:rsidR="0044299D" w:rsidRDefault="00000000">
            <w:pPr>
              <w:spacing w:after="0" w:line="240" w:lineRule="auto"/>
            </w:pPr>
            <w:r>
              <w:rPr>
                <w:b/>
                <w:bCs/>
                <w:color w:val="000000"/>
                <w:sz w:val="16"/>
                <w:szCs w:val="16"/>
              </w:rPr>
              <w:t>Estancias</w:t>
            </w:r>
          </w:p>
        </w:tc>
        <w:tc>
          <w:tcPr>
            <w:tcW w:w="3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241AD6" w14:textId="77777777" w:rsidR="0044299D" w:rsidRDefault="00000000">
            <w:pPr>
              <w:spacing w:after="0" w:line="240" w:lineRule="auto"/>
            </w:pPr>
            <w:r>
              <w:rPr>
                <w:color w:val="000000"/>
                <w:sz w:val="16"/>
                <w:szCs w:val="16"/>
              </w:rPr>
              <w:t>Estancia en la unidad de cuidados intensivos y estancia hospitalaria total</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265F4F" w14:textId="77777777" w:rsidR="0044299D" w:rsidRDefault="00000000">
            <w:pPr>
              <w:spacing w:after="0" w:line="240" w:lineRule="auto"/>
            </w:pPr>
            <w:r>
              <w:rPr>
                <w:color w:val="000000"/>
                <w:sz w:val="16"/>
                <w:szCs w:val="16"/>
              </w:rPr>
              <w:t>Cuantitativa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230BD4" w14:textId="77777777" w:rsidR="0044299D" w:rsidRDefault="00000000">
            <w:pPr>
              <w:spacing w:after="0" w:line="240" w:lineRule="auto"/>
            </w:pPr>
            <w:r>
              <w:rPr>
                <w:color w:val="000000"/>
                <w:sz w:val="16"/>
                <w:szCs w:val="16"/>
              </w:rPr>
              <w:t>Razón</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898B5A" w14:textId="77777777" w:rsidR="0044299D" w:rsidRDefault="00000000">
            <w:pPr>
              <w:spacing w:after="0" w:line="240" w:lineRule="auto"/>
            </w:pPr>
            <w:r>
              <w:rPr>
                <w:color w:val="000000"/>
                <w:sz w:val="16"/>
                <w:szCs w:val="16"/>
              </w:rPr>
              <w:t>Días</w:t>
            </w:r>
          </w:p>
        </w:tc>
      </w:tr>
    </w:tbl>
    <w:p w14:paraId="10E101D5" w14:textId="77777777" w:rsidR="0044299D" w:rsidRDefault="0044299D">
      <w:pPr>
        <w:spacing w:after="120"/>
        <w:jc w:val="both"/>
      </w:pPr>
    </w:p>
    <w:p w14:paraId="231006CC" w14:textId="77777777" w:rsidR="005D1D70" w:rsidRDefault="005D1D70">
      <w:pPr>
        <w:spacing w:after="0"/>
        <w:rPr>
          <w:sz w:val="24"/>
          <w:szCs w:val="24"/>
        </w:rPr>
      </w:pPr>
    </w:p>
    <w:p w14:paraId="38E17F5A" w14:textId="77777777" w:rsidR="005D1D70" w:rsidRDefault="005D1D70">
      <w:pPr>
        <w:spacing w:after="0"/>
        <w:rPr>
          <w:sz w:val="24"/>
          <w:szCs w:val="24"/>
        </w:rPr>
      </w:pPr>
    </w:p>
    <w:p w14:paraId="3DDF5EDC" w14:textId="77777777" w:rsidR="005D1D70" w:rsidRDefault="00000000">
      <w:pPr>
        <w:pStyle w:val="Ttulo2"/>
        <w:numPr>
          <w:ilvl w:val="1"/>
          <w:numId w:val="2"/>
        </w:numPr>
        <w:spacing w:before="0"/>
        <w:rPr>
          <w:rFonts w:ascii="Calibri" w:eastAsia="Calibri" w:hAnsi="Calibri" w:cs="Calibri"/>
          <w:color w:val="000000"/>
        </w:rPr>
      </w:pPr>
      <w:r>
        <w:rPr>
          <w:rFonts w:ascii="Calibri" w:eastAsia="Calibri" w:hAnsi="Calibri" w:cs="Calibri"/>
          <w:color w:val="000000"/>
        </w:rPr>
        <w:t>Consideraciones éticas</w:t>
      </w:r>
    </w:p>
    <w:p w14:paraId="3D46FC7B" w14:textId="77777777" w:rsidR="0044299D" w:rsidRDefault="00000000">
      <w:pPr>
        <w:spacing w:after="160"/>
        <w:jc w:val="both"/>
      </w:pPr>
      <w:r>
        <w:rPr>
          <w:color w:val="000000"/>
          <w:sz w:val="24"/>
          <w:szCs w:val="24"/>
        </w:rPr>
        <w:t>El presente estudio se realizará de acuerdo con los principios éticos establecidos para la investigación en seres humanos y con la normativa colombiana aplicable a la investigación en salud y al manejo de información clínica. Se tendrán en cuenta los principios de respeto por las personas, beneficencia y justicia contemplados en el Informe Belmont, así como las disposiciones de la Declaración de Helsinki relacionadas con la protección de los participantes, la confidencialidad de la información y la revisión previa de los proyectos por un comité de ética en investigación (10,11).</w:t>
      </w:r>
    </w:p>
    <w:p w14:paraId="6750DD5D" w14:textId="77777777" w:rsidR="0044299D" w:rsidRDefault="00000000">
      <w:pPr>
        <w:spacing w:after="160"/>
        <w:jc w:val="both"/>
      </w:pPr>
      <w:r>
        <w:rPr>
          <w:color w:val="000000"/>
          <w:sz w:val="24"/>
          <w:szCs w:val="24"/>
        </w:rPr>
        <w:t>Por su diseño observacional de cohorte retrospectiva, la investigación se basará exclusivamente en la revisión de historias clínicas electrónicas y registros institucionales generados durante la atención de los pacientes. No habrá contacto directo con los participantes ni se realizará ninguna intervención o modificación de las conductas médicas recibidas. Conforme al artículo 11 de la Resolución 8430 de 1993, los investigadores consideran que el estudio corresponde a una investigación sin riesgo; la clasificación definitiva será establecida por los comités de ética en investigación que evalúen el protocolo (13).</w:t>
      </w:r>
    </w:p>
    <w:p>
      <w:pPr>
        <w:spacing w:after="160"/>
        <w:jc w:val="both"/>
      </w:pPr>
      <w:r>
        <w:rPr>
          <w:b/>
          <w:bCs/>
          <w:color w:val="000000"/>
          <w:sz w:val="24"/>
          <w:szCs w:val="24"/>
          <w:highlight w:val="yellow"/>
        </w:rPr>
        <w:t xml:space="preserve">Justificación de la clasificación del riesgo.</w:t>
      </w:r>
      <w:r>
        <w:rPr>
          <w:color w:val="000000"/>
          <w:sz w:val="24"/>
          <w:szCs w:val="24"/>
          <w:highlight w:val="yellow"/>
        </w:rPr>
        <w:t xml:space="preserve"> El literal a) del artículo 11 de la Resolución 8430 de 1993 considera sin riesgo los estudios que emplean técnicas y métodos de investigación documental retrospectivos, entre ellos la revisión de historias clínicas, en los que no se identifique a los participantes ni se traten aspectos sensitivos de su conducta (13). El presente estudio cumple cada uno de esos supuestos:</w:t>
      </w:r>
    </w:p>
    <w:p>
      <w:pPr>
        <w:spacing w:after="160"/>
        <w:ind w:left="567"/>
        <w:jc w:val="both"/>
      </w:pPr>
      <w:r>
        <w:rPr>
          <w:color w:val="000000"/>
          <w:sz w:val="24"/>
          <w:szCs w:val="24"/>
          <w:highlight w:val="yellow"/>
        </w:rPr>
        <w:t xml:space="preserve">a) Naturaleza documental: no se realizará ninguna intervención ni modificación intencionada de variables biológicas, fisiológicas, psicológicas o sociales; la atención ya ocurrió y el estudio no puede modificarla.</w:t>
      </w:r>
    </w:p>
    <w:p>
      <w:pPr>
        <w:spacing w:after="160"/>
        <w:ind w:left="567"/>
        <w:jc w:val="both"/>
      </w:pPr>
      <w:r>
        <w:rPr>
          <w:color w:val="000000"/>
          <w:sz w:val="24"/>
          <w:szCs w:val="24"/>
          <w:highlight w:val="yellow"/>
        </w:rPr>
        <w:t xml:space="preserve">b) Ausencia de identificación: la base analítica se seudonimizará desde la extracción, no contendrá identificadores directos y los resultados se publicarán de forma agregada (numeral 3.9.1).</w:t>
      </w:r>
    </w:p>
    <w:p>
      <w:pPr>
        <w:spacing w:after="160"/>
        <w:ind w:left="567"/>
        <w:jc w:val="both"/>
      </w:pPr>
      <w:r>
        <w:rPr>
          <w:color w:val="000000"/>
          <w:sz w:val="24"/>
          <w:szCs w:val="24"/>
          <w:highlight w:val="yellow"/>
        </w:rPr>
        <w:t xml:space="preserve">c) No se tratan aspectos sensitivos de la conducta: el estudio no indaga, mide, valora ni analiza las creencias, la práctica religiosa ni la conducta de los pacientes. La condición de Testigo de Jehová se toma, como dato ya registrado por decisión del propio paciente durante su atención, solo para delimitar la población; es constante en toda la cohorte y no es una variable de análisis. Las variables estudiadas son clínicas: procedimientos, laboratorio, estrategias de conservación sanguínea y complicaciones.</w:t>
      </w:r>
    </w:p>
    <w:p>
      <w:pPr>
        <w:spacing w:after="160"/>
        <w:ind w:left="567"/>
        <w:jc w:val="both"/>
      </w:pPr>
      <w:r>
        <w:rPr>
          <w:color w:val="000000"/>
          <w:sz w:val="24"/>
          <w:szCs w:val="24"/>
          <w:highlight w:val="yellow"/>
        </w:rPr>
        <w:t xml:space="preserve">d) El único riesgo previsible es informacional —la eventual vulneración de la confidencialidad de datos sensibles—; no deriva de procedimientos aplicados a las personas y se controla con las medidas de los numerales 3.9.1 y 3.9.2.</w:t>
      </w:r>
    </w:p>
    <w:p>
      <w:pPr>
        <w:spacing w:after="160"/>
        <w:ind w:left="567"/>
        <w:jc w:val="both"/>
      </w:pPr>
      <w:r>
        <w:rPr>
          <w:color w:val="000000"/>
          <w:sz w:val="24"/>
          <w:szCs w:val="24"/>
          <w:highlight w:val="yellow"/>
        </w:rPr>
        <w:t xml:space="preserve">Los investigadores reconocen que la clasificación definitiva corresponde al Comité y que el carácter retrospectivo, por sí solo, no determina la categoría de riesgo. Por ello, la propuesta se sustenta en el cumplimiento verificable de cada supuesto normativo y en salvaguardas proporcionales al riesgo informacional (13,54).</w:t>
      </w:r>
    </w:p>
    <w:p w14:paraId="24491B18" w14:textId="77777777" w:rsidR="0044299D" w:rsidRDefault="00000000">
      <w:pPr>
        <w:spacing w:after="160"/>
        <w:jc w:val="both"/>
      </w:pPr>
      <w:r>
        <w:rPr>
          <w:color w:val="000000"/>
          <w:sz w:val="24"/>
          <w:szCs w:val="24"/>
        </w:rPr>
        <w:t>La principal consideración ética se relaciona con el acceso a información de carácter sensible. Además de los datos clínicos contenidos en las historias médicas, la identificación de los pacientes como Testigos de Jehová implica el tratamiento de información relacionada con sus convicciones religiosas. Tanto los datos relativos a la salud como las creencias religiosas son considerados datos sensibles por la legislación colombiana, por lo que su manejo deberá garantizar la privacidad, la confidencialidad y el uso exclusivo para los fines definidos en esta investigación (12-14).</w:t>
      </w:r>
    </w:p>
    <w:p w14:paraId="23A1272F" w14:textId="77777777" w:rsidR="0044299D" w:rsidRDefault="00000000">
      <w:pPr>
        <w:spacing w:after="160"/>
        <w:jc w:val="both"/>
      </w:pPr>
      <w:r>
        <w:rPr>
          <w:color w:val="000000"/>
          <w:sz w:val="24"/>
          <w:szCs w:val="24"/>
        </w:rPr>
        <w:t xml:space="preserve">La información será extraída después de contar con la aprobación de los comités de ética y la autorización institucional. Cada paciente recibirá un código de estudio y la base analítica no contendrá identificadores directos. Si se necesita una tabla temporal de correspondencia para verificación, permanecerá separada y con acceso restringido. El seguimiento vital a 30 días se efectuará exclusivamente por las fuentes institucionales autorizadas y se declarará no determinado si dichas fuentes no permiten verificarlo. La tabla de correspondencia entre códigos </w:t>
        <w:lastRenderedPageBreak/>
        <w:t>e identificadores será custodiada por el investigador principal en un archivo cifrado independiente y se destruirá al terminar la verificación de los datos.</w:t>
      </w:r>
    </w:p>
    <w:p w14:paraId="78690A24" w14:textId="77777777" w:rsidR="0044299D" w:rsidRDefault="00000000">
      <w:pPr>
        <w:spacing w:after="160"/>
        <w:jc w:val="both"/>
      </w:pPr>
      <w:r>
        <w:rPr>
          <w:color w:val="000000"/>
          <w:sz w:val="24"/>
          <w:szCs w:val="24"/>
        </w:rPr>
        <w:t>Las bases de datos se conservarán en medios institucionales protegidos mediante contraseña y cifrado, con acceso limitado a los investigadores, durante cinco años después de la publicación de los resultados, tras lo cual serán eliminadas, y serán utilizadas exclusivamente para los objetivos establecidos en el protocolo. Los resultados se presentarán de manera agregada, procurando evitar combinaciones de variables que puedan permitir la identificación de pacientes individuales, especialmente teniendo en cuenta que se trata de una población clínica poco frecuente: las edades se presentarán agrupadas y no se publicarán combinaciones de sexo, edad, año de cirugía y procedimiento que permitan reconocer a un paciente. El manejo de las historias clínicas respetará además el carácter privado y reservado de este documento y las obligaciones relacionadas con el secreto profesional establecidas en la Ley 23 de 1981 (12).</w:t>
      </w:r>
    </w:p>
    <w:p w14:paraId="70B6FFA3" w14:textId="77777777" w:rsidR="0044299D" w:rsidRDefault="00000000">
      <w:pPr>
        <w:spacing w:after="160"/>
        <w:jc w:val="both"/>
      </w:pPr>
      <w:r>
        <w:rPr>
          <w:color w:val="000000"/>
          <w:sz w:val="24"/>
          <w:szCs w:val="24"/>
        </w:rPr>
        <w:t>Debido al carácter retrospectivo del estudio, a la ausencia de intervención sobre los pacientes y al uso de información previamente registrada durante la atención clínica, se solicitará a los comités de ética en investigación la dispensa del consentimiento informado individual, de acuerdo con el parágrafo primero del artículo 16 de la Resolución 8430 de 1993 (13) y con el literal e) del artículo 6 de la Ley 1581 de 2012 (14). Esta dispensa quedará sujeta a la evaluación y aprobación de dichos comités y no será asumida de manera previa por los investigadores (11,13) (Anexo 3).</w:t>
      </w:r>
    </w:p>
    <w:p>
      <w:pPr>
        <w:spacing w:after="160"/>
        <w:jc w:val="both"/>
      </w:pPr>
      <w:r>
        <w:rPr>
          <w:b/>
          <w:bCs/>
          <w:color w:val="000000"/>
          <w:sz w:val="24"/>
          <w:szCs w:val="24"/>
          <w:highlight w:val="yellow"/>
        </w:rPr>
        <w:t xml:space="preserve">Fundamentación de la solicitud de dispensa.</w:t>
      </w:r>
      <w:r>
        <w:rPr>
          <w:color w:val="000000"/>
          <w:sz w:val="24"/>
          <w:szCs w:val="24"/>
          <w:highlight w:val="yellow"/>
        </w:rPr>
        <w:t xml:space="preserve"> La solicitud no se basa en que el estudio sea retrospectivo, sino en el cumplimiento concurrente de las condiciones exigidas por la Resolución 8430 de 1993, la Ley 1581 de 2012 y la pauta 10 de las Pautas CIOMS-OMS (13,14,54):</w:t>
      </w:r>
    </w:p>
    <w:p>
      <w:pPr>
        <w:spacing w:after="160"/>
        <w:ind w:left="567"/>
        <w:jc w:val="both"/>
      </w:pPr>
      <w:r>
        <w:rPr>
          <w:color w:val="000000"/>
          <w:sz w:val="24"/>
          <w:szCs w:val="24"/>
          <w:highlight w:val="yellow"/>
        </w:rPr>
        <w:t xml:space="preserve">a) Investigación sin riesgo: es el requisito del parágrafo primero del artículo 16 de la Resolución 8430 de 1993 y se sustenta en el apartado anterior (13).</w:t>
      </w:r>
    </w:p>
    <w:p>
      <w:pPr>
        <w:spacing w:after="160"/>
        <w:ind w:left="567"/>
        <w:jc w:val="both"/>
      </w:pPr>
      <w:r>
        <w:rPr>
          <w:color w:val="000000"/>
          <w:sz w:val="24"/>
          <w:szCs w:val="24"/>
          <w:highlight w:val="yellow"/>
        </w:rPr>
        <w:t xml:space="preserve">b) Impracticabilidad: la cohorte incluye pacientes atendidos entre 2020 y 2025, una proporción previsiblemente fallecida —la mortalidad forma parte del desenlace primario— y otros sin datos de contacto vigentes. Exigir el consentimiento excluiría sistemáticamente a los pacientes con peores desenlaces, sesgaría la estimación principal hacia resultados más favorables y comprometería la validez científica, que es en sí misma un requisito ético (11,54).</w:t>
      </w:r>
    </w:p>
    <w:p>
      <w:pPr>
        <w:spacing w:after="160"/>
        <w:ind w:left="567"/>
        <w:jc w:val="both"/>
      </w:pPr>
      <w:r>
        <w:rPr>
          <w:color w:val="000000"/>
          <w:sz w:val="24"/>
          <w:szCs w:val="24"/>
          <w:highlight w:val="yellow"/>
        </w:rPr>
        <w:t xml:space="preserve">c) El contacto aumentaría el riesgo que se busca evitar: contactar a pacientes o familiares para solicitar autorización sobre el uso de datos religiosos y transfusionales exigiría manipular identificadores, revelaría información sensible a terceros y podría percibirse como un cuestionamiento de decisiones de conciencia ya tomadas.</w:t>
      </w:r>
    </w:p>
    <w:p>
      <w:pPr>
        <w:spacing w:after="160"/>
        <w:ind w:left="567"/>
        <w:jc w:val="both"/>
      </w:pPr>
      <w:r>
        <w:rPr>
          <w:color w:val="000000"/>
          <w:sz w:val="24"/>
          <w:szCs w:val="24"/>
          <w:highlight w:val="yellow"/>
        </w:rPr>
        <w:t xml:space="preserve">d) Valor social: el estudio generará información sobre la seguridad perioperatoria de un grupo cuyo derecho a la cirugía sin transfusión reconoce la jurisprudencia constitucional y para el que no existe evidencia regional publicada (58,59).</w:t>
      </w:r>
    </w:p>
    <w:p>
      <w:pPr>
        <w:spacing w:after="160"/>
        <w:ind w:left="567"/>
        <w:jc w:val="both"/>
      </w:pPr>
      <w:r>
        <w:rPr>
          <w:color w:val="000000"/>
          <w:sz w:val="24"/>
          <w:szCs w:val="24"/>
          <w:highlight w:val="yellow"/>
        </w:rPr>
        <w:t xml:space="preserve">e) Respeto de los derechos y del bienestar de los titulares: los datos se tratarán con la finalidad científica, la supresión de identidad y las medidas de seguridad que exigen el literal e) del artículo 6 y el literal d) del artículo 10 de la Ley 1581 de 2012 (14), sin efecto alguno sobre la atención presente o futura de los pacientes.</w:t>
      </w:r>
    </w:p>
    <w:p>
      <w:pPr>
        <w:spacing w:after="160"/>
        <w:ind w:left="567"/>
        <w:jc w:val="both"/>
      </w:pPr>
      <w:r>
        <w:rPr>
          <w:color w:val="000000"/>
          <w:sz w:val="24"/>
          <w:szCs w:val="24"/>
          <w:highlight w:val="yellow"/>
        </w:rPr>
        <w:t xml:space="preserve">Si el Comité considera necesaria alguna salvaguarda adicional como condición de la dispensa, los investigadores la incorporarán antes de iniciar la recolección. Existen precedentes de estudios con este mismo diseño en Testigos de Jehová sometidos a cirugía cardiaca, aprobados por comités de ética con dispensa del consentimiento por tratarse de datos anonimizados sin contacto con los pacientes (44,62).</w:t>
      </w:r>
    </w:p>
    <w:p w14:paraId="3779F418" w14:textId="77777777" w:rsidR="0044299D" w:rsidRDefault="00000000">
      <w:pPr>
        <w:spacing w:after="160"/>
        <w:jc w:val="both"/>
      </w:pPr>
      <w:r>
        <w:rPr>
          <w:color w:val="000000"/>
          <w:sz w:val="24"/>
          <w:szCs w:val="24"/>
        </w:rPr>
        <w:t xml:space="preserve">La documentación existente sobre el rechazo de transfusiones será utilizada únicamente para verificar los criterios de elegibilidad de los participantes</w:t>
      </w:r>
      <w:r>
        <w:rPr>
          <w:color w:val="000000"/>
          <w:sz w:val="24"/>
          <w:szCs w:val="24"/>
          <w:highlight w:val="yellow"/>
        </w:rPr>
        <w:t xml:space="preserve">, así como para clasificar el perfil individual de aceptación y las circunstancias de cualquier transfusión registrada (numeral 3.5)</w:t>
      </w:r>
      <w:r>
        <w:rPr>
          <w:color w:val="000000"/>
          <w:sz w:val="24"/>
          <w:szCs w:val="24"/>
        </w:rPr>
        <w:t xml:space="preserve">. La decisión adoptada por el paciente durante su atención será respetada como parte de su autonomía y no será objeto de valoración o juicio dentro de la investigación. La condición religiosa se utilizará exclusivamente para definir la población de estudio y la información obtenida será tratada de manera confidencial, evitando cualquier uso que pueda favorecer estigmatización o discriminación (10-14).</w:t>
      </w:r>
    </w:p>
    <w:p w14:paraId="5C961B80" w14:textId="77777777" w:rsidR="0044299D" w:rsidRDefault="00000000">
      <w:pPr>
        <w:spacing w:after="160"/>
        <w:jc w:val="both"/>
      </w:pPr>
      <w:r>
        <w:rPr>
          <w:color w:val="000000"/>
          <w:sz w:val="24"/>
          <w:szCs w:val="24"/>
        </w:rPr>
        <w:t>Antes de iniciar la recolección de la información, el protocolo será presentado para evaluación y aprobación al Comité de Ética en Investigación de la Universidad Libre, Seccional Barranquilla, y al comité de ética correspondiente de la Clínica General del Norte. La revisión de las historias clínicas con fines de investigación comenzará una vez se cuente con los avales y autorizaciones requeridos.</w:t>
      </w:r>
    </w:p>
    <w:p w14:paraId="05A9F517" w14:textId="77777777" w:rsidR="0044299D" w:rsidRDefault="00000000">
      <w:pPr>
        <w:spacing w:after="160"/>
        <w:jc w:val="both"/>
      </w:pPr>
      <w:r>
        <w:rPr>
          <w:color w:val="000000"/>
          <w:sz w:val="24"/>
          <w:szCs w:val="24"/>
        </w:rPr>
        <w:t>Los investigadores firmarán un compromiso de confidencialidad (Anexo 4) y declaran no tener conflictos de interés financieros ni institucionales relacionados con el tema del estudio. El proyecto no recibe financiación de la industria farmacéutica ni de fabricantes de dispositivos.</w:t>
      </w:r>
    </w:p>
    <w:p>
      <w:pPr>
        <w:spacing w:before="240" w:after="240"/>
        <w:jc w:val="both"/>
      </w:pPr>
      <w:r>
        <w:rPr>
          <w:color w:val="000000"/>
          <w:sz w:val="24"/>
          <w:szCs w:val="24"/>
          <w:highlight w:val="yellow"/>
        </w:rPr>
        <w:t xml:space="preserve">3.9.1 Plan de protección de datos personales y sensibles</w:t>
      </w:r>
    </w:p>
    <w:p>
      <w:pPr>
        <w:spacing w:after="160"/>
        <w:jc w:val="both"/>
      </w:pPr>
      <w:r>
        <w:rPr>
          <w:color w:val="000000"/>
          <w:sz w:val="24"/>
          <w:szCs w:val="24"/>
          <w:highlight w:val="yellow"/>
        </w:rPr>
        <w:t xml:space="preserve">El tratamiento de los datos se regirá por la Ley 1581 de 2012, su reglamentación (Decreto 1377 de 2013, compilado en el Decreto 1074 de 2015), la Resolución 1995 de 1999 y la política de tratamiento de datos personales de la Clínica General del Norte (14,46,56). El plan comprende:</w:t>
      </w:r>
    </w:p>
    <w:p>
      <w:pPr>
        <w:spacing w:after="160"/>
        <w:ind w:left="567"/>
        <w:jc w:val="both"/>
      </w:pPr>
      <w:r>
        <w:rPr>
          <w:color w:val="000000"/>
          <w:sz w:val="24"/>
          <w:szCs w:val="24"/>
          <w:highlight w:val="yellow"/>
        </w:rPr>
        <w:t xml:space="preserve">a) Responsables y roles. La Clínica General del Norte, como institución que custodia las historias clínicas, actúa como responsable del tratamiento. Los investigadores actúan como encargados, con las obligaciones del artículo 18 de la Ley 1581 de 2012 y bajo compromiso de confidencialidad (Anexo 4). El investigador principal responde por la custodia de las claves y por el cumplimiento del plan; el área institucional de protección de datos o de seguridad de la información de la Clínica será el punto de contacto institucional. La asesora metodológica y los asesores científicos no tendrán acceso a datos identificables.</w:t>
      </w:r>
    </w:p>
    <w:p>
      <w:pPr>
        <w:spacing w:after="160"/>
        <w:ind w:left="567"/>
        <w:jc w:val="both"/>
      </w:pPr>
      <w:r>
        <w:rPr>
          <w:color w:val="000000"/>
          <w:sz w:val="24"/>
          <w:szCs w:val="24"/>
          <w:highlight w:val="yellow"/>
        </w:rPr>
        <w:t xml:space="preserve">b) Controles de acceso. La consulta de la historia clínica electrónica se hará solo con credenciales individuales asignadas por la Clínica, en modo de consulta, dentro de su red y en sus instalaciones, y se limitará a los pacientes del listado de elegibilidad y a las variables del diccionario (principio de minimización). No se harán copias, impresiones, fotografías ni capturas de pantalla de las historias, ni se usarán dispositivos externos, correo personal o servicios de nube no institucionales para datos del estudio. La Clínica podrá auditar los accesos en cualquier momento.</w:t>
      </w:r>
    </w:p>
    <w:p>
      <w:pPr>
        <w:spacing w:after="160"/>
        <w:ind w:left="567"/>
        <w:jc w:val="both"/>
      </w:pPr>
      <w:r>
        <w:rPr>
          <w:color w:val="000000"/>
          <w:sz w:val="24"/>
          <w:szCs w:val="24"/>
          <w:highlight w:val="yellow"/>
        </w:rPr>
        <w:t xml:space="preserve">c) Codificación. Cada paciente recibirá un código aleatorio, no derivado del nombre, el documento de identidad, las iniciales ni las fechas, y que no aluda a la condición religiosa. Las fechas se transformarán en días relativos a la cirugía índice (día 0) y la edad se registrará en años cumplidos. La base analítica no incluirá una variable de afiliación religiosa ni campos de texto libre con datos identificativos.</w:t>
      </w:r>
    </w:p>
    <w:p>
      <w:pPr>
        <w:spacing w:after="160"/>
        <w:ind w:left="567"/>
        <w:jc w:val="both"/>
      </w:pPr>
      <w:r>
        <w:rPr>
          <w:color w:val="000000"/>
          <w:sz w:val="24"/>
          <w:szCs w:val="24"/>
          <w:highlight w:val="yellow"/>
        </w:rPr>
        <w:t xml:space="preserve">d) Almacenamiento. La base se alojará en REDCap institucional, con perfiles de usuario, registro de auditoría y autenticación, o en un archivo cifrado (AES de 256 bits) en un servidor de la Clínica o de la Universidad, con copias de respaldo igualmente cifradas. No se almacenará en equipos personales sin cifrado de disco. Concluido el plazo de conservación de cinco años, la eliminación se documentará en un acta.</w:t>
      </w:r>
    </w:p>
    <w:p>
      <w:pPr>
        <w:spacing w:after="160"/>
        <w:ind w:left="567"/>
        <w:jc w:val="both"/>
      </w:pPr>
      <w:r>
        <w:rPr>
          <w:color w:val="000000"/>
          <w:sz w:val="24"/>
          <w:szCs w:val="24"/>
          <w:highlight w:val="yellow"/>
        </w:rPr>
        <w:t xml:space="preserve">e) Custodia de claves. La tabla de correspondencia entre códigos e identificadores y los listados generados por la búsqueda de casos se conservarán en un archivo cifrado independiente, en un servidor de la Clínica, cuya contraseña conocerán solo el investigador principal y un coinvestigador suplente. Esa tabla nunca se transmitirá junto con la base analítica y se destruirá, con acta, al concluir la verificación de los datos y el control de calidad, antes del análisis estadístico.</w:t>
      </w:r>
    </w:p>
    <w:p>
      <w:pPr>
        <w:spacing w:after="160"/>
        <w:ind w:left="567"/>
        <w:jc w:val="both"/>
      </w:pPr>
      <w:r>
        <w:rPr>
          <w:color w:val="000000"/>
          <w:sz w:val="24"/>
          <w:szCs w:val="24"/>
          <w:highlight w:val="yellow"/>
        </w:rPr>
        <w:t xml:space="preserve">f) Manejo de incidentes. Se considera incidente cualquier acceso, pérdida, alteración, divulgación o uso no autorizado de los datos. Ante un incidente: i) se contendrá el mismo día (revocación de accesos, cambio de contraseñas y aislamiento del archivo); ii) se notificará en las 24 horas siguientes al investigador principal, al área de protección de datos de la Clínica y al Comité de Bioética en Investigación; iii) se evaluarán los datos y titulares afectados y la probabilidad de identificación; iv) la Clínica, como responsable, informará a la Superintendencia de Industria y Comercio cuando corresponda, conforme al literal n) del artículo 17 de la Ley 1581 de 2012, con la cooperación de los investigadores; y v) se documentarán el incidente y las acciones correctivas y se informará su cierre al Comité. Los investigadores conocen las consecuencias penales previstas en la Ley 1273 de 2009 por la violación de datos personales (57).</w:t>
      </w:r>
    </w:p>
    <w:p>
      <w:pPr>
        <w:spacing w:after="160"/>
        <w:ind w:left="567"/>
        <w:jc w:val="both"/>
      </w:pPr>
      <w:r>
        <w:rPr>
          <w:color w:val="000000"/>
          <w:sz w:val="24"/>
          <w:szCs w:val="24"/>
          <w:highlight w:val="yellow"/>
        </w:rPr>
        <w:t xml:space="preserve">g) Prevención de la identificación indirecta. Por tratarse de una población clínica poco frecuente: i) no se publicarán descripciones de casos individuales; ii) las celdas con menos de cinco pacientes se informarán como «menos de cinco» o se agruparán, con supresión complementaria cuando el valor pueda deducirse por diferencia; iii) la edad se presentará en grupos (menos de 50, 50 a 64, 65 a 74 y 75 años o más) y el año de la cirugía en periodos (2020–2022 y 2023–2025); iv) no se cruzarán en una misma tabla sexo, grupo de edad, periodo, procedimiento y desenlace; v) no se informarán fechas exactas, municipio de residencia, ocupación ni asegurador; vi) las muertes y las transfusiones pese a la negativa se informarán solo de forma agregada; y vii) no se publicarán gráficos con datos individuales.</w:t>
      </w:r>
    </w:p>
    <w:p>
      <w:pPr>
        <w:spacing w:after="160"/>
        <w:ind w:left="567"/>
        <w:jc w:val="both"/>
      </w:pPr>
      <w:r>
        <w:rPr>
          <w:color w:val="000000"/>
          <w:sz w:val="24"/>
          <w:szCs w:val="24"/>
          <w:highlight w:val="yellow"/>
        </w:rPr>
        <w:t xml:space="preserve">h) Capacitación. Antes de acceder a los datos, los investigadores acreditarán formación vigente en ética de la investigación y buenas prácticas clínicas, y conocerán la política de tratamiento de datos de la Clínica.</w:t>
      </w:r>
    </w:p>
    <w:p>
      <w:pPr>
        <w:spacing w:before="240" w:after="240"/>
        <w:jc w:val="both"/>
      </w:pPr>
      <w:r>
        <w:rPr>
          <w:color w:val="000000"/>
          <w:sz w:val="24"/>
          <w:szCs w:val="24"/>
          <w:highlight w:val="yellow"/>
        </w:rPr>
        <w:t xml:space="preserve">3.9.2 Medidas para una interpretación y publicación responsables</w:t>
      </w:r>
    </w:p>
    <w:p>
      <w:pPr>
        <w:spacing w:after="160"/>
        <w:jc w:val="both"/>
      </w:pPr>
      <w:r>
        <w:rPr>
          <w:color w:val="000000"/>
          <w:sz w:val="24"/>
          <w:szCs w:val="24"/>
          <w:highlight w:val="yellow"/>
        </w:rPr>
        <w:t xml:space="preserve">Para evitar inferencias indebidas y la estigmatización de los participantes se adoptarán las siguientes medidas (10,47,48,55):</w:t>
      </w:r>
    </w:p>
    <w:p>
      <w:pPr>
        <w:spacing w:after="160"/>
        <w:ind w:left="567"/>
        <w:jc w:val="both"/>
      </w:pPr>
      <w:r>
        <w:rPr>
          <w:color w:val="000000"/>
          <w:sz w:val="24"/>
          <w:szCs w:val="24"/>
          <w:highlight w:val="yellow"/>
        </w:rPr>
        <w:t xml:space="preserve">a) Sin inferencias causales. El análisis principal es descriptivo y las comparaciones entre procedimientos son exploratorias. Los resultados se redactarán con términos de frecuencia y asociación, sin verbos causales, y no se afirmará seguridad ni equivalencia con pacientes que aceptan transfusión.</w:t>
      </w:r>
    </w:p>
    <w:p>
      <w:pPr>
        <w:spacing w:after="160"/>
        <w:ind w:left="567"/>
        <w:jc w:val="both"/>
      </w:pPr>
      <w:r>
        <w:rPr>
          <w:color w:val="000000"/>
          <w:sz w:val="24"/>
          <w:szCs w:val="24"/>
          <w:highlight w:val="yellow"/>
        </w:rPr>
        <w:t xml:space="preserve">b) Sin atribución de desenlaces a la religión ni a la decisión del paciente. La condición religiosa es constante en la cohorte y no puede asociarse estadísticamente con ningún desenlace. Las complicaciones se describirán en relación con factores clínicos (urgencia, EuroSCORE II, anemia, sangrado) y con las estrategias de manejo de la sangre. Sin grupo de comparación, el diseño no permite atribuir una muerte o una complicación a la decisión de no recibir transfusión, por lo que no se presentará ningún desenlace como consecuencia de las creencias o de la decisión del paciente.</w:t>
      </w:r>
    </w:p>
    <w:p>
      <w:pPr>
        <w:spacing w:after="160"/>
        <w:ind w:left="567"/>
        <w:jc w:val="both"/>
      </w:pPr>
      <w:r>
        <w:rPr>
          <w:color w:val="000000"/>
          <w:sz w:val="24"/>
          <w:szCs w:val="24"/>
          <w:highlight w:val="yellow"/>
        </w:rPr>
        <w:t xml:space="preserve">c) Lenguaje respetuoso. Se usará la expresión «pacientes Testigos de Jehová con rechazo transfusional documentado» y se evitarán términos que valoren la decisión del paciente, conforme a los principios de no discriminación y no estigmatización (55).</w:t>
      </w:r>
    </w:p>
    <w:p>
      <w:pPr>
        <w:spacing w:after="160"/>
        <w:ind w:left="567"/>
        <w:jc w:val="both"/>
      </w:pPr>
      <w:r>
        <w:rPr>
          <w:color w:val="000000"/>
          <w:sz w:val="24"/>
          <w:szCs w:val="24"/>
          <w:highlight w:val="yellow"/>
        </w:rPr>
        <w:t xml:space="preserve">d) Contexto temporal. Los resultados se interpretarán en el contexto clínico y religioso de 2020–2025 (numeral 2.1.5). Las recomendaciones se dirigirán a los procesos de atención —optimización de la anemia, hemostasia y vigilancia posoperatoria— y no a las creencias de los pacientes.</w:t>
      </w:r>
    </w:p>
    <w:p>
      <w:pPr>
        <w:spacing w:after="160"/>
        <w:ind w:left="567"/>
        <w:jc w:val="both"/>
      </w:pPr>
      <w:r>
        <w:rPr>
          <w:color w:val="000000"/>
          <w:sz w:val="24"/>
          <w:szCs w:val="24"/>
          <w:highlight w:val="yellow"/>
        </w:rPr>
        <w:t xml:space="preserve">e) Revisión previa a la difusión. Antes de cualquier sometimiento o presentación, el equipo y los asesores verificarán el cumplimiento de estas medidas y de las del literal g) del numeral 3.9.1. El informe final se remitirá al Comité de Bioética en Investigación de la Clínica General del Norte para su conocimiento, y no se emitirán comunicados de prensa ni publicaciones en redes sociales sin autorización institucional. La mención del nombre de la institución en las publicaciones dependerá de la autorización de la Clínica.</w:t>
      </w:r>
    </w:p>
    <w:p w14:paraId="642C22EF" w14:textId="77777777" w:rsidR="005D1D70" w:rsidRDefault="00000000">
      <w:pPr>
        <w:pStyle w:val="Ttulo2"/>
        <w:numPr>
          <w:ilvl w:val="1"/>
          <w:numId w:val="2"/>
        </w:numPr>
        <w:spacing w:before="0"/>
        <w:rPr>
          <w:rFonts w:ascii="Calibri" w:eastAsia="Calibri" w:hAnsi="Calibri" w:cs="Calibri"/>
          <w:color w:val="000000"/>
        </w:rPr>
      </w:pPr>
      <w:r>
        <w:rPr>
          <w:rFonts w:ascii="Calibri" w:eastAsia="Calibri" w:hAnsi="Calibri" w:cs="Calibri"/>
          <w:color w:val="000000"/>
        </w:rPr>
        <w:lastRenderedPageBreak/>
        <w:t>Difusión y socialización de resultados</w:t>
      </w:r>
    </w:p>
    <w:p w14:paraId="0C4511C7" w14:textId="77777777" w:rsidR="005D1D70" w:rsidRDefault="005D1D70">
      <w:pPr>
        <w:spacing w:after="0"/>
        <w:jc w:val="both"/>
        <w:rPr>
          <w:b/>
          <w:bCs/>
          <w:sz w:val="24"/>
          <w:szCs w:val="24"/>
        </w:rPr>
      </w:pPr>
    </w:p>
    <w:p w14:paraId="50C7C8CC" w14:textId="77777777" w:rsidR="005D1D70" w:rsidRDefault="00000000">
      <w:pPr>
        <w:spacing w:after="0"/>
        <w:jc w:val="both"/>
        <w:rPr>
          <w:sz w:val="24"/>
          <w:szCs w:val="24"/>
        </w:rPr>
      </w:pPr>
      <w:r>
        <w:rPr>
          <w:sz w:val="24"/>
          <w:szCs w:val="24"/>
        </w:rPr>
        <w:t>Los resultados derivados de este estudio serán divulgados mediante la elaboración de un artículo científico original, con miras a su sometimiento a una revista indexada en las áreas de Medicina Interna, cirugía cardiovascular, cuidado perioperatorio o manejo de la sangre del paciente. Asimismo, los hallazgos podrán ser presentados en modalidad de ponencia oral o póster en eventos académicos, científicos e institucionales de alcance local, regional o nacional.</w:t>
      </w:r>
    </w:p>
    <w:p w14:paraId="1B6F1B38" w14:textId="77777777" w:rsidR="005D1D70" w:rsidRDefault="005D1D70">
      <w:pPr>
        <w:spacing w:after="0"/>
        <w:jc w:val="both"/>
        <w:rPr>
          <w:sz w:val="24"/>
          <w:szCs w:val="24"/>
        </w:rPr>
      </w:pPr>
    </w:p>
    <w:p w14:paraId="1073F668" w14:textId="77777777" w:rsidR="005D1D70" w:rsidRDefault="00000000">
      <w:pPr>
        <w:spacing w:after="0"/>
        <w:jc w:val="both"/>
        <w:rPr>
          <w:sz w:val="24"/>
          <w:szCs w:val="24"/>
        </w:rPr>
      </w:pPr>
      <w:r>
        <w:rPr>
          <w:sz w:val="24"/>
          <w:szCs w:val="24"/>
        </w:rPr>
        <w:t>Los resultados se socializarán con la Clínica General del Norte y los servicios involucrados en la atención perioperatoria, con el propósito de aportar evidencia institucional para revisar procesos y estrategias de conservación sanguínea en pacientes Testigos de Jehová con rechazo transfusional documentado.</w:t>
      </w:r>
    </w:p>
    <w:p w14:paraId="4BC0BD10" w14:textId="77777777" w:rsidR="005D1D70" w:rsidRDefault="005D1D70">
      <w:pPr>
        <w:spacing w:after="0"/>
        <w:jc w:val="both"/>
        <w:rPr>
          <w:sz w:val="24"/>
          <w:szCs w:val="24"/>
        </w:rPr>
      </w:pPr>
    </w:p>
    <w:p w14:paraId="3C21DB04" w14:textId="77777777" w:rsidR="005D1D70" w:rsidRDefault="00000000">
      <w:pPr>
        <w:spacing w:after="0"/>
        <w:jc w:val="both"/>
        <w:rPr>
          <w:sz w:val="24"/>
          <w:szCs w:val="24"/>
        </w:rPr>
      </w:pPr>
      <w:r>
        <w:rPr>
          <w:sz w:val="24"/>
          <w:szCs w:val="24"/>
        </w:rPr>
        <w:t>La difusión de los resultados se realizará de forma agregada, preservando la confidencialidad de la información y evitando cualquier posibilidad de identificación de los participantes. Las conclusiones se presentarán de acuerdo con el alcance y las limitaciones del diseño retrospectivo, sin establecer relaciones causales que no puedan ser sustentadas por la metodología empleada.</w:t>
      </w:r>
      <w:r>
        <w:rPr>
          <w:color w:val="000000"/>
          <w:sz w:val="24"/>
          <w:szCs w:val="24"/>
          <w:highlight w:val="yellow"/>
        </w:rPr>
        <w:t xml:space="preserve"> Se aplicarán las medidas del literal g) del numeral 3.9.1 y del numeral 3.9.2.</w:t>
      </w:r>
    </w:p>
    <w:p w14:paraId="79DBF7E0" w14:textId="77777777" w:rsidR="005D1D70" w:rsidRDefault="005D1D70">
      <w:pPr>
        <w:spacing w:after="0"/>
        <w:rPr>
          <w:b/>
          <w:bCs/>
          <w:sz w:val="24"/>
          <w:szCs w:val="24"/>
        </w:rPr>
      </w:pPr>
    </w:p>
    <w:p w14:paraId="06C13AE6" w14:textId="77777777" w:rsidR="005D1D70" w:rsidRDefault="005D1D70">
      <w:pPr>
        <w:spacing w:after="0"/>
        <w:rPr>
          <w:b/>
          <w:bCs/>
          <w:sz w:val="24"/>
          <w:szCs w:val="24"/>
        </w:rPr>
      </w:pPr>
    </w:p>
    <w:p w14:paraId="3DFD3A09" w14:textId="77777777" w:rsidR="005D1D70" w:rsidRDefault="00000000">
      <w:pPr>
        <w:pStyle w:val="Ttulo2"/>
        <w:numPr>
          <w:ilvl w:val="1"/>
          <w:numId w:val="2"/>
        </w:numPr>
        <w:spacing w:before="0"/>
        <w:rPr>
          <w:rFonts w:ascii="Calibri" w:eastAsia="Calibri" w:hAnsi="Calibri" w:cs="Calibri"/>
          <w:color w:val="000000"/>
          <w:sz w:val="24"/>
          <w:szCs w:val="24"/>
        </w:rPr>
      </w:pPr>
      <w:bookmarkStart w:id="23" w:name="_heading=h.ut6f7135nsze" w:colFirst="0" w:colLast="0"/>
      <w:bookmarkEnd w:id="23"/>
      <w:r>
        <w:rPr>
          <w:rFonts w:ascii="Calibri" w:eastAsia="Calibri" w:hAnsi="Calibri" w:cs="Calibri"/>
          <w:color w:val="000000"/>
          <w:sz w:val="24"/>
          <w:szCs w:val="24"/>
        </w:rPr>
        <w:t>Cronograma de la investigación</w:t>
      </w:r>
    </w:p>
    <w:tbl>
      <w:tblPr>
        <w:tblStyle w:val="ae"/>
        <w:tblW w:w="9404" w:type="dxa"/>
        <w:tblInd w:w="0" w:type="dxa"/>
        <w:tblBorders>
          <w:insideH w:val="single" w:sz="4" w:space="0" w:color="000000"/>
          <w:insideV w:val="single" w:sz="4" w:space="0" w:color="000000"/>
        </w:tblBorders>
        <w:tblLayout w:type="fixed"/>
        <w:tblLook w:val="0400" w:firstRow="0" w:lastRow="0" w:firstColumn="0" w:lastColumn="0" w:noHBand="0" w:noVBand="1"/>
      </w:tblPr>
      <w:tblGrid>
        <w:gridCol w:w="2013"/>
        <w:gridCol w:w="7391"/>
      </w:tblGrid>
      <w:tr w:rsidR="005D1D70" w14:paraId="0D7924A6" w14:textId="77777777">
        <w:trPr>
          <w:tblHeader/>
        </w:trPr>
        <w:tc>
          <w:tcPr>
            <w:tcW w:w="2013" w:type="dxa"/>
            <w:vAlign w:val="center"/>
          </w:tcPr>
          <w:p w14:paraId="36A832C1" w14:textId="77777777" w:rsidR="005D1D70" w:rsidRDefault="00000000">
            <w:pPr>
              <w:jc w:val="center"/>
              <w:rPr>
                <w:b/>
                <w:bCs/>
              </w:rPr>
            </w:pPr>
            <w:r>
              <w:rPr>
                <w:b/>
                <w:bCs/>
              </w:rPr>
              <w:t>Periodo</w:t>
            </w:r>
          </w:p>
        </w:tc>
        <w:tc>
          <w:tcPr>
            <w:tcW w:w="7391" w:type="dxa"/>
            <w:vAlign w:val="center"/>
          </w:tcPr>
          <w:p w14:paraId="6DAFD487" w14:textId="77777777" w:rsidR="005D1D70" w:rsidRDefault="00000000">
            <w:pPr>
              <w:jc w:val="center"/>
              <w:rPr>
                <w:b/>
                <w:bCs/>
              </w:rPr>
            </w:pPr>
            <w:r>
              <w:rPr>
                <w:b/>
                <w:bCs/>
              </w:rPr>
              <w:t>Actividades</w:t>
            </w:r>
          </w:p>
        </w:tc>
      </w:tr>
      <w:tr w:rsidR="005D1D70" w14:paraId="550E77D9" w14:textId="77777777">
        <w:tc>
          <w:tcPr>
            <w:tcW w:w="2013" w:type="dxa"/>
            <w:vAlign w:val="center"/>
          </w:tcPr>
          <w:p w14:paraId="7B7FB377" w14:textId="77777777" w:rsidR="005D1D70" w:rsidRDefault="00000000">
            <w:r>
              <w:rPr>
                <w:b/>
                <w:bCs/>
              </w:rPr>
              <w:t>Fase previa (1 a 2 meses)</w:t>
            </w:r>
          </w:p>
        </w:tc>
        <w:tc>
          <w:tcPr>
            <w:tcW w:w="7391" w:type="dxa"/>
            <w:vAlign w:val="center"/>
          </w:tcPr>
          <w:p w14:paraId="6D14E127" w14:textId="77777777" w:rsidR="005D1D70" w:rsidRDefault="00000000">
            <w:r>
              <w:t xml:space="preserve">Ajustes según las observaciones del comité metodológico; aprobación de los comités de ética de la Universidad Libre y de la Clínica General del Norte; carta de autorización institucional para el acceso a las historias clínicas</w:t>
            </w:r>
            <w:r>
              <w:rPr>
                <w:color w:val="000000"/>
                <w:highlight w:val="yellow"/>
              </w:rPr>
              <w:t xml:space="preserve">; respuesta punto por punto a las observaciones del Comité de Bioética en Investigación de la Clínica General del Norte</w:t>
            </w:r>
            <w:r>
              <w:t xml:space="preserve">.</w:t>
            </w:r>
          </w:p>
        </w:tc>
      </w:tr>
      <w:tr w:rsidR="005D1D70" w14:paraId="50485875" w14:textId="77777777">
        <w:tc>
          <w:tcPr>
            <w:tcW w:w="2013" w:type="dxa"/>
            <w:vAlign w:val="center"/>
          </w:tcPr>
          <w:p w14:paraId="2718A237" w14:textId="77777777" w:rsidR="005D1D70" w:rsidRDefault="00000000">
            <w:r>
              <w:rPr>
                <w:b/>
                <w:bCs/>
              </w:rPr>
              <w:t>Mes 1 desde el aval</w:t>
            </w:r>
          </w:p>
        </w:tc>
        <w:tc>
          <w:tcPr>
            <w:tcW w:w="7391" w:type="dxa"/>
            <w:vAlign w:val="center"/>
          </w:tcPr>
          <w:p w14:paraId="7713DE69" w14:textId="77777777" w:rsidR="005D1D70" w:rsidRDefault="00000000">
            <w:r>
              <w:t>Identificación de registros de cirugía cardiovascular; búsqueda y verificación de Testigos de Jehová con rechazo transfusional documentado; prueba piloto del instrumento y ajuste de definiciones operativas.</w:t>
            </w:r>
          </w:p>
        </w:tc>
      </w:tr>
      <w:tr w:rsidR="005D1D70" w14:paraId="6AB4BE77" w14:textId="77777777">
        <w:tc>
          <w:tcPr>
            <w:tcW w:w="2013" w:type="dxa"/>
            <w:vAlign w:val="center"/>
          </w:tcPr>
          <w:p w14:paraId="02765327" w14:textId="77777777" w:rsidR="005D1D70" w:rsidRDefault="00000000">
            <w:r>
              <w:rPr>
                <w:b/>
                <w:bCs/>
              </w:rPr>
              <w:t>Meses 2 y 3</w:t>
            </w:r>
          </w:p>
        </w:tc>
        <w:tc>
          <w:tcPr>
            <w:tcW w:w="7391" w:type="dxa"/>
            <w:vAlign w:val="center"/>
          </w:tcPr>
          <w:p w14:paraId="1060C00F" w14:textId="77777777" w:rsidR="005D1D70" w:rsidRDefault="00000000">
            <w:r>
              <w:t>Revisión retrospectiva de historias clínicas elegibles y construcción de la base de datos; registro del flujo de selección, los procedimientos y los desenlaces.</w:t>
            </w:r>
          </w:p>
        </w:tc>
      </w:tr>
      <w:tr w:rsidR="005D1D70" w14:paraId="672E1DE3" w14:textId="77777777">
        <w:tc>
          <w:tcPr>
            <w:tcW w:w="2013" w:type="dxa"/>
            <w:vAlign w:val="center"/>
          </w:tcPr>
          <w:p w14:paraId="32FBC2DB" w14:textId="77777777" w:rsidR="005D1D70" w:rsidRDefault="00000000">
            <w:r>
              <w:rPr>
                <w:b/>
                <w:bCs/>
              </w:rPr>
              <w:t>Mes 4</w:t>
            </w:r>
          </w:p>
        </w:tc>
        <w:tc>
          <w:tcPr>
            <w:tcW w:w="7391" w:type="dxa"/>
            <w:vAlign w:val="center"/>
          </w:tcPr>
          <w:p w14:paraId="7F6F2D69" w14:textId="77777777" w:rsidR="005D1D70" w:rsidRDefault="00000000">
            <w:r>
              <w:t>Depuración de datos, comprobación de historias y valoración de información faltante y seguimiento a 30 días.</w:t>
            </w:r>
          </w:p>
        </w:tc>
      </w:tr>
      <w:tr w:rsidR="005D1D70" w14:paraId="055E4F59" w14:textId="77777777">
        <w:trPr>
          <w:trHeight w:val="826"/>
        </w:trPr>
        <w:tc>
          <w:tcPr>
            <w:tcW w:w="2013" w:type="dxa"/>
            <w:vAlign w:val="center"/>
          </w:tcPr>
          <w:p w14:paraId="6F3D7A55" w14:textId="77777777" w:rsidR="005D1D70" w:rsidRDefault="00000000">
            <w:r>
              <w:rPr>
                <w:b/>
                <w:bCs/>
              </w:rPr>
              <w:lastRenderedPageBreak/>
              <w:t>Mes 5</w:t>
            </w:r>
          </w:p>
        </w:tc>
        <w:tc>
          <w:tcPr>
            <w:tcW w:w="7391" w:type="dxa"/>
            <w:vAlign w:val="center"/>
          </w:tcPr>
          <w:p w14:paraId="248B0C29" w14:textId="77777777" w:rsidR="005D1D70" w:rsidRDefault="00000000">
            <w:r>
              <w:t>Análisis descriptivo con intervalos de confianza y, si los datos lo permiten, comparaciones exploratorias. Elaboración de tablas e interpretación de la precisión.</w:t>
            </w:r>
          </w:p>
        </w:tc>
      </w:tr>
      <w:tr w:rsidR="005D1D70" w14:paraId="4B8C4273" w14:textId="77777777">
        <w:tc>
          <w:tcPr>
            <w:tcW w:w="2013" w:type="dxa"/>
            <w:tcBorders>
              <w:top w:val="single" w:sz="4" w:space="0" w:color="000000"/>
              <w:bottom w:val="single" w:sz="4" w:space="0" w:color="000000"/>
            </w:tcBorders>
            <w:vAlign w:val="center"/>
          </w:tcPr>
          <w:p w14:paraId="0E16C3A1" w14:textId="77777777" w:rsidR="005D1D70" w:rsidRDefault="00000000">
            <w:r>
              <w:rPr>
                <w:b/>
                <w:bCs/>
              </w:rPr>
              <w:t>Mes 6</w:t>
            </w:r>
          </w:p>
        </w:tc>
        <w:tc>
          <w:tcPr>
            <w:tcW w:w="7391" w:type="dxa"/>
            <w:tcBorders>
              <w:top w:val="single" w:sz="4" w:space="0" w:color="000000"/>
              <w:bottom w:val="single" w:sz="4" w:space="0" w:color="000000"/>
            </w:tcBorders>
            <w:vAlign w:val="center"/>
          </w:tcPr>
          <w:p w14:paraId="1A5BB71B" w14:textId="77777777" w:rsidR="005D1D70" w:rsidRDefault="00000000">
            <w:r>
              <w:t>Redacción, revisión metodológica, ajustes y entrega del trabajo de grado conforme a los plazos institucionales.</w:t>
            </w:r>
          </w:p>
        </w:tc>
      </w:tr>
    </w:tbl>
    <w:p w14:paraId="5EDE2618" w14:textId="77777777" w:rsidR="005D1D70" w:rsidRDefault="005D1D70">
      <w:pPr>
        <w:spacing w:after="0"/>
        <w:rPr>
          <w:b/>
          <w:bCs/>
          <w:sz w:val="24"/>
          <w:szCs w:val="24"/>
        </w:rPr>
      </w:pPr>
    </w:p>
    <w:p w14:paraId="0B684B47" w14:textId="77777777" w:rsidR="0044299D" w:rsidRDefault="00000000">
      <w:pPr>
        <w:jc w:val="both"/>
      </w:pPr>
      <w:r>
        <w:rPr>
          <w:b/>
          <w:bCs/>
          <w:color w:val="000000"/>
          <w:sz w:val="20"/>
          <w:szCs w:val="20"/>
        </w:rPr>
        <w:t>Nota:</w:t>
      </w:r>
      <w:r>
        <w:rPr>
          <w:color w:val="000000"/>
          <w:sz w:val="20"/>
          <w:szCs w:val="20"/>
        </w:rPr>
        <w:t xml:space="preserve"> Este cronograma operativo de seis meses comenzará después de contar con los avales éticos y permisos institucionales para consultar las historias clínicas. La aprobación y la disponibilidad de los registros pueden modificar la fecha de inicio. Como no existe una base de datos previa, la identificación de casos y la construcción de la base forman parte del estudio; no se presupone un tamaño muestral.</w:t>
      </w:r>
    </w:p>
    <w:p w14:paraId="3B1C8D21" w14:textId="77777777" w:rsidR="005D1D70" w:rsidRDefault="005D1D70">
      <w:pPr>
        <w:spacing w:after="0"/>
        <w:rPr>
          <w:b/>
          <w:bCs/>
          <w:sz w:val="24"/>
          <w:szCs w:val="24"/>
        </w:rPr>
      </w:pPr>
    </w:p>
    <w:p w14:paraId="515EF684" w14:textId="77777777" w:rsidR="005D1D70" w:rsidRDefault="00000000">
      <w:pPr>
        <w:pStyle w:val="Ttulo2"/>
        <w:numPr>
          <w:ilvl w:val="1"/>
          <w:numId w:val="2"/>
        </w:numPr>
        <w:spacing w:before="0"/>
        <w:rPr>
          <w:rFonts w:ascii="Calibri" w:eastAsia="Calibri" w:hAnsi="Calibri" w:cs="Calibri"/>
          <w:color w:val="000000"/>
          <w:sz w:val="24"/>
          <w:szCs w:val="24"/>
        </w:rPr>
      </w:pPr>
      <w:bookmarkStart w:id="24" w:name="_heading=h.5gdvqbujm6wj" w:colFirst="0" w:colLast="0"/>
      <w:bookmarkEnd w:id="24"/>
      <w:r>
        <w:rPr>
          <w:rFonts w:ascii="Calibri" w:eastAsia="Calibri" w:hAnsi="Calibri" w:cs="Calibri"/>
          <w:color w:val="000000"/>
          <w:sz w:val="24"/>
          <w:szCs w:val="24"/>
        </w:rPr>
        <w:t>Presupuesto de la investigación</w:t>
      </w:r>
    </w:p>
    <w:p w14:paraId="43240364" w14:textId="77777777" w:rsidR="005D1D70" w:rsidRDefault="005D1D70">
      <w:pPr>
        <w:spacing w:after="0"/>
        <w:rPr>
          <w:b/>
          <w:bCs/>
          <w:sz w:val="24"/>
          <w:szCs w:val="24"/>
        </w:rPr>
      </w:pPr>
    </w:p>
    <w:p w14:paraId="524142BB" w14:textId="47852BC0" w:rsidR="00D83C0A" w:rsidRPr="00D83C0A" w:rsidRDefault="00D83C0A" w:rsidP="00D83C0A">
      <w:pPr>
        <w:jc w:val="both"/>
        <w:rPr>
          <w:sz w:val="24"/>
          <w:szCs w:val="24"/>
        </w:rPr>
      </w:pPr>
      <w:r>
        <w:rPr>
          <w:sz w:val="24"/>
          <w:szCs w:val="24"/>
        </w:rPr>
        <w:t>El proyecto será financiado mediante aportes en especie de los investigadores, la Universidad Libre Seccional Barranquilla y la Organización Clínica General del Norte. Los investigadores aportarán el tiempo destinado a la ejecución del estudio, así como los equipos de cómputo, herramientas informáticas y demás recursos disponibles necesarios para el procesamiento, análisis y elaboración de los resultados.</w:t>
      </w:r>
    </w:p>
    <w:p w14:paraId="0AA9F764" w14:textId="05D495D8" w:rsidR="00D83C0A" w:rsidRPr="00D83C0A" w:rsidRDefault="00D83C0A" w:rsidP="00D83C0A">
      <w:pPr>
        <w:jc w:val="both"/>
        <w:rPr>
          <w:sz w:val="24"/>
          <w:szCs w:val="24"/>
        </w:rPr>
      </w:pPr>
      <w:r>
        <w:rPr>
          <w:sz w:val="24"/>
          <w:szCs w:val="24"/>
        </w:rPr>
        <w:t>La Universidad Libre y la Organización Clínica General del Norte aportarán, de acuerdo con sus competencias institucionales y previa obtención de las autorizaciones administrativas y éticas correspondientes, la infraestructura y los recursos necesarios para el desarrollo del proyecto. En particular, la Organización Clínica General del Norte facilitará el acceso autorizado a las historias clínicas y a las fuentes institucionales de información requeridas para la investigación, garantizando el cumplimiento de las normas de confidencialidad y protección de datos.</w:t>
      </w:r>
    </w:p>
    <w:p w14:paraId="691A4EF5" w14:textId="77777777" w:rsidR="00677641" w:rsidRDefault="00D83C0A" w:rsidP="00D83C0A">
      <w:pPr>
        <w:jc w:val="both"/>
        <w:rPr>
          <w:sz w:val="24"/>
          <w:szCs w:val="24"/>
        </w:rPr>
      </w:pPr>
      <w:r>
        <w:rPr>
          <w:sz w:val="24"/>
          <w:szCs w:val="24"/>
        </w:rPr>
        <w:t>No se contemplan aportes económicos directos ni desembolsos en efectivo por parte de los investigadores o de las instituciones participantes. En consecuencia, la ejecución del estudio se sustentará exclusivamente en recursos institucionales disponibles y aportes en especie.</w:t>
      </w:r>
    </w:p>
    <w:p w14:paraId="7D21A33D" w14:textId="77777777" w:rsidR="00677641" w:rsidRDefault="00677641" w:rsidP="00D83C0A">
      <w:pPr>
        <w:jc w:val="both"/>
        <w:rPr>
          <w:sz w:val="24"/>
          <w:szCs w:val="24"/>
        </w:rPr>
      </w:pPr>
    </w:p>
    <w:p w14:paraId="1C82C1AA" w14:textId="4CD5F17F" w:rsidR="00677641" w:rsidRDefault="00677641" w:rsidP="00677641">
      <w:pPr>
        <w:pStyle w:val="Ttulo2"/>
        <w:numPr>
          <w:ilvl w:val="1"/>
          <w:numId w:val="2"/>
        </w:numPr>
        <w:spacing w:before="0"/>
        <w:rPr>
          <w:rFonts w:ascii="Calibri" w:eastAsia="Calibri" w:hAnsi="Calibri" w:cs="Calibri"/>
          <w:color w:val="000000"/>
          <w:sz w:val="24"/>
          <w:szCs w:val="24"/>
        </w:rPr>
      </w:pPr>
      <w:r>
        <w:rPr>
          <w:rFonts w:ascii="Calibri" w:eastAsia="Calibri" w:hAnsi="Calibri" w:cs="Calibri"/>
          <w:color w:val="000000"/>
          <w:sz w:val="24"/>
          <w:szCs w:val="24"/>
        </w:rPr>
        <w:t xml:space="preserve">Declaración de uso de inteligencia artificial </w:t>
      </w:r>
    </w:p>
    <w:p w14:paraId="38183EB2" w14:textId="77777777" w:rsidR="002C0D62" w:rsidRDefault="00677641" w:rsidP="002C0D62">
      <w:pPr>
        <w:jc w:val="both"/>
      </w:pPr>
      <w:r>
        <w:rPr>
          <w:sz w:val="24"/>
          <w:szCs w:val="24"/>
        </w:rPr>
        <w:t xml:space="preserve">De conformidad con la </w:t>
      </w:r>
      <w:r>
        <w:rPr>
          <w:rStyle w:val="Fuerte"/>
          <w:b w:val="0"/>
          <w:bCs w:val="0"/>
          <w:sz w:val="24"/>
          <w:szCs w:val="24"/>
        </w:rPr>
        <w:t>Resolución N.º 15 de 2026 de la Universidad Libre</w:t>
      </w:r>
      <w:r>
        <w:rPr>
          <w:sz w:val="24"/>
          <w:szCs w:val="24"/>
        </w:rPr>
        <w:t xml:space="preserve">, durante la elaboración del presente anteproyecto se utilizaron herramientas de inteligencia artificial generativa, específicamente </w:t>
      </w:r>
      <w:r>
        <w:rPr>
          <w:rStyle w:val="Fuerte"/>
          <w:b w:val="0"/>
          <w:bCs w:val="0"/>
          <w:sz w:val="24"/>
          <w:szCs w:val="24"/>
        </w:rPr>
        <w:t xml:space="preserve">ChatGPT (OpenAI) y Claude (Anthropic)</w:t>
      </w:r>
      <w:r>
        <w:rPr>
          <w:b/>
          <w:bCs/>
          <w:sz w:val="24"/>
          <w:szCs w:val="24"/>
        </w:rPr>
        <w:t>,</w:t>
      </w:r>
      <w:r>
        <w:rPr>
          <w:sz w:val="24"/>
          <w:szCs w:val="24"/>
        </w:rPr>
        <w:t xml:space="preserve"> únicamente como apoyo para la </w:t>
      </w:r>
      <w:r>
        <w:rPr>
          <w:rStyle w:val="Fuerte"/>
          <w:b w:val="0"/>
          <w:bCs w:val="0"/>
          <w:sz w:val="24"/>
          <w:szCs w:val="24"/>
        </w:rPr>
        <w:lastRenderedPageBreak/>
        <w:t>organización y redacción del documento</w:t>
      </w:r>
      <w:r>
        <w:rPr>
          <w:sz w:val="24"/>
          <w:szCs w:val="24"/>
        </w:rPr>
        <w:t xml:space="preserve">. Los contenidos generados fueron revisados, depurados y validados críticamente por los investigadores, quienes son los </w:t>
      </w:r>
      <w:r>
        <w:rPr>
          <w:rStyle w:val="Fuerte"/>
          <w:b w:val="0"/>
          <w:bCs w:val="0"/>
          <w:sz w:val="24"/>
          <w:szCs w:val="24"/>
        </w:rPr>
        <w:t>responsables del contenido intelectual, metodológico y científico del proyecto.</w:t>
      </w:r>
      <w:bookmarkStart w:id="25" w:name="_heading=h.dfdfnpjz9y15" w:colFirst="0" w:colLast="0"/>
      <w:bookmarkEnd w:id="25"/>
      <w:r>
        <w:t xml:space="preserve"> </w:t>
      </w:r>
    </w:p>
    <w:p w14:paraId="080F0F79" w14:textId="77777777" w:rsidR="002C0D62" w:rsidRDefault="002C0D62" w:rsidP="002C0D62">
      <w:pPr>
        <w:jc w:val="both"/>
      </w:pPr>
    </w:p>
    <w:p w14:paraId="2CB72435" w14:textId="4F3421C9" w:rsidR="005D1D70" w:rsidRPr="002C0D62" w:rsidRDefault="00000000" w:rsidP="002C0D62">
      <w:pPr>
        <w:pStyle w:val="Prrafodelista"/>
        <w:numPr>
          <w:ilvl w:val="0"/>
          <w:numId w:val="2"/>
        </w:numPr>
        <w:jc w:val="center"/>
        <w:rPr>
          <w:b/>
          <w:bCs/>
          <w:sz w:val="32"/>
          <w:szCs w:val="32"/>
        </w:rPr>
      </w:pPr>
      <w:r>
        <w:rPr>
          <w:b/>
          <w:bCs/>
          <w:color w:val="000000"/>
          <w:sz w:val="28"/>
          <w:szCs w:val="28"/>
        </w:rPr>
        <w:t>MARCO DE RESULTADOS Y CONCLUSIONES</w:t>
      </w:r>
    </w:p>
    <w:p w14:paraId="08F4D9ED" w14:textId="77777777" w:rsidR="0044299D" w:rsidRDefault="00000000">
      <w:pPr>
        <w:spacing w:before="240" w:after="160"/>
        <w:jc w:val="both"/>
      </w:pPr>
      <w:r>
        <w:rPr>
          <w:color w:val="000000"/>
          <w:sz w:val="24"/>
          <w:szCs w:val="24"/>
        </w:rPr>
        <w:t>Este capítulo se desarrollará una vez ejecutado el estudio. Los resultados se presentarán en el orden de los objetivos específicos, según el siguiente plan:</w:t>
      </w:r>
    </w:p>
    <w:p w14:paraId="34591651" w14:textId="77777777" w:rsidR="0044299D" w:rsidRDefault="00000000">
      <w:pPr>
        <w:numPr>
          <w:ilvl w:val="0"/>
          <w:numId w:val="3"/>
        </w:numPr>
        <w:spacing w:after="60"/>
        <w:jc w:val="both"/>
      </w:pPr>
      <w:r>
        <w:rPr>
          <w:color w:val="000000"/>
          <w:sz w:val="24"/>
          <w:szCs w:val="24"/>
        </w:rPr>
        <w:t>Figura R1. Diagrama de flujo de identificación y selección de pacientes: fuentes de búsqueda, registros cribados, elegibles, excluidos con sus motivos e incluidos por tipo de cirugía.</w:t>
      </w:r>
    </w:p>
    <w:p w14:paraId="58B9E443" w14:textId="77777777" w:rsidR="0044299D" w:rsidRDefault="00000000">
      <w:pPr>
        <w:numPr>
          <w:ilvl w:val="0"/>
          <w:numId w:val="3"/>
        </w:numPr>
        <w:spacing w:after="60"/>
        <w:jc w:val="both"/>
      </w:pPr>
      <w:r>
        <w:rPr>
          <w:color w:val="000000"/>
          <w:sz w:val="24"/>
          <w:szCs w:val="24"/>
        </w:rPr>
        <w:t>Tabla R1. Características sociodemográficas, clínicas y de riesgo quirúrgico, globales y por tipo de cirugía.</w:t>
      </w:r>
    </w:p>
    <w:p w14:paraId="6E76B913" w14:textId="77777777" w:rsidR="0044299D" w:rsidRDefault="00000000">
      <w:pPr>
        <w:numPr>
          <w:ilvl w:val="0"/>
          <w:numId w:val="3"/>
        </w:numPr>
        <w:spacing w:after="60"/>
        <w:jc w:val="both"/>
      </w:pPr>
      <w:r>
        <w:rPr>
          <w:color w:val="000000"/>
          <w:sz w:val="24"/>
          <w:szCs w:val="24"/>
        </w:rPr>
        <w:t>Tabla R2. Perfil de aceptación y estrategias de conservación sanguínea por periodo perioperatorio.</w:t>
      </w:r>
    </w:p>
    <w:p w14:paraId="5BA70CD4" w14:textId="77777777" w:rsidR="0044299D" w:rsidRDefault="00000000">
      <w:pPr>
        <w:numPr>
          <w:ilvl w:val="0"/>
          <w:numId w:val="3"/>
        </w:numPr>
        <w:spacing w:after="60"/>
        <w:jc w:val="both"/>
      </w:pPr>
      <w:r>
        <w:rPr>
          <w:color w:val="000000"/>
          <w:sz w:val="24"/>
          <w:szCs w:val="24"/>
        </w:rPr>
        <w:t>Tabla R3. Trayectoria de la hemoglobina y el hematocrito, sangrado y anemia posoperatoria grave.</w:t>
      </w:r>
    </w:p>
    <w:p w14:paraId="32A415AE" w14:textId="77777777" w:rsidR="0044299D" w:rsidRDefault="00000000">
      <w:pPr>
        <w:numPr>
          <w:ilvl w:val="0"/>
          <w:numId w:val="3"/>
        </w:numPr>
        <w:spacing w:after="60"/>
        <w:jc w:val="both"/>
      </w:pPr>
      <w:r>
        <w:rPr>
          <w:color w:val="000000"/>
          <w:sz w:val="24"/>
          <w:szCs w:val="24"/>
        </w:rPr>
        <w:t>Tabla R4. Desenlace primario, sus componentes y desenlaces secundarios, con intervalos de confianza del 95 %, globales y por tipo de cirugía.</w:t>
      </w:r>
    </w:p>
    <w:p w14:paraId="5BE086EE" w14:textId="77777777" w:rsidR="0044299D" w:rsidRDefault="00000000">
      <w:pPr>
        <w:numPr>
          <w:ilvl w:val="0"/>
          <w:numId w:val="3"/>
        </w:numPr>
        <w:spacing w:after="60"/>
        <w:jc w:val="both"/>
      </w:pPr>
      <w:r>
        <w:rPr>
          <w:color w:val="000000"/>
          <w:sz w:val="24"/>
          <w:szCs w:val="24"/>
        </w:rPr>
        <w:t xml:space="preserve">Tabla R5. Análisis exploratorio del desenlace primario por tipo de cirugía, estratificado por urgencia y categoría de EuroSCORE II, y análisis de sensibilidad.</w:t>
      </w:r>
    </w:p>
    <w:p w14:paraId="4FA546AE" w14:textId="77777777" w:rsidR="0044299D" w:rsidRDefault="00000000">
      <w:pPr>
        <w:spacing w:before="120" w:after="160"/>
        <w:jc w:val="both"/>
      </w:pPr>
      <w:r>
        <w:rPr>
          <w:color w:val="000000"/>
          <w:sz w:val="24"/>
          <w:szCs w:val="24"/>
        </w:rPr>
        <w:t>La discusión contrastará los hallazgos con el marco de antecedentes, y las conclusiones y recomendaciones responderán a la pregunta de investigación dentro de los límites del diseño.</w:t>
      </w:r>
    </w:p>
    <w:p w14:paraId="12956279" w14:textId="77777777" w:rsidR="005D1D70" w:rsidRDefault="005D1D70">
      <w:pPr>
        <w:spacing w:after="0"/>
        <w:jc w:val="both"/>
        <w:rPr>
          <w:sz w:val="24"/>
          <w:szCs w:val="24"/>
        </w:rPr>
      </w:pPr>
    </w:p>
    <w:p w14:paraId="07EF6698" w14:textId="77777777" w:rsidR="005D1D70" w:rsidRDefault="005D1D70">
      <w:pPr>
        <w:spacing w:after="0"/>
        <w:jc w:val="both"/>
        <w:rPr>
          <w:sz w:val="24"/>
          <w:szCs w:val="24"/>
        </w:rPr>
      </w:pPr>
    </w:p>
    <w:p w14:paraId="063F9643" w14:textId="77777777" w:rsidR="005D1D70" w:rsidRDefault="005D1D70">
      <w:pPr>
        <w:spacing w:after="0"/>
        <w:jc w:val="both"/>
        <w:rPr>
          <w:sz w:val="24"/>
          <w:szCs w:val="24"/>
        </w:rPr>
      </w:pPr>
    </w:p>
    <w:p w14:paraId="50742EED" w14:textId="77777777" w:rsidR="005D1D70" w:rsidRDefault="00000000">
      <w:pPr>
        <w:pStyle w:val="Ttulo1"/>
        <w:pageBreakBefore/>
        <w:spacing w:before="0"/>
        <w:ind w:left="360"/>
        <w:rPr>
          <w:sz w:val="24"/>
          <w:szCs w:val="24"/>
        </w:rPr>
      </w:pPr>
      <w:bookmarkStart w:id="26" w:name="_heading=h.pwsvomf06npd" w:colFirst="0" w:colLast="0"/>
      <w:bookmarkEnd w:id="26"/>
      <w:r>
        <w:rPr>
          <w:rFonts w:ascii="Calibri" w:eastAsia="Calibri" w:hAnsi="Calibri" w:cs="Calibri"/>
          <w:color w:val="000000"/>
        </w:rPr>
        <w:lastRenderedPageBreak/>
        <w:t>REFERENCIAS BIBLIOGRÁFICAS</w:t>
      </w:r>
    </w:p>
    <w:p w14:paraId="143928D8" w14:textId="77777777" w:rsidR="005D1D70" w:rsidRDefault="005D1D70">
      <w:pPr>
        <w:spacing w:after="0"/>
        <w:jc w:val="both"/>
        <w:rPr>
          <w:sz w:val="24"/>
          <w:szCs w:val="24"/>
        </w:rPr>
      </w:pPr>
    </w:p>
    <w:p w14:paraId="6FE0ABC6" w14:textId="77777777" w:rsidR="005D1D70" w:rsidRDefault="00000000">
      <w:pPr>
        <w:numPr>
          <w:ilvl w:val="0"/>
          <w:numId w:val="1"/>
        </w:numPr>
        <w:spacing w:after="0"/>
        <w:jc w:val="both"/>
        <w:rPr>
          <w:sz w:val="24"/>
          <w:szCs w:val="24"/>
        </w:rPr>
      </w:pPr>
      <w:r>
        <w:t xml:space="preserve">KLEIN, A. A., et al. Association of Anaesthetists: anaesthesia and peri-operative care for Jehovah’s Witnesses and patients who refuse blood. En: Anaesthesia. 2019, vol. 74, no. 1, p. 74-82. Disponible en: https://doi.org/10.1111/anae.14441</w:t>
      </w:r>
    </w:p>
    <w:p w14:paraId="192ACBCF" w14:textId="77777777" w:rsidR="005D1D70" w:rsidRDefault="00000000">
      <w:pPr>
        <w:numPr>
          <w:ilvl w:val="0"/>
          <w:numId w:val="1"/>
        </w:numPr>
        <w:spacing w:after="0"/>
        <w:jc w:val="both"/>
        <w:rPr>
          <w:sz w:val="24"/>
          <w:szCs w:val="24"/>
        </w:rPr>
      </w:pPr>
      <w:r>
        <w:t>TESTIGOS DE JEHOVÁ. ¿Cuántos testigos de Jehová hay en el mundo? Informe 2025 [en línea]. 2025. [Consultado: 1 de marzo de 2026]. Disponible en: https://www.jw.org/es/testigos-de-jehov%C3%A1/preguntas-frecuentes/cuantos-testigos-de-jehova/</w:t>
      </w:r>
    </w:p>
    <w:p w14:paraId="19D987DD" w14:textId="77777777" w:rsidR="005D1D70" w:rsidRDefault="00000000">
      <w:pPr>
        <w:numPr>
          <w:ilvl w:val="0"/>
          <w:numId w:val="1"/>
        </w:numPr>
        <w:spacing w:after="0"/>
        <w:jc w:val="both"/>
        <w:rPr>
          <w:sz w:val="24"/>
          <w:szCs w:val="24"/>
        </w:rPr>
      </w:pPr>
      <w:r>
        <w:t>TESTIGOS DE JEHOVÁ. Testigos de Jehová por todo el mundo: Colombia [en línea]. [Consultado: 1 de marzo de 2026]. Disponible en: https://www.jw.org/es/testigos-de-jehov%C3%A1/por-todo-el-mundo/CO/</w:t>
      </w:r>
    </w:p>
    <w:p w14:paraId="493DDD96" w14:textId="77777777" w:rsidR="005D1D70" w:rsidRDefault="00000000">
      <w:pPr>
        <w:numPr>
          <w:ilvl w:val="0"/>
          <w:numId w:val="1"/>
        </w:numPr>
        <w:spacing w:after="0"/>
        <w:jc w:val="both"/>
        <w:rPr>
          <w:sz w:val="24"/>
          <w:szCs w:val="24"/>
        </w:rPr>
      </w:pPr>
      <w:r>
        <w:t xml:space="preserve">MAHETA, D. K.; FRISHMAN, W. H. y ARONOW, W. S. Bloodless cardiac surgery in Jehovah’s Witness: a comprehensive review. En: Cardiology in Review [en línea]. 17 de mayo de 2024. Publicación anticipada en línea. Disponible en: https://doi.org/10.1097/CRD.0000000000000725</w:t>
      </w:r>
    </w:p>
    <w:p w14:paraId="656A9516" w14:textId="77777777" w:rsidR="005D1D70" w:rsidRDefault="00000000">
      <w:pPr>
        <w:numPr>
          <w:ilvl w:val="0"/>
          <w:numId w:val="1"/>
        </w:numPr>
        <w:spacing w:after="0"/>
        <w:jc w:val="both"/>
        <w:rPr>
          <w:sz w:val="24"/>
          <w:szCs w:val="24"/>
        </w:rPr>
      </w:pPr>
      <w:r>
        <w:t xml:space="preserve">GEMELLI, M., et al. Optimizing safety and success: the advantages of bloodless cardiac surgery. A systematic review and meta-analysis of outcomes in Jehovah’s Witnesses. En: Current Problems in Cardiology. 2024, vol. 49, no. 1, parte B, art. 102078. Disponible en: https://doi.org/10.1016/j.cpcardiol.2023.102078</w:t>
      </w:r>
    </w:p>
    <w:p w14:paraId="44E665C7" w14:textId="77777777" w:rsidR="005D1D70" w:rsidRDefault="00000000">
      <w:pPr>
        <w:numPr>
          <w:ilvl w:val="0"/>
          <w:numId w:val="1"/>
        </w:numPr>
        <w:spacing w:after="0"/>
        <w:jc w:val="both"/>
        <w:rPr>
          <w:sz w:val="24"/>
          <w:szCs w:val="24"/>
        </w:rPr>
      </w:pPr>
      <w:r>
        <w:t xml:space="preserve">LANGSTRAAT, M., et al. Cardiac surgery in Jehovah’s Witnesses: 329 consecutive cases. En: Journal of Cardiothoracic and Vascular Anesthesia. 2023, vol. 37, no. 9, p. 1601-1605. Disponible en: https://doi.org/10.1053/j.jvca.2023.04.004</w:t>
      </w:r>
    </w:p>
    <w:p w14:paraId="55DB55A3" w14:textId="77777777" w:rsidR="005D1D70" w:rsidRDefault="00000000">
      <w:pPr>
        <w:numPr>
          <w:ilvl w:val="0"/>
          <w:numId w:val="1"/>
        </w:numPr>
        <w:spacing w:after="0"/>
        <w:jc w:val="both"/>
        <w:rPr>
          <w:sz w:val="24"/>
          <w:szCs w:val="24"/>
        </w:rPr>
      </w:pPr>
      <w:r>
        <w:t xml:space="preserve">PATTAKOS, G., et al. Outcome of patients who refuse transfusion after cardiac surgery: a natural experiment with severe blood conservation. En: Archives of Internal Medicine. 2012, vol. 172, no. 15, p. 1154-1160. Disponible en: https://doi.org/10.1001/archinternmed.2012.2449</w:t>
      </w:r>
    </w:p>
    <w:p w14:paraId="5A713FF4" w14:textId="77777777" w:rsidR="005D1D70" w:rsidRDefault="00000000">
      <w:pPr>
        <w:numPr>
          <w:ilvl w:val="0"/>
          <w:numId w:val="1"/>
        </w:numPr>
        <w:spacing w:after="0"/>
        <w:jc w:val="both"/>
        <w:rPr>
          <w:sz w:val="24"/>
          <w:szCs w:val="24"/>
        </w:rPr>
      </w:pPr>
      <w:r>
        <w:t xml:space="preserve">HELWANI, M. A., et al. Severe acute blood loss anemia in Jehovah’s Witnesses undergoing cardiac surgery: single academic center experience. En: Journal of Cardiothoracic and Vascular Anesthesia. 2023, vol. 37, no. 4, p. 513-518. Disponible en: https://doi.org/10.1053/j.jvca.2022.10.031</w:t>
      </w:r>
    </w:p>
    <w:p w14:paraId="45AF6981" w14:textId="77777777" w:rsidR="005D1D70" w:rsidRDefault="00000000">
      <w:pPr>
        <w:numPr>
          <w:ilvl w:val="0"/>
          <w:numId w:val="1"/>
        </w:numPr>
        <w:spacing w:after="0"/>
        <w:jc w:val="both"/>
        <w:rPr>
          <w:sz w:val="24"/>
          <w:szCs w:val="24"/>
        </w:rPr>
      </w:pPr>
      <w:r>
        <w:t xml:space="preserve">CARSON, J. L.; NOVECK, H.; BERLIN, J. A. y GOULD, S. A. Mortality and morbidity in patients with very low postoperative Hb levels who decline blood transfusion. En: Transfusion. 2002, vol. 42, no. 7, p. 812-818. Disponible en: https://doi.org/10.1046/j.1537-2995.2002.00123.x</w:t>
      </w:r>
    </w:p>
    <w:p w14:paraId="756F48FC" w14:textId="77777777" w:rsidR="005D1D70" w:rsidRDefault="00000000">
      <w:pPr>
        <w:numPr>
          <w:ilvl w:val="0"/>
          <w:numId w:val="1"/>
        </w:numPr>
        <w:spacing w:after="0"/>
        <w:jc w:val="both"/>
        <w:rPr>
          <w:sz w:val="24"/>
          <w:szCs w:val="24"/>
        </w:rPr>
      </w:pPr>
      <w:r>
        <w:t xml:space="preserve">NATIONAL COMMISSION FOR THE PROTECTION OF HUMAN SUBJECTS OF BIOMEDICAL AND BEHAVIORAL RESEARCH. The Belmont report: ethical principles and guidelines for the protection of human subjects of research [en línea]. Washington, D. C.: U.S. Government Printing Office, 1979. [Consultado: 1 de marzo de 2026]. Disponible en: https://www.hhs.gov/ohrp/regulations-and-policy/belmont-report/index.html</w:t>
      </w:r>
    </w:p>
    <w:p w14:paraId="494FE48E" w14:textId="77777777" w:rsidR="005D1D70" w:rsidRDefault="00000000">
      <w:pPr>
        <w:numPr>
          <w:ilvl w:val="0"/>
          <w:numId w:val="1"/>
        </w:numPr>
        <w:spacing w:after="0"/>
        <w:jc w:val="both"/>
        <w:rPr>
          <w:sz w:val="24"/>
          <w:szCs w:val="24"/>
        </w:rPr>
      </w:pPr>
      <w:r>
        <w:t xml:space="preserve">WORLD MEDICAL ASSOCIATION. WMA Declaration of Helsinki: ethical principles for medical research involving human participants [en línea]. 2024. [Consultado: 1 de marzo de 2026]. Disponible en: https://www.wma.net/policies-post/wma-declaration-of-helsinki/</w:t>
      </w:r>
    </w:p>
    <w:p w14:paraId="190002EA" w14:textId="77777777" w:rsidR="005D1D70" w:rsidRDefault="00000000">
      <w:pPr>
        <w:numPr>
          <w:ilvl w:val="0"/>
          <w:numId w:val="1"/>
        </w:numPr>
        <w:spacing w:after="0"/>
        <w:jc w:val="both"/>
        <w:rPr>
          <w:sz w:val="24"/>
          <w:szCs w:val="24"/>
        </w:rPr>
      </w:pPr>
      <w:r>
        <w:lastRenderedPageBreak/>
        <w:t>COLOMBIA. CONGRESO DE LA REPÚBLICA. Ley 23 (18, febrero, 1981). Por la cual se dictan normas en materia de ética médica [en línea]. Bogotá, D. C.: Congreso de la República, 1981. [Consultado: 1 de marzo de 2026]. Disponible en: https://www.funcionpublica.gov.co/eva/gestornormativo/norma.php?i=68760.</w:t>
      </w:r>
    </w:p>
    <w:p w14:paraId="307C90FE" w14:textId="77777777" w:rsidR="005D1D70" w:rsidRDefault="00000000">
      <w:pPr>
        <w:numPr>
          <w:ilvl w:val="0"/>
          <w:numId w:val="1"/>
        </w:numPr>
        <w:spacing w:after="0"/>
        <w:jc w:val="both"/>
        <w:rPr>
          <w:sz w:val="24"/>
          <w:szCs w:val="24"/>
        </w:rPr>
      </w:pPr>
      <w:r>
        <w:t>COLOMBIA. MINISTERIO DE SALUD. Resolución 8430 (4, octubre, 1993). Por la cual se establecen las normas científicas, técnicas y administrativas para la investigación en salud [en línea]. Bogotá, D. C.: Ministerio de Salud, 1993. [Consultado: 1 de marzo de 2026]. Disponible en: https://www.minsalud.gov.co/sites/rid/Lists/BibliotecaDigital/RIDE/de/dij/resolucion-8430-DE-1993.PDF</w:t>
      </w:r>
    </w:p>
    <w:p w14:paraId="35D32CC7" w14:textId="77777777" w:rsidR="005D1D70" w:rsidRDefault="00000000">
      <w:pPr>
        <w:numPr>
          <w:ilvl w:val="0"/>
          <w:numId w:val="1"/>
        </w:numPr>
        <w:spacing w:after="0"/>
        <w:jc w:val="both"/>
        <w:rPr>
          <w:sz w:val="24"/>
          <w:szCs w:val="24"/>
        </w:rPr>
      </w:pPr>
      <w:r>
        <w:t>COLOMBIA. CONGRESO DE LA REPÚBLICA. Ley Estatutaria 1581 (17, octubre, 2012). Por la cual se dictan disposiciones generales para la protección de datos personales [en línea]. Bogotá, D. C.: Congreso de la República, 2012. [Consultado: 1 de marzo de 2026]. Disponible en: https://www.funcionpublica.gov.co/eva/gestornormativo/norma.php?i=49981</w:t>
      </w:r>
    </w:p>
    <w:p w14:paraId="0169933B" w14:textId="77777777" w:rsidR="005D1D70" w:rsidRDefault="00000000">
      <w:pPr>
        <w:numPr>
          <w:ilvl w:val="0"/>
          <w:numId w:val="1"/>
        </w:numPr>
        <w:spacing w:after="0"/>
        <w:jc w:val="both"/>
        <w:rPr>
          <w:sz w:val="24"/>
          <w:szCs w:val="24"/>
        </w:rPr>
      </w:pPr>
      <w:r>
        <w:t xml:space="preserve">TIBI, P., et al. STS/SCA/AmSECT/SABM update to the clinical practice guidelines on patient blood management. En: The Annals of Thoracic Surgery. 2021, vol. 112, no. 3, p. 981-1004. Disponible en: https://doi.org/10.1016/j.athoracsur.2021.03.033</w:t>
      </w:r>
    </w:p>
    <w:p w14:paraId="4A41F61B" w14:textId="77777777" w:rsidR="005D1D70" w:rsidRDefault="00000000">
      <w:pPr>
        <w:numPr>
          <w:ilvl w:val="0"/>
          <w:numId w:val="1"/>
        </w:numPr>
        <w:spacing w:after="0"/>
        <w:jc w:val="both"/>
        <w:rPr>
          <w:sz w:val="24"/>
          <w:szCs w:val="24"/>
        </w:rPr>
      </w:pPr>
      <w:r>
        <w:t xml:space="preserve">SALENGER, R., et al. Cardiac surgical bleeding, transfusion, and quality metrics: joint consensus statement by the Enhanced Recovery After Surgery Cardiac Society and Society for the Advancement of Patient Blood Management. En: The Annals of Thoracic Surgery. 2025, vol. 119, no. 2, p. 280-295. Disponible en: https://doi.org/10.1016/j.athoracsur.2024.06.039</w:t>
      </w:r>
    </w:p>
    <w:p w14:paraId="5F8B4213" w14:textId="77777777" w:rsidR="005D1D70" w:rsidRDefault="00000000">
      <w:pPr>
        <w:numPr>
          <w:ilvl w:val="0"/>
          <w:numId w:val="1"/>
        </w:numPr>
        <w:spacing w:after="0"/>
        <w:jc w:val="both"/>
        <w:rPr>
          <w:sz w:val="24"/>
          <w:szCs w:val="24"/>
        </w:rPr>
      </w:pPr>
      <w:r>
        <w:t xml:space="preserve">VITOLO, M., et al. Cardiac surgery in Jehovah’s Witnesses patients and association with peri-operative outcomes: a systematic review and meta-analysis. En: Current Problems in Cardiology. 2023, vol. 48, no. 9, art. 101789. Disponible en: https://doi.org/10.1016/j.cpcardiol.2023.101789</w:t>
      </w:r>
    </w:p>
    <w:p w14:paraId="7C72B727" w14:textId="77777777" w:rsidR="005D1D70" w:rsidRDefault="00000000">
      <w:pPr>
        <w:numPr>
          <w:ilvl w:val="0"/>
          <w:numId w:val="1"/>
        </w:numPr>
        <w:spacing w:after="0"/>
        <w:jc w:val="both"/>
        <w:rPr>
          <w:sz w:val="24"/>
          <w:szCs w:val="24"/>
        </w:rPr>
      </w:pPr>
      <w:r>
        <w:t>MONTES VILLALOBOS, L., et al. Testigos de Jehová y cirugía cardiaca: recopilación de 10 años de experiencia [póster en línea]. Fundación Cardiovascular de Colombia; Grupo Quirón, [s. f.]. [Consultado: 1 de marzo de 2026]. Disponible en: https://resumenes.scc.org.co/public/uploads/PDFs/User_129_abs_859_tj%20poster22.pdf</w:t>
      </w:r>
    </w:p>
    <w:p w14:paraId="57E954B8" w14:textId="77777777" w:rsidR="005D1D70" w:rsidRDefault="00000000">
      <w:pPr>
        <w:numPr>
          <w:ilvl w:val="0"/>
          <w:numId w:val="1"/>
        </w:numPr>
        <w:spacing w:after="0"/>
        <w:jc w:val="both"/>
        <w:rPr>
          <w:sz w:val="24"/>
          <w:szCs w:val="24"/>
        </w:rPr>
      </w:pPr>
      <w:r>
        <w:t>BERNAL, J. M., et al. Cirugía cardiaca en testigos de Jehová: experiencia en Santander. En: Revista Española de Cardiología. 2006, vol. 59, no. 5, p. 507-509. Disponible en: https://doi.org/10.1157/13087904</w:t>
      </w:r>
    </w:p>
    <w:p w14:paraId="2D63F2EF" w14:textId="77777777" w:rsidR="005D1D70" w:rsidRDefault="00000000">
      <w:pPr>
        <w:numPr>
          <w:ilvl w:val="0"/>
          <w:numId w:val="1"/>
        </w:numPr>
        <w:spacing w:after="0"/>
        <w:jc w:val="both"/>
        <w:rPr>
          <w:sz w:val="24"/>
          <w:szCs w:val="24"/>
        </w:rPr>
      </w:pPr>
      <w:r>
        <w:t xml:space="preserve">CHAMBAULT, A.-L., et al. Outcomes of cardiac surgery in Jehovah’s Witness patients: a review. En: Perfusion. 2021, vol. 36, no. 7, p. 661-671. Disponible en: https://doi.org/10.1177/0267659120980375</w:t>
      </w:r>
    </w:p>
    <w:p w14:paraId="6E6B775D" w14:textId="77777777" w:rsidR="005D1D70" w:rsidRDefault="00000000">
      <w:pPr>
        <w:numPr>
          <w:ilvl w:val="0"/>
          <w:numId w:val="1"/>
        </w:numPr>
        <w:spacing w:after="0"/>
        <w:jc w:val="both"/>
        <w:rPr>
          <w:sz w:val="24"/>
          <w:szCs w:val="24"/>
        </w:rPr>
      </w:pPr>
      <w:r>
        <w:t xml:space="preserve">WOLDENDORP, K., et al. Perioperative transfusion and long-term mortality after cardiac surgery: a meta-analysis. En: General Thoracic and Cardiovascular Surgery. 2023, vol. 71, no. 6, p. 323-330. Disponible en: https://doi.org/10.1007/s11748-023-01923-w</w:t>
      </w:r>
    </w:p>
    <w:p w14:paraId="2BCF21FF" w14:textId="77777777" w:rsidR="005D1D70" w:rsidRDefault="00000000">
      <w:pPr>
        <w:numPr>
          <w:ilvl w:val="0"/>
          <w:numId w:val="1"/>
        </w:numPr>
        <w:spacing w:after="0"/>
        <w:jc w:val="both"/>
        <w:rPr>
          <w:sz w:val="24"/>
          <w:szCs w:val="24"/>
        </w:rPr>
      </w:pPr>
      <w:r>
        <w:t xml:space="preserve">MÜLLER, H., et al. Open heart surgery in Jehovah’s Witnesses: a propensity score analysis. En: The Annals of Thoracic Surgery. 2020, vol. 109, no. 2, p. 526-533. Disponible en: https://doi.org/10.1016/j.athoracsur.2019.06.065</w:t>
      </w:r>
    </w:p>
    <w:p w14:paraId="44580D2D" w14:textId="77777777" w:rsidR="005D1D70" w:rsidRDefault="00000000">
      <w:pPr>
        <w:numPr>
          <w:ilvl w:val="0"/>
          <w:numId w:val="1"/>
        </w:numPr>
        <w:spacing w:after="0"/>
        <w:jc w:val="both"/>
        <w:rPr>
          <w:sz w:val="24"/>
          <w:szCs w:val="24"/>
        </w:rPr>
      </w:pPr>
      <w:r>
        <w:lastRenderedPageBreak/>
        <w:t xml:space="preserve">YAMABE, T., et al. Impact of surgical urgency on outcomes and postoperative anemia in Jehovah’s Witnesses undergoing cardiovascular surgery. En: Journal of Cardiac Surgery. 2025, vol. 2025, art. 9190618. Disponible en: https://doi.org/10.1155/jocs/9190618</w:t>
      </w:r>
    </w:p>
    <w:p w14:paraId="00FE5383" w14:textId="77777777" w:rsidR="005D1D70" w:rsidRDefault="00000000">
      <w:pPr>
        <w:numPr>
          <w:ilvl w:val="0"/>
          <w:numId w:val="1"/>
        </w:numPr>
        <w:spacing w:after="0"/>
        <w:jc w:val="both"/>
        <w:rPr>
          <w:sz w:val="24"/>
          <w:szCs w:val="24"/>
        </w:rPr>
      </w:pPr>
      <w:r>
        <w:t xml:space="preserve">MCCARTNEY, S. L.; HENSLEY, N. B. y WELSBY, I. Anemia after cardiac surgery: what is its link to outcomes? En: Canadian Journal of Anesthesia/Journal canadien d’anesthésie. 2024, vol. 71, no. 3, p. 307-310. Disponible en: https://doi.org/10.1007/s12630-023-02649-2</w:t>
      </w:r>
    </w:p>
    <w:p w14:paraId="37D68C1A" w14:textId="77777777" w:rsidR="005D1D70" w:rsidRDefault="00000000">
      <w:pPr>
        <w:numPr>
          <w:ilvl w:val="0"/>
          <w:numId w:val="1"/>
        </w:numPr>
        <w:spacing w:after="0"/>
        <w:jc w:val="both"/>
        <w:rPr>
          <w:sz w:val="24"/>
          <w:szCs w:val="24"/>
        </w:rPr>
      </w:pPr>
      <w:r>
        <w:t xml:space="preserve">CASSELMAN, F. P. A., et al. 2024 EACTS/EACTAIC guidelines on patient blood management in adult cardiac surgery in collaboration with EBCP. En: European Journal of Cardio-Thoracic Surgery. 2025, vol. 67, no. 5, art. ezae352. Disponible en: https://doi.org/10.1093/ejcts/ezae352</w:t>
      </w:r>
    </w:p>
    <w:p w14:paraId="3CC98E2C" w14:textId="77777777" w:rsidR="005D1D70" w:rsidRDefault="00000000">
      <w:pPr>
        <w:numPr>
          <w:ilvl w:val="0"/>
          <w:numId w:val="1"/>
        </w:numPr>
        <w:spacing w:after="0"/>
        <w:jc w:val="both"/>
        <w:rPr>
          <w:sz w:val="24"/>
          <w:szCs w:val="24"/>
        </w:rPr>
      </w:pPr>
      <w:r>
        <w:t xml:space="preserve">SHORE-LESSERSON, L., et al. STS/SCA/AmSECT clinical practice guidelines: anticoagulation during cardiopulmonary bypass. En: Journal of ExtraCorporeal Technology. 2018, vol. 50, no. 1, p. 5-18. Disponible en: https://doi.org/10.1051/ject/201850005</w:t>
      </w:r>
    </w:p>
    <w:p w14:paraId="1B60134A" w14:textId="77777777" w:rsidR="005D1D70" w:rsidRDefault="00000000">
      <w:pPr>
        <w:numPr>
          <w:ilvl w:val="0"/>
          <w:numId w:val="1"/>
        </w:numPr>
        <w:spacing w:after="0"/>
        <w:jc w:val="both"/>
        <w:rPr>
          <w:sz w:val="24"/>
          <w:szCs w:val="24"/>
        </w:rPr>
      </w:pPr>
      <w:r>
        <w:t xml:space="preserve">JEPPSSON, A., et al. 2024 EACTS guidelines on perioperative medication in adult cardiac surgery. En: European Journal of Cardio-Thoracic Surgery. 2025, vol. 67, no. 1, art. ezae355. Disponible en: https://doi.org/10.1093/ejcts/ezae355</w:t>
      </w:r>
    </w:p>
    <w:p w14:paraId="4FD0C789" w14:textId="77777777" w:rsidR="005D1D70" w:rsidRDefault="00000000">
      <w:pPr>
        <w:numPr>
          <w:ilvl w:val="0"/>
          <w:numId w:val="1"/>
        </w:numPr>
        <w:spacing w:after="0"/>
        <w:jc w:val="both"/>
        <w:rPr>
          <w:sz w:val="24"/>
          <w:szCs w:val="24"/>
        </w:rPr>
      </w:pPr>
      <w:r>
        <w:t xml:space="preserve">FLETCHER, C. M., et al. Platelet transfusion after cardiac surgery. En: Journal of Cardiothoracic and Vascular Anesthesia. 2023, vol. 37, no. 4, p. 528-538. Disponible en: https://doi.org/10.1053/j.jvca.2022.12.009</w:t>
      </w:r>
    </w:p>
    <w:p w14:paraId="1783C1D1" w14:textId="77777777" w:rsidR="005D1D70" w:rsidRDefault="00000000">
      <w:pPr>
        <w:numPr>
          <w:ilvl w:val="0"/>
          <w:numId w:val="1"/>
        </w:numPr>
        <w:spacing w:after="0"/>
        <w:jc w:val="both"/>
        <w:rPr>
          <w:sz w:val="24"/>
          <w:szCs w:val="24"/>
        </w:rPr>
      </w:pPr>
      <w:r>
        <w:t xml:space="preserve">GRANT, M. C., et al. Perioperative care in cardiac surgery: a joint consensus statement by the Enhanced Recovery After Surgery Cardiac Society, ERAS International Society, and the Society of Thoracic Surgeons. En: The Annals of Thoracic Surgery. 2024, vol. 117, no. 4, p. 669-689. Disponible en: https://doi.org/10.1016/j.athoracsur.2023.12.006</w:t>
      </w:r>
    </w:p>
    <w:p w14:paraId="34AF29BF" w14:textId="77777777" w:rsidR="005D1D70" w:rsidRDefault="00000000">
      <w:pPr>
        <w:numPr>
          <w:ilvl w:val="0"/>
          <w:numId w:val="1"/>
        </w:numPr>
        <w:spacing w:after="0"/>
        <w:jc w:val="both"/>
        <w:rPr>
          <w:sz w:val="24"/>
          <w:szCs w:val="24"/>
        </w:rPr>
      </w:pPr>
      <w:r>
        <w:t xml:space="preserve">METCALF, R. A., et al. Platelet transfusion: 2025 AABB and ICTMG international clinical practice guidelines. En: JAMA. 2025, vol. 334, no. 7, p. 606-617. Disponible en: https://doi.org/10.1001/jama.2025.7529</w:t>
      </w:r>
    </w:p>
    <w:p w14:paraId="3EE14E6B" w14:textId="77777777" w:rsidR="005D1D70" w:rsidRDefault="00000000">
      <w:pPr>
        <w:numPr>
          <w:ilvl w:val="0"/>
          <w:numId w:val="1"/>
        </w:numPr>
        <w:spacing w:after="0"/>
        <w:jc w:val="both"/>
        <w:rPr>
          <w:sz w:val="24"/>
          <w:szCs w:val="24"/>
        </w:rPr>
      </w:pPr>
      <w:r>
        <w:t xml:space="preserve">CARSON, J. L., et al. Red blood cell transfusion: 2023 AABB international guidelines. En: JAMA. 2023, vol. 330, no. 19, p. 1892-1902. Disponible en: https://doi.org/10.1001/jama.2023.12914</w:t>
      </w:r>
    </w:p>
    <w:p w14:paraId="648A2407" w14:textId="77777777" w:rsidR="005D1D70" w:rsidRDefault="00000000">
      <w:pPr>
        <w:numPr>
          <w:ilvl w:val="0"/>
          <w:numId w:val="1"/>
        </w:numPr>
        <w:spacing w:after="0"/>
        <w:jc w:val="both"/>
        <w:rPr>
          <w:sz w:val="24"/>
          <w:szCs w:val="24"/>
        </w:rPr>
      </w:pPr>
      <w:r>
        <w:t xml:space="preserve">JUBOURI, M., et al. Optimising bloodless cardiovascular surgery for Jehovah’s Witnesses and beyond. En: Coronary Artery Disease. 2022, vol. 33, no. 1, p. 52-60. Disponible en: https://doi.org/10.1097/MCA.0000000000001050</w:t>
      </w:r>
    </w:p>
    <w:p w14:paraId="2295137C" w14:textId="77777777" w:rsidR="005D1D70" w:rsidRDefault="00000000">
      <w:pPr>
        <w:numPr>
          <w:ilvl w:val="0"/>
          <w:numId w:val="1"/>
        </w:numPr>
        <w:spacing w:after="0"/>
        <w:jc w:val="both"/>
        <w:rPr>
          <w:sz w:val="24"/>
          <w:szCs w:val="24"/>
        </w:rPr>
      </w:pPr>
      <w:r>
        <w:t xml:space="preserve">BOLLIGER, D.; ERB, J. M. y TANAKA, K. A. Caring for Jehovah’s Witness patients undergoing complex cardiac surgery. En: Journal of Cardiothoracic and Vascular Anesthesia. 2023, vol. 37, no. 4, p. 519-521. Disponible en: https://doi.org/10.1053/j.jvca.2022.12.029</w:t>
      </w:r>
    </w:p>
    <w:p w14:paraId="4C1947F3" w14:textId="77777777" w:rsidR="005D1D70" w:rsidRDefault="00000000">
      <w:pPr>
        <w:numPr>
          <w:ilvl w:val="0"/>
          <w:numId w:val="1"/>
        </w:numPr>
        <w:spacing w:after="0"/>
        <w:jc w:val="both"/>
        <w:rPr>
          <w:sz w:val="24"/>
          <w:szCs w:val="24"/>
        </w:rPr>
      </w:pPr>
      <w:r>
        <w:t xml:space="preserve">JASSAR, A. S., et al. Cardiac surgery in Jehovah’s Witness patients: ten-year experience. En: The Annals of Thoracic Surgery. 2012, vol. 93, no. 1, p. 19-25. Disponible en: https://doi.org/10.1016/j.athoracsur.2011.06.029</w:t>
      </w:r>
    </w:p>
    <w:p w14:paraId="00EA0F32" w14:textId="77777777" w:rsidR="005D1D70" w:rsidRDefault="00000000">
      <w:pPr>
        <w:numPr>
          <w:ilvl w:val="0"/>
          <w:numId w:val="1"/>
        </w:numPr>
        <w:spacing w:after="0"/>
        <w:jc w:val="both"/>
        <w:rPr>
          <w:sz w:val="24"/>
          <w:szCs w:val="24"/>
        </w:rPr>
      </w:pPr>
      <w:r>
        <w:t xml:space="preserve">VAISLIC, C. D., et al. Outcomes in cardiac surgery in 500 consecutive Jehovah’s Witness patients: 21 year experience. En: Journal of Cardiothoracic Surgery. 2012, vol. 7, art. 95. Disponible en: https://doi.org/10.1186/1749-8090-7-95</w:t>
      </w:r>
    </w:p>
    <w:p w14:paraId="2E55A371" w14:textId="77777777" w:rsidR="005D1D70" w:rsidRDefault="00000000">
      <w:pPr>
        <w:numPr>
          <w:ilvl w:val="0"/>
          <w:numId w:val="1"/>
        </w:numPr>
        <w:spacing w:after="0"/>
        <w:jc w:val="both"/>
        <w:rPr>
          <w:sz w:val="24"/>
          <w:szCs w:val="24"/>
        </w:rPr>
      </w:pPr>
      <w:r>
        <w:lastRenderedPageBreak/>
        <w:t xml:space="preserve">LEE, H., et al. Minimally invasive approach versus sternotomy for cardiac surgery in Jehovah’s Witness patients. En: Journal of Cardiothoracic and Vascular Anesthesia. 2024, vol. 38, no. 9, p. 1907-1913. Disponible en: https://doi.org/10.1053/j.jvca.2024.04.041</w:t>
      </w:r>
    </w:p>
    <w:p w14:paraId="266BFB52" w14:textId="77777777" w:rsidR="005D1D70" w:rsidRDefault="00000000">
      <w:pPr>
        <w:numPr>
          <w:ilvl w:val="0"/>
          <w:numId w:val="1"/>
        </w:numPr>
        <w:spacing w:after="0"/>
        <w:jc w:val="both"/>
        <w:rPr>
          <w:sz w:val="24"/>
          <w:szCs w:val="24"/>
        </w:rPr>
      </w:pPr>
      <w:r>
        <w:t xml:space="preserve">O’BRIEN, S. M., et al. The Society of Thoracic Surgeons 2018 adult cardiac surgery risk models: part 2—statistical methods and results. En: The Annals of Thoracic Surgery. 2018, vol. 105, no. 5, p. 1419-1428. Disponible en: https://doi.org/10.1016/j.athoracsur.2018.03.003</w:t>
      </w:r>
    </w:p>
    <w:p w14:paraId="179552E5" w14:textId="77777777" w:rsidR="005D1D70" w:rsidRDefault="00000000">
      <w:pPr>
        <w:numPr>
          <w:ilvl w:val="0"/>
          <w:numId w:val="1"/>
        </w:numPr>
        <w:spacing w:after="0"/>
        <w:jc w:val="both"/>
        <w:rPr>
          <w:sz w:val="24"/>
          <w:szCs w:val="24"/>
        </w:rPr>
      </w:pPr>
      <w:r>
        <w:t xml:space="preserve">DYKE, C., et al. Universal definition of perioperative bleeding in adult cardiac surgery. En: The Journal of Thoracic and Cardiovascular Surgery. 2014, vol. 147, no. 5, p. 1458-1463.e1. Disponible en: https://doi.org/10.1016/j.jtcvs.2013.10.070</w:t>
      </w:r>
    </w:p>
    <w:p w14:paraId="5699CBB5" w14:textId="77777777" w:rsidR="005D1D70" w:rsidRDefault="00000000">
      <w:pPr>
        <w:numPr>
          <w:ilvl w:val="0"/>
          <w:numId w:val="1"/>
        </w:numPr>
        <w:spacing w:after="0"/>
        <w:jc w:val="both"/>
        <w:rPr>
          <w:sz w:val="24"/>
          <w:szCs w:val="24"/>
        </w:rPr>
      </w:pPr>
      <w:r>
        <w:t xml:space="preserve">KIDNEY DISEASE: IMPROVING GLOBAL OUTCOMES (KDIGO) ACUTE KIDNEY INJURY WORK GROUP. KDIGO clinical practice guideline for acute kidney injury. En: Kidney International Supplements. 2012, vol. 2, no. 1, p. 1-138. Disponible en: https://doi.org/10.1038/kisup.2012.1</w:t>
      </w:r>
    </w:p>
    <w:p w14:paraId="6528BCE6" w14:textId="77777777" w:rsidR="005D1D70" w:rsidRDefault="00000000">
      <w:pPr>
        <w:numPr>
          <w:ilvl w:val="0"/>
          <w:numId w:val="1"/>
        </w:numPr>
        <w:spacing w:after="0"/>
        <w:jc w:val="both"/>
        <w:rPr>
          <w:sz w:val="24"/>
          <w:szCs w:val="24"/>
        </w:rPr>
      </w:pPr>
      <w:r>
        <w:t xml:space="preserve">SINGER, M., et al. The Third International Consensus Definitions for Sepsis and Septic Shock (Sepsis-3). En: JAMA. 2016, vol. 315, no. 8, p. 801-810. Disponible en: https://doi.org/10.1001/jama.2016.0287</w:t>
      </w:r>
    </w:p>
    <w:p w14:paraId="66E3B97D" w14:textId="77777777" w:rsidR="005D1D70" w:rsidRDefault="00000000">
      <w:pPr>
        <w:numPr>
          <w:ilvl w:val="0"/>
          <w:numId w:val="1"/>
        </w:numPr>
        <w:spacing w:after="0"/>
        <w:jc w:val="both"/>
        <w:rPr>
          <w:sz w:val="24"/>
          <w:szCs w:val="24"/>
        </w:rPr>
      </w:pPr>
      <w:r>
        <w:t xml:space="preserve">BARAN, D. A., et al. SCAI clinical expert consensus statement on the classification of cardiogenic shock. En: Catheterization and Cardiovascular Interventions. 2019, vol. 94, no. 1, p. 29-37. Disponible en: https://doi.org/10.1002/ccd.28329</w:t>
      </w:r>
    </w:p>
    <w:p w14:paraId="494FECDE" w14:textId="77777777" w:rsidR="005D1D70" w:rsidRDefault="00000000">
      <w:pPr>
        <w:numPr>
          <w:ilvl w:val="0"/>
          <w:numId w:val="1"/>
        </w:numPr>
        <w:spacing w:after="0"/>
        <w:jc w:val="both"/>
        <w:rPr>
          <w:sz w:val="24"/>
          <w:szCs w:val="24"/>
        </w:rPr>
      </w:pPr>
      <w:r>
        <w:t xml:space="preserve">THYGESEN, K., et al. Fourth universal definition of myocardial infarction (2018). En: Circulation. 2018, vol. 138, no. 20, p. e618-e651. Disponible en: https://doi.org/10.1161/CIR.0000000000000617</w:t>
      </w:r>
    </w:p>
    <w:p w14:paraId="1A3ECF2D" w14:textId="77777777" w:rsidR="005D1D70" w:rsidRDefault="00000000">
      <w:pPr>
        <w:numPr>
          <w:ilvl w:val="0"/>
          <w:numId w:val="1"/>
        </w:numPr>
        <w:spacing w:after="0"/>
        <w:jc w:val="both"/>
        <w:rPr>
          <w:sz w:val="24"/>
          <w:szCs w:val="24"/>
        </w:rPr>
      </w:pPr>
      <w:r>
        <w:t xml:space="preserve">NASHEF, S. A. M., et al. EuroSCORE II. En: European Journal of Cardio-Thoracic Surgery. 2012, vol. 41, no. 4, p. 734-745. Disponible en: https://doi.org/10.1093/ejcts/ezs043</w:t>
      </w:r>
    </w:p>
    <w:p w14:paraId="769EB29B" w14:textId="77777777" w:rsidR="005D1D70" w:rsidRDefault="00000000">
      <w:pPr>
        <w:numPr>
          <w:ilvl w:val="0"/>
          <w:numId w:val="1"/>
        </w:numPr>
        <w:spacing w:after="0"/>
        <w:jc w:val="both"/>
        <w:rPr>
          <w:sz w:val="24"/>
          <w:szCs w:val="24"/>
        </w:rPr>
      </w:pPr>
      <w:r>
        <w:t xml:space="preserve">HARTRUMPF, M., et al. Everyday cardiac surgery in Jehovah’s Witnesses of typically advanced age: clinical outcome and matched comparison. En: Journal of Clinical Medicine. 2023, vol. 12, no. 15, art. 5110. Disponible en: https://doi.org/10.3390/jcm12155110</w:t>
      </w:r>
    </w:p>
    <w:p w14:paraId="4136EC87" w14:textId="77777777" w:rsidR="005D1D70" w:rsidRDefault="00000000">
      <w:pPr>
        <w:numPr>
          <w:ilvl w:val="0"/>
          <w:numId w:val="1"/>
        </w:numPr>
        <w:spacing w:after="0"/>
        <w:jc w:val="both"/>
        <w:rPr>
          <w:sz w:val="24"/>
          <w:szCs w:val="24"/>
        </w:rPr>
      </w:pPr>
      <w:r>
        <w:t xml:space="preserve">VARELA BARCA, L., et al. Resultados de la cirugía cardiaca en testigos de Jehová tras la creación de un protocolo de ultraoptimización preoperatorio [resumen de congreso]. En: Revista Española de Cardiología. 2024, vol. 77, supl. 1, p. 892-894.</w:t>
      </w:r>
    </w:p>
    <w:p w14:paraId="731CD96C" w14:textId="77777777" w:rsidR="005D1D70" w:rsidRDefault="00000000">
      <w:pPr>
        <w:numPr>
          <w:ilvl w:val="0"/>
          <w:numId w:val="1"/>
        </w:numPr>
        <w:spacing w:after="0"/>
        <w:jc w:val="both"/>
        <w:rPr>
          <w:sz w:val="24"/>
          <w:szCs w:val="24"/>
        </w:rPr>
      </w:pPr>
      <w:r>
        <w:t>COLOMBIA. MINISTERIO DE SALUD. Resolución 1995 (8, julio, 1999). Por la cual se establecen normas para el manejo de la historia clínica. Bogotá, D. C.: Ministerio de Salud, 1999.</w:t>
      </w:r>
    </w:p>
    <w:p w14:paraId="34CDF108" w14:textId="77777777" w:rsidR="005D1D70" w:rsidRDefault="00000000">
      <w:pPr>
        <w:numPr>
          <w:ilvl w:val="0"/>
          <w:numId w:val="1"/>
        </w:numPr>
        <w:spacing w:after="0"/>
        <w:jc w:val="both"/>
        <w:rPr>
          <w:sz w:val="24"/>
          <w:szCs w:val="24"/>
        </w:rPr>
      </w:pPr>
      <w:r>
        <w:t xml:space="preserve">VON ELM, E., et al. The Strengthening the Reporting of Observational Studies in Epidemiology (STROBE) statement: guidelines for reporting observational studies. En: The Lancet. 2007, vol. 370, no. 9596, p. 1453-1457. Disponible en: https://doi.org/10.1016/S0140-6736(07)61602-X</w:t>
      </w:r>
    </w:p>
    <w:p w14:paraId="5BA48FDA" w14:textId="77777777" w:rsidR="005D1D70" w:rsidRDefault="00000000">
      <w:pPr>
        <w:numPr>
          <w:ilvl w:val="0"/>
          <w:numId w:val="1"/>
        </w:numPr>
        <w:spacing w:after="0"/>
        <w:jc w:val="both"/>
        <w:rPr>
          <w:sz w:val="24"/>
          <w:szCs w:val="24"/>
        </w:rPr>
      </w:pPr>
      <w:r>
        <w:t xml:space="preserve">BENCHIMOL, E. I., et al. The REporting of studies Conducted using Observational Routinely-collected health Data (RECORD) statement. En: PLOS Medicine. 2015, vol. 12, no. 10, art. e1001885. Disponible en: https://doi.org/10.1371/journal.pmed.1001885</w:t>
      </w:r>
    </w:p>
    <w:p w14:paraId="532F9721" w14:textId="77777777" w:rsidR="005D1D70" w:rsidRDefault="00000000">
      <w:pPr>
        <w:numPr>
          <w:ilvl w:val="0"/>
          <w:numId w:val="1"/>
        </w:numPr>
        <w:spacing w:after="0"/>
        <w:jc w:val="both"/>
        <w:rPr>
          <w:sz w:val="24"/>
          <w:szCs w:val="24"/>
        </w:rPr>
      </w:pPr>
      <w:r>
        <w:lastRenderedPageBreak/>
        <w:t xml:space="preserve">VASSAR, M. y HOLZMANN, M. The retrospective chart review: important methodological considerations. En: Journal of Educational Evaluation for Health Professions. 2013, vol. 10, art. 12. Disponible en: https://doi.org/10.3352/jeehp.2013.10.12</w:t>
      </w:r>
    </w:p>
    <w:p w14:paraId="1CE66043" w14:textId="06C8FEE2" w:rsidR="0044299D" w:rsidRPr="0070336B" w:rsidRDefault="00000000" w:rsidP="0070336B">
      <w:pPr>
        <w:numPr>
          <w:ilvl w:val="0"/>
          <w:numId w:val="1"/>
        </w:numPr>
        <w:spacing w:after="0"/>
        <w:jc w:val="both"/>
        <w:rPr>
          <w:sz w:val="24"/>
          <w:szCs w:val="24"/>
        </w:rPr>
      </w:pPr>
      <w:r>
        <w:t xml:space="preserve">PEDUZZI, P., et al. A simulation study of the number of events per variable in logistic regression analysis. En: Journal of Clinical Epidemiology. 1996, vol. 49, no. 12, p. 1373-1379. Disponible en: https://doi.org/10.1016/S0895-4356(96)00236-3</w:t>
      </w:r>
      <w:bookmarkStart w:id="27" w:name="_heading=h.dxtuw1jk7n4" w:colFirst="0" w:colLast="0"/>
      <w:bookmarkEnd w:id="27"/>
    </w:p>
    <w:p>
      <w:pPr>
        <w:numPr>
          <w:ilvl w:val="0"/>
          <w:numId w:val="1"/>
        </w:numPr>
        <w:spacing w:after="0"/>
        <w:jc w:val="both"/>
      </w:pPr>
      <w:r>
        <w:rPr>
          <w:color w:val="000000"/>
          <w:sz w:val="24"/>
          <w:szCs w:val="24"/>
          <w:highlight w:val="yellow"/>
        </w:rPr>
        <w:t xml:space="preserve">TESTIGOS DE JEHOVÁ. OFICINA DE INFORMACIÓN PÚBLICA. Jehovah’s Witnesses: each Witness now decides whether to accept or donate main blood components [comunicado en línea]. Septiembre de 2026. [Consultado: 17 de octubre de 2026]. Disponible en: https://www.jw.org/en/global-communications/country/global-news/Jehovahs-Witnesses-Each-Witness-Now-Decides-Whether-to-Accept-or-Donate-Main-Blood-Components/</w:t>
      </w:r>
    </w:p>
    <w:p>
      <w:pPr>
        <w:numPr>
          <w:ilvl w:val="0"/>
          <w:numId w:val="1"/>
        </w:numPr>
        <w:spacing w:after="0"/>
        <w:jc w:val="both"/>
      </w:pPr>
      <w:r>
        <w:rPr>
          <w:color w:val="000000"/>
          <w:sz w:val="24"/>
          <w:szCs w:val="24"/>
          <w:highlight w:val="yellow"/>
        </w:rPr>
        <w:t xml:space="preserve">AABB. Jehovah’s Witnesses allow individual decisions on allogeneic blood transfusion and donation [en línea]. AABB News. 21 de septiembre de 2026. [Consultado: 17 de octubre de 2026]. Disponible en: https://www.aabb.org/news-resources/news/article/2026/09/21/jehovah's-witnesses-allow-individual-decisions-on-allogeneic-blood-transfusion-and-donation</w:t>
      </w:r>
    </w:p>
    <w:p>
      <w:pPr>
        <w:numPr>
          <w:ilvl w:val="0"/>
          <w:numId w:val="1"/>
        </w:numPr>
        <w:spacing w:after="0"/>
        <w:jc w:val="both"/>
      </w:pPr>
      <w:r>
        <w:rPr>
          <w:color w:val="000000"/>
          <w:sz w:val="24"/>
          <w:szCs w:val="24"/>
          <w:highlight w:val="yellow"/>
        </w:rPr>
        <w:t xml:space="preserve">LA NACIÓN. Los Testigos de Jehová permitirán las donaciones y transfusiones de sangre a sus fieles por “decisión propia” [en línea]. Buenos Aires, 22 de septiembre de 2026. [Consultado: 17 de octubre de 2026]. Disponible en: https://www.lanacion.com.ar/sociedad/los-testigos-de-jehova-permitiran-las-donaciones-y-transfusiones-de-sangre-a-sus-fieles-por-decision-nid22092026/</w:t>
      </w:r>
    </w:p>
    <w:p>
      <w:pPr>
        <w:numPr>
          <w:ilvl w:val="0"/>
          <w:numId w:val="1"/>
        </w:numPr>
        <w:spacing w:after="0"/>
        <w:jc w:val="both"/>
      </w:pPr>
      <w:r>
        <w:rPr>
          <w:color w:val="000000"/>
          <w:sz w:val="24"/>
          <w:szCs w:val="24"/>
          <w:highlight w:val="yellow"/>
        </w:rPr>
        <w:t xml:space="preserve">CONSEJO DE ORGANIZACIONES INTERNACIONALES DE LAS CIENCIAS MÉDICAS (CIOMS) y ORGANIZACIÓN MUNDIAL DE LA SALUD. Pautas éticas internacionales para la investigación relacionada con la salud con seres humanos. 4.ª ed. Ginebra: CIOMS, 2016. Versión en español: Washington, D. C.: Organización Panamericana de la Salud, 2017.</w:t>
      </w:r>
    </w:p>
    <w:p>
      <w:pPr>
        <w:numPr>
          <w:ilvl w:val="0"/>
          <w:numId w:val="1"/>
        </w:numPr>
        <w:spacing w:after="0"/>
        <w:jc w:val="both"/>
      </w:pPr>
      <w:r>
        <w:rPr>
          <w:color w:val="000000"/>
          <w:sz w:val="24"/>
          <w:szCs w:val="24"/>
          <w:highlight w:val="yellow"/>
        </w:rPr>
        <w:t xml:space="preserve">ORGANIZACIÓN DE LAS NACIONES UNIDAS PARA LA EDUCACIÓN, LA CIENCIA Y LA CULTURA (UNESCO). Declaración Universal sobre Bioética y Derechos Humanos. París: UNESCO, 2005.</w:t>
      </w:r>
    </w:p>
    <w:p>
      <w:pPr>
        <w:numPr>
          <w:ilvl w:val="0"/>
          <w:numId w:val="1"/>
        </w:numPr>
        <w:spacing w:after="0"/>
        <w:jc w:val="both"/>
      </w:pPr>
      <w:r>
        <w:rPr>
          <w:color w:val="000000"/>
          <w:sz w:val="24"/>
          <w:szCs w:val="24"/>
          <w:highlight w:val="yellow"/>
        </w:rPr>
        <w:t xml:space="preserve">COLOMBIA. PRESIDENCIA DE LA REPÚBLICA. Decreto 1377 (27, junio, 2013). Por el cual se reglamenta parcialmente la Ley 1581 de 2012 [compilado en el Decreto Único Reglamentario 1074 de 2015]. Bogotá, D. C., 2013.</w:t>
      </w:r>
    </w:p>
    <w:p>
      <w:pPr>
        <w:numPr>
          <w:ilvl w:val="0"/>
          <w:numId w:val="1"/>
        </w:numPr>
        <w:spacing w:after="0"/>
        <w:jc w:val="both"/>
      </w:pPr>
      <w:r>
        <w:rPr>
          <w:color w:val="000000"/>
          <w:sz w:val="24"/>
          <w:szCs w:val="24"/>
          <w:highlight w:val="yellow"/>
        </w:rPr>
        <w:t xml:space="preserve">COLOMBIA. CONGRESO DE LA REPÚBLICA. Ley 1273 (5, enero, 2009). Por medio de la cual se modifica el Código Penal, se crea un nuevo bien jurídico tutelado –denominado “de la protección de la información y de los datos”–. Bogotá, D. C., 2009.</w:t>
      </w:r>
    </w:p>
    <w:p>
      <w:pPr>
        <w:numPr>
          <w:ilvl w:val="0"/>
          <w:numId w:val="1"/>
        </w:numPr>
        <w:spacing w:after="0"/>
        <w:jc w:val="both"/>
      </w:pPr>
      <w:r>
        <w:rPr>
          <w:color w:val="000000"/>
          <w:sz w:val="24"/>
          <w:szCs w:val="24"/>
          <w:highlight w:val="yellow"/>
        </w:rPr>
        <w:t xml:space="preserve">COLOMBIA. CORTE CONSTITUCIONAL. Sala Segunda de Revisión. Sentencia T-476 de 2016 [en línea]. Disponible en: https://www.corteconstitucional.gov.co/relatoria/2016/T-476-16.htm</w:t>
      </w:r>
    </w:p>
    <w:p>
      <w:pPr>
        <w:numPr>
          <w:ilvl w:val="0"/>
          <w:numId w:val="1"/>
        </w:numPr>
        <w:spacing w:after="0"/>
        <w:jc w:val="both"/>
      </w:pPr>
      <w:r>
        <w:rPr>
          <w:color w:val="000000"/>
          <w:sz w:val="24"/>
          <w:szCs w:val="24"/>
          <w:highlight w:val="yellow"/>
        </w:rPr>
        <w:t xml:space="preserve">COLOMBIA. CORTE CONSTITUCIONAL. Sentencia T-083 de 2021 [en línea]. Disponible en: https://www.corteconstitucional.gov.co/relatoria/2021/T-083-21.htm</w:t>
      </w:r>
    </w:p>
    <w:p>
      <w:pPr>
        <w:numPr>
          <w:ilvl w:val="0"/>
          <w:numId w:val="1"/>
        </w:numPr>
        <w:spacing w:after="0"/>
        <w:jc w:val="both"/>
      </w:pPr>
      <w:r>
        <w:rPr>
          <w:color w:val="000000"/>
          <w:sz w:val="24"/>
          <w:szCs w:val="24"/>
          <w:highlight w:val="yellow"/>
        </w:rPr>
        <w:t xml:space="preserve">COLOMBIA. CONGRESO DE LA REPÚBLICA. Ley Estatutaria 133 (23, mayo, 1994). Por la cual se desarrolla el derecho de libertad religiosa y de cultos, reconocido en el artículo 19 de la Constitución Política. Bogotá, D. C., 1994.</w:t>
      </w:r>
    </w:p>
    <w:p>
      <w:pPr>
        <w:numPr>
          <w:ilvl w:val="0"/>
          <w:numId w:val="1"/>
        </w:numPr>
        <w:spacing w:after="0"/>
        <w:jc w:val="both"/>
      </w:pPr>
      <w:r>
        <w:rPr>
          <w:color w:val="000000"/>
          <w:sz w:val="24"/>
          <w:szCs w:val="24"/>
          <w:highlight w:val="yellow"/>
        </w:rPr>
        <w:t xml:space="preserve">COLOMBIA. CONGRESO DE LA REPÚBLICA. Ley Estatutaria 1751 (16, febrero, 2015). Por medio de la cual se regula el derecho fundamental a la salud y se dictan otras disposiciones. Bogotá, D. C., 2015.</w:t>
      </w:r>
    </w:p>
    <w:p>
      <w:pPr>
        <w:numPr>
          <w:ilvl w:val="0"/>
          <w:numId w:val="1"/>
        </w:numPr>
        <w:spacing w:after="0"/>
        <w:jc w:val="both"/>
      </w:pPr>
      <w:r>
        <w:rPr>
          <w:color w:val="000000"/>
          <w:sz w:val="24"/>
          <w:szCs w:val="24"/>
          <w:highlight w:val="yellow"/>
        </w:rPr>
        <w:t xml:space="preserve">NAKANO, H. R. Y., et al. Coronary artery bypass grafting in Jehovah’s Witness patients: a retrospective propensity matched cohort study. En: Brazilian Journal of Anesthesiology. 2026, art. 844765. Disponible en: https://doi.org/10.1016/j.bjane.2026.844765</w:t>
      </w:r>
    </w:p>
    <w:p>
      <w:pPr>
        <w:numPr>
          <w:ilvl w:val="0"/>
          <w:numId w:val="1"/>
        </w:numPr>
        <w:spacing w:after="0"/>
        <w:jc w:val="both"/>
      </w:pPr>
      <w:r>
        <w:rPr>
          <w:color w:val="000000"/>
          <w:sz w:val="24"/>
          <w:szCs w:val="24"/>
          <w:highlight w:val="yellow"/>
        </w:rPr>
        <w:t xml:space="preserve">VALLE, F. H., et al. Cardiac surgery in Jehovah’s Witness patients: experience of a Brazilian tertiary hospital. En: Brazilian Journal of Cardiovascular Surgery. 2017, vol. 32, no. 5, p. 372-377. Disponible en: https://doi.org/10.21470/1678-9741-2017-0012</w:t>
      </w:r>
    </w:p>
    <w:sectPr w:rsidR="0044299D" w:rsidRPr="0070336B">
      <w:headerReference w:type="even" r:id="rId9"/>
      <w:headerReference w:type="default" r:id="rId10"/>
      <w:footerReference w:type="even" r:id="rId11"/>
      <w:footerReference w:type="default" r:id="rId12"/>
      <w:headerReference w:type="first" r:id="rId13"/>
      <w:footerReference w:type="first" r:id="rId14"/>
      <w:pgSz w:w="12240" w:h="15840"/>
      <w:pgMar w:top="1985" w:right="1418" w:bottom="1418" w:left="1418"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A3BB3" w14:textId="77777777" w:rsidR="00AB25EA" w:rsidRDefault="00AB25EA">
      <w:pPr>
        <w:spacing w:after="0" w:line="240" w:lineRule="auto"/>
      </w:pPr>
      <w:r>
        <w:separator/>
      </w:r>
    </w:p>
  </w:endnote>
  <w:endnote w:type="continuationSeparator" w:id="0">
    <w:p w14:paraId="2B39FB1B" w14:textId="77777777" w:rsidR="00AB25EA" w:rsidRDefault="00AB2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65567E0-F96E-084B-B51A-006513D75CCD}"/>
  </w:font>
  <w:font w:name="Courier New">
    <w:panose1 w:val="02070309020205020404"/>
    <w:charset w:val="00"/>
    <w:family w:val="modern"/>
    <w:pitch w:val="fixed"/>
    <w:sig w:usb0="E0002AFF" w:usb1="C0007843" w:usb2="00000009" w:usb3="00000000" w:csb0="000001FF" w:csb1="00000000"/>
    <w:embedRegular r:id="rId2" w:fontKey="{9F327FC7-F3C9-DD4E-B1BB-3E5178007D35}"/>
  </w:font>
  <w:font w:name="Times New Roman">
    <w:panose1 w:val="02020603050405020304"/>
    <w:charset w:val="00"/>
    <w:family w:val="roman"/>
    <w:pitch w:val="variable"/>
    <w:sig w:usb0="E0002EFF" w:usb1="C000785B" w:usb2="00000009" w:usb3="00000000" w:csb0="000001FF" w:csb1="00000000"/>
    <w:embedRegular r:id="rId3" w:fontKey="{71CB66CF-B3A5-444F-AEB3-8377DF3F78C5}"/>
    <w:embedBold r:id="rId4" w:fontKey="{6A948708-D70E-4A4D-976A-A2338AFAB250}"/>
  </w:font>
  <w:font w:name="Calibri">
    <w:panose1 w:val="020F0502020204030204"/>
    <w:charset w:val="00"/>
    <w:family w:val="swiss"/>
    <w:pitch w:val="variable"/>
    <w:sig w:usb0="E4002EFF" w:usb1="C200247B" w:usb2="00000009" w:usb3="00000000" w:csb0="000001FF" w:csb1="00000000"/>
    <w:embedRegular r:id="rId5" w:fontKey="{ED6F7D88-A51C-764C-A71B-1AFFAB9044D3}"/>
    <w:embedBold r:id="rId6" w:fontKey="{F644E981-240B-CB40-884E-C63EF9CE57D8}"/>
    <w:embedItalic r:id="rId7" w:fontKey="{693CE3F8-90F6-AD47-98A3-F45B84C20BC9}"/>
  </w:font>
  <w:font w:name="Cambria">
    <w:panose1 w:val="02040503050406030204"/>
    <w:charset w:val="00"/>
    <w:family w:val="roman"/>
    <w:pitch w:val="variable"/>
    <w:sig w:usb0="E00006FF" w:usb1="420024FF" w:usb2="02000000" w:usb3="00000000" w:csb0="0000019F" w:csb1="00000000"/>
    <w:embedRegular r:id="rId8" w:fontKey="{4EA27DDF-6EB9-F148-82D0-98819E98380D}"/>
    <w:embedBold r:id="rId9" w:fontKey="{39AC1D80-CAB8-4445-88A3-C7A3484F8E05}"/>
  </w:font>
  <w:font w:name="Georgia">
    <w:panose1 w:val="02040502050405020303"/>
    <w:charset w:val="00"/>
    <w:family w:val="roman"/>
    <w:pitch w:val="variable"/>
    <w:sig w:usb0="00000287" w:usb1="00000000" w:usb2="00000000" w:usb3="00000000" w:csb0="0000009F" w:csb1="00000000"/>
    <w:embedItalic r:id="rId10" w:fontKey="{5DB887F0-B1F2-B34D-98C0-D97590DB92DE}"/>
  </w:font>
  <w:font w:name="Aptos">
    <w:panose1 w:val="020B0004020202020204"/>
    <w:charset w:val="00"/>
    <w:family w:val="swiss"/>
    <w:pitch w:val="variable"/>
    <w:sig w:usb0="20000287" w:usb1="00000003" w:usb2="00000000" w:usb3="00000000" w:csb0="0000019F" w:csb1="00000000"/>
    <w:embedRegular r:id="rId11" w:fontKey="{717C8B69-A2E1-BC42-8254-A5DFE8E6FB4B}"/>
  </w:font>
  <w:font w:name="Gungsuh">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533E1" w14:textId="77777777" w:rsidR="0070336B" w:rsidRDefault="0070336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2E4BF" w14:textId="77777777" w:rsidR="005D1D70"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4A3622">
      <w:rPr>
        <w:noProof/>
        <w:color w:val="000000"/>
      </w:rPr>
      <w:t>1</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E9953" w14:textId="77777777" w:rsidR="0070336B" w:rsidRDefault="0070336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3A35C" w14:textId="77777777" w:rsidR="00AB25EA" w:rsidRDefault="00AB25EA">
      <w:pPr>
        <w:spacing w:after="0" w:line="240" w:lineRule="auto"/>
      </w:pPr>
      <w:r>
        <w:separator/>
      </w:r>
    </w:p>
  </w:footnote>
  <w:footnote w:type="continuationSeparator" w:id="0">
    <w:p w14:paraId="584B8537" w14:textId="77777777" w:rsidR="00AB25EA" w:rsidRDefault="00AB25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26C18" w14:textId="77777777" w:rsidR="0070336B" w:rsidRDefault="0070336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1BB0D" w14:textId="77777777" w:rsidR="0070336B" w:rsidRDefault="0070336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8B6E2" w14:textId="77777777" w:rsidR="005D1D70" w:rsidRDefault="005D1D70">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5B80"/>
    <w:multiLevelType w:val="multilevel"/>
    <w:tmpl w:val="ECA057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7230AF0"/>
    <w:multiLevelType w:val="multilevel"/>
    <w:tmpl w:val="A4840B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00E1119"/>
    <w:multiLevelType w:val="multilevel"/>
    <w:tmpl w:val="1A9057E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35B42F2"/>
    <w:multiLevelType w:val="multilevel"/>
    <w:tmpl w:val="068C93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58B7444"/>
    <w:multiLevelType w:val="multilevel"/>
    <w:tmpl w:val="309E9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10F26F9"/>
    <w:multiLevelType w:val="multilevel"/>
    <w:tmpl w:val="A822A4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58F31DF"/>
    <w:multiLevelType w:val="multilevel"/>
    <w:tmpl w:val="08C010DE"/>
    <w:lvl w:ilvl="0">
      <w:start w:val="6"/>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5C09098E"/>
    <w:multiLevelType w:val="multilevel"/>
    <w:tmpl w:val="9460A5FE"/>
    <w:lvl w:ilvl="0">
      <w:start w:val="6"/>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rPr>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71D5A67"/>
    <w:multiLevelType w:val="multilevel"/>
    <w:tmpl w:val="3D66F384"/>
    <w:lvl w:ilvl="0">
      <w:start w:val="1"/>
      <w:numFmt w:val="decimal"/>
      <w:lvlText w:val="%1."/>
      <w:lvlJc w:val="left"/>
      <w:pPr>
        <w:ind w:left="720" w:hanging="360"/>
      </w:pPr>
    </w:lvl>
    <w:lvl w:ilvl="1">
      <w:start w:val="1"/>
      <w:numFmt w:val="decimal"/>
      <w:lvlText w:val="%1.%2"/>
      <w:lvlJc w:val="left"/>
      <w:pPr>
        <w:ind w:left="720" w:hanging="360"/>
      </w:pPr>
      <w:rPr>
        <w:rFonts w:ascii="Calibri" w:eastAsia="Calibri" w:hAnsi="Calibri" w:cs="Calibri"/>
        <w:b/>
        <w:bCs/>
        <w:color w:val="000000"/>
        <w:sz w:val="24"/>
        <w:szCs w:val="24"/>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9" w15:restartNumberingAfterBreak="0">
    <w:nsid w:val="7AEC7FF8"/>
    <w:multiLevelType w:val="multilevel"/>
    <w:tmpl w:val="3D66F384"/>
    <w:lvl w:ilvl="0">
      <w:start w:val="1"/>
      <w:numFmt w:val="decimal"/>
      <w:lvlText w:val="%1."/>
      <w:lvlJc w:val="left"/>
      <w:pPr>
        <w:ind w:left="720" w:hanging="360"/>
      </w:pPr>
    </w:lvl>
    <w:lvl w:ilvl="1">
      <w:start w:val="1"/>
      <w:numFmt w:val="decimal"/>
      <w:lvlText w:val="%1.%2"/>
      <w:lvlJc w:val="left"/>
      <w:pPr>
        <w:ind w:left="720" w:hanging="360"/>
      </w:pPr>
      <w:rPr>
        <w:rFonts w:ascii="Calibri" w:eastAsia="Calibri" w:hAnsi="Calibri" w:cs="Calibri"/>
        <w:b/>
        <w:bCs/>
        <w:color w:val="000000"/>
        <w:sz w:val="24"/>
        <w:szCs w:val="24"/>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0" w15:restartNumberingAfterBreak="0">
    <w:nsid w:val="7ED211BA"/>
    <w:multiLevelType w:val="multilevel"/>
    <w:tmpl w:val="6E541C7C"/>
    <w:lvl w:ilvl="0">
      <w:start w:val="1"/>
      <w:numFmt w:val="decimal"/>
      <w:lvlText w:val="%1."/>
      <w:lvlJc w:val="left"/>
      <w:pPr>
        <w:ind w:left="720" w:hanging="360"/>
      </w:pPr>
    </w:lvl>
    <w:lvl w:ilvl="1">
      <w:start w:val="1"/>
      <w:numFmt w:val="decimal"/>
      <w:lvlText w:val="%1.%2"/>
      <w:lvlJc w:val="left"/>
      <w:pPr>
        <w:ind w:left="720" w:hanging="360"/>
      </w:pPr>
      <w:rPr>
        <w:rFonts w:ascii="Calibri" w:eastAsia="Calibri" w:hAnsi="Calibri" w:cs="Calibri"/>
        <w:b/>
        <w:bCs/>
        <w:color w:val="000000"/>
        <w:sz w:val="24"/>
        <w:szCs w:val="24"/>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num w:numId="1" w16cid:durableId="911430714">
    <w:abstractNumId w:val="4"/>
  </w:num>
  <w:num w:numId="2" w16cid:durableId="1111168394">
    <w:abstractNumId w:val="9"/>
  </w:num>
  <w:num w:numId="3" w16cid:durableId="387195363">
    <w:abstractNumId w:val="1"/>
  </w:num>
  <w:num w:numId="4" w16cid:durableId="1378122715">
    <w:abstractNumId w:val="10"/>
  </w:num>
  <w:num w:numId="5" w16cid:durableId="218632288">
    <w:abstractNumId w:val="5"/>
  </w:num>
  <w:num w:numId="6" w16cid:durableId="1408842628">
    <w:abstractNumId w:val="2"/>
  </w:num>
  <w:num w:numId="7" w16cid:durableId="1140000822">
    <w:abstractNumId w:val="3"/>
  </w:num>
  <w:num w:numId="8" w16cid:durableId="2064478681">
    <w:abstractNumId w:val="0"/>
  </w:num>
  <w:num w:numId="9" w16cid:durableId="1673144429">
    <w:abstractNumId w:val="7"/>
  </w:num>
  <w:num w:numId="10" w16cid:durableId="52513388">
    <w:abstractNumId w:val="6"/>
  </w:num>
  <w:num w:numId="11" w16cid:durableId="16269335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D70"/>
    <w:rsid w:val="00044E82"/>
    <w:rsid w:val="00087EF4"/>
    <w:rsid w:val="001E45D2"/>
    <w:rsid w:val="002C0D62"/>
    <w:rsid w:val="002E2830"/>
    <w:rsid w:val="002E3E7D"/>
    <w:rsid w:val="003C2EAC"/>
    <w:rsid w:val="00410E67"/>
    <w:rsid w:val="00411FC4"/>
    <w:rsid w:val="0044299D"/>
    <w:rsid w:val="004A3622"/>
    <w:rsid w:val="005D1D70"/>
    <w:rsid w:val="00677641"/>
    <w:rsid w:val="0070336B"/>
    <w:rsid w:val="00781E51"/>
    <w:rsid w:val="00836FDF"/>
    <w:rsid w:val="008C5654"/>
    <w:rsid w:val="00AB25EA"/>
    <w:rsid w:val="00B26D87"/>
    <w:rsid w:val="00D83C0A"/>
    <w:rsid w:val="00E544DB"/>
    <w:rsid w:val="00EB34DB"/>
    <w:rsid w:val="00EF772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34CE842C"/>
  <w15:docId w15:val="{46429D7A-560C-874A-A75A-F419A9B01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mbria" w:eastAsia="Cambria" w:hAnsi="Cambria" w:cs="Cambria"/>
      <w:b/>
      <w:bCs/>
      <w:color w:val="366091"/>
      <w:sz w:val="28"/>
      <w:szCs w:val="28"/>
    </w:rPr>
  </w:style>
  <w:style w:type="paragraph" w:styleId="Ttulo2">
    <w:name w:val="heading 2"/>
    <w:basedOn w:val="Normal"/>
    <w:next w:val="Normal"/>
    <w:uiPriority w:val="9"/>
    <w:unhideWhenUsed/>
    <w:qFormat/>
    <w:pPr>
      <w:keepNext/>
      <w:keepLines/>
      <w:spacing w:before="200" w:after="0"/>
      <w:outlineLvl w:val="1"/>
    </w:pPr>
    <w:rPr>
      <w:rFonts w:ascii="Cambria" w:eastAsia="Cambria" w:hAnsi="Cambria" w:cs="Cambria"/>
      <w:b/>
      <w:bCs/>
      <w:color w:val="4F81BD"/>
      <w:sz w:val="26"/>
      <w:szCs w:val="26"/>
    </w:rPr>
  </w:style>
  <w:style w:type="paragraph" w:styleId="Ttulo3">
    <w:name w:val="heading 3"/>
    <w:basedOn w:val="Normal"/>
    <w:next w:val="Normal"/>
    <w:uiPriority w:val="9"/>
    <w:unhideWhenUsed/>
    <w:qFormat/>
    <w:pPr>
      <w:keepNext/>
      <w:keepLines/>
      <w:spacing w:before="200" w:after="0"/>
      <w:outlineLvl w:val="2"/>
    </w:pPr>
    <w:rPr>
      <w:rFonts w:ascii="Cambria" w:eastAsia="Cambria" w:hAnsi="Cambria" w:cs="Cambria"/>
      <w:b/>
      <w:bCs/>
      <w:color w:val="4F81BD"/>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CellMar>
        <w:top w:w="15" w:type="dxa"/>
        <w:left w:w="15" w:type="dxa"/>
        <w:bottom w:w="15" w:type="dxa"/>
        <w:right w:w="15" w:type="dxa"/>
      </w:tblCellMar>
    </w:tblPr>
  </w:style>
  <w:style w:type="character" w:styleId="Refdecomentario">
    <w:name w:val="annotation reference"/>
    <w:basedOn w:val="Fuentedeprrafopredeter"/>
    <w:uiPriority w:val="99"/>
    <w:semiHidden/>
    <w:unhideWhenUsed/>
    <w:rsid w:val="00EB34DB"/>
    <w:rPr>
      <w:sz w:val="16"/>
      <w:szCs w:val="16"/>
    </w:rPr>
  </w:style>
  <w:style w:type="paragraph" w:styleId="Textocomentario">
    <w:name w:val="annotation text"/>
    <w:basedOn w:val="Normal"/>
    <w:link w:val="TextocomentarioCar"/>
    <w:uiPriority w:val="99"/>
    <w:semiHidden/>
    <w:unhideWhenUsed/>
    <w:rsid w:val="00EB34D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B34DB"/>
    <w:rPr>
      <w:sz w:val="20"/>
      <w:szCs w:val="20"/>
    </w:rPr>
  </w:style>
  <w:style w:type="paragraph" w:styleId="Asuntodelcomentario">
    <w:name w:val="annotation subject"/>
    <w:basedOn w:val="Textocomentario"/>
    <w:next w:val="Textocomentario"/>
    <w:link w:val="AsuntodelcomentarioCar"/>
    <w:uiPriority w:val="99"/>
    <w:semiHidden/>
    <w:unhideWhenUsed/>
    <w:rsid w:val="00EB34DB"/>
    <w:rPr>
      <w:b/>
      <w:bCs/>
    </w:rPr>
  </w:style>
  <w:style w:type="character" w:customStyle="1" w:styleId="AsuntodelcomentarioCar">
    <w:name w:val="Asunto del comentario Car"/>
    <w:basedOn w:val="TextocomentarioCar"/>
    <w:link w:val="Asuntodelcomentario"/>
    <w:uiPriority w:val="99"/>
    <w:semiHidden/>
    <w:rsid w:val="00EB34DB"/>
    <w:rPr>
      <w:b/>
      <w:bCs/>
      <w:sz w:val="20"/>
      <w:szCs w:val="20"/>
    </w:rPr>
  </w:style>
  <w:style w:type="paragraph" w:styleId="Encabezado">
    <w:name w:val="header"/>
    <w:basedOn w:val="Normal"/>
    <w:link w:val="EncabezadoCar"/>
    <w:uiPriority w:val="99"/>
    <w:unhideWhenUsed/>
    <w:rsid w:val="0070336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0336B"/>
  </w:style>
  <w:style w:type="paragraph" w:styleId="Piedepgina">
    <w:name w:val="footer"/>
    <w:basedOn w:val="Normal"/>
    <w:link w:val="PiedepginaCar"/>
    <w:uiPriority w:val="99"/>
    <w:unhideWhenUsed/>
    <w:rsid w:val="0070336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0336B"/>
  </w:style>
  <w:style w:type="character" w:styleId="Fuerte">
    <w:name w:val="Strong"/>
    <w:basedOn w:val="Fuentedeprrafopredeter"/>
    <w:uiPriority w:val="22"/>
    <w:qFormat/>
    <w:rsid w:val="00677641"/>
    <w:rPr>
      <w:b/>
      <w:bCs/>
    </w:rPr>
  </w:style>
  <w:style w:type="paragraph" w:styleId="Prrafodelista">
    <w:name w:val="List Paragraph"/>
    <w:basedOn w:val="Normal"/>
    <w:uiPriority w:val="34"/>
    <w:qFormat/>
    <w:rsid w:val="002C0D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2783476-32EA-BC42-85C8-FDD29317E578}">
  <we:reference id="WA200010453" version="1.0.0.1" store="Omex" storeType="OMEX"/>
  <we:alternateReferences>
    <we:reference id="WA200010453" version="1.0.0.1" store="WA200010453" storeType="OMEX"/>
  </we:alternateReferences>
  <we:properties>
    <we:property name="claude.fileId" value="&quot;87e3a9a6-e04a-4d82-bf61-99ee7cfebd2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pdhDfP6aLyzT1HsokJDs45HzyA==">CgMxLjAaJQoBMBIgCh4IB0IaCg9UaW1lcyBOZXcgUm9tYW4SB0d1bmdzdWgyDmguMzd5aWF3aW9uNXZuMg5oLmR6ZWphMXh2eDU2NzIOaC5nbTFnazlpYXc4bXUyDmguM2MzbzF1YnRjZngwMg5oLjk2cnIxZ2d0MW8xbjIOaC5jZDU5ajZ3MDA4Nm0yDmguZTU3aWxkM2x4OW90Mg5oLjFiNzU2M2c2OTNkMTIOaC53Y3lhNGoxOXQweWkyDmguN3locnF0eHp0cWJ3Mg5oLnNuYTZxbGNpM3FvYTIOaC5oMHptdThzYXV4bzQyDmgudnZvbjRkYzEwZ2RyMg5oLnV4Y3lhZWNjM3hvazIOaC53dTNka3JvbzJmam0yDWgud3Z2eG0xa2Z2c2IyDmgudmcwa2VmZ2h6b3c0Mg1oLjQ3ajlsNTJyZzFxMg5oLmMxczJyOG1pOWtkZDIOaC5wNnk1M2lybjFnNXEyDmgud2Ryb2g3MWZqMzVzMg1oLmdtZGlsMnp0OTF3Mg5oLndncm5zbzNrZzluZTIOaC45cHQ4cmN0cHo3OHYyDmguYXZuNXQybjYzb29jMg5oLnV0NmY3MTM1bnN6ZTIOaC41Z2R2cWJ1am02d2oyDmguZGZkZm5wano5eTE1Mg5oLmpoNzZuMm0xd2VzNjIOaC41a3JqYnFrYWlzMHkyDmgudm54bnVhNzNsM2JzMg5oLmM4Z2Z4eHFkNGhpMDIOaC5wd3N2b21mMDZucGQyDWguZHh0dXcxams3bjQ4AHIhMTZ5Z1p0UDgtWGd6bDI3MkN5V2REY3lIWXIzQ0F3SWs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44</Pages>
  <Words>14380</Words>
  <Characters>86569</Characters>
  <Application>Microsoft Office Word</Application>
  <DocSecurity>0</DocSecurity>
  <Lines>2013</Lines>
  <Paragraphs>909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NESTOR FABIAN SANABRIA DUARTE</cp:lastModifiedBy>
  <cp:revision>4</cp:revision>
  <dcterms:created xsi:type="dcterms:W3CDTF">2026-09-29T16:33:00Z</dcterms:created>
  <dcterms:modified xsi:type="dcterms:W3CDTF">2026-09-29T16:53:00Z</dcterms:modified>
</cp:coreProperties>
</file>