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5839" w:rsidRDefault="00185839" w:rsidP="00666AAB">
      <w:pPr>
        <w:rPr>
          <w:rFonts w:ascii="Arial" w:eastAsia="Times New Roman" w:hAnsi="Arial" w:cs="Arial"/>
          <w:b/>
          <w:sz w:val="24"/>
          <w:szCs w:val="24"/>
        </w:rPr>
      </w:pPr>
    </w:p>
    <w:p w:rsidR="00185839" w:rsidRDefault="00185839" w:rsidP="00666AAB">
      <w:pPr>
        <w:rPr>
          <w:rFonts w:ascii="Arial" w:eastAsia="Times New Roman" w:hAnsi="Arial" w:cs="Arial"/>
          <w:b/>
          <w:sz w:val="24"/>
          <w:szCs w:val="24"/>
        </w:rPr>
      </w:pPr>
    </w:p>
    <w:p w:rsidR="00666AAB" w:rsidRPr="00666AAB" w:rsidRDefault="00666AAB" w:rsidP="00666AAB">
      <w:pPr>
        <w:rPr>
          <w:rFonts w:ascii="Arial" w:eastAsia="Times New Roman" w:hAnsi="Arial" w:cs="Arial"/>
          <w:b/>
          <w:sz w:val="24"/>
          <w:szCs w:val="24"/>
        </w:rPr>
      </w:pPr>
      <w:r w:rsidRPr="00666AAB">
        <w:rPr>
          <w:rFonts w:ascii="Arial" w:eastAsia="Times New Roman" w:hAnsi="Arial" w:cs="Arial"/>
          <w:b/>
          <w:sz w:val="24"/>
          <w:szCs w:val="24"/>
        </w:rPr>
        <w:t xml:space="preserve">Ref: </w:t>
      </w:r>
      <w:r w:rsidRPr="00666AAB">
        <w:rPr>
          <w:rFonts w:ascii="Arial" w:eastAsia="Times New Roman" w:hAnsi="Arial" w:cs="Arial"/>
          <w:sz w:val="24"/>
          <w:szCs w:val="24"/>
        </w:rPr>
        <w:t>85/IRDAI/HLT/GEN/PQ/2025-26</w:t>
      </w:r>
      <w:r w:rsidRPr="00666AAB">
        <w:rPr>
          <w:rFonts w:ascii="Arial" w:eastAsia="Times New Roman" w:hAnsi="Arial" w:cs="Arial"/>
          <w:b/>
          <w:sz w:val="24"/>
          <w:szCs w:val="24"/>
        </w:rPr>
        <w:tab/>
      </w:r>
      <w:r w:rsidRPr="00666AAB">
        <w:rPr>
          <w:rFonts w:ascii="Arial" w:eastAsia="Times New Roman" w:hAnsi="Arial" w:cs="Arial"/>
          <w:b/>
          <w:sz w:val="24"/>
          <w:szCs w:val="24"/>
        </w:rPr>
        <w:tab/>
      </w:r>
      <w:r w:rsidRPr="00666AAB">
        <w:rPr>
          <w:rFonts w:ascii="Arial" w:eastAsia="Times New Roman" w:hAnsi="Arial" w:cs="Arial"/>
          <w:b/>
          <w:sz w:val="24"/>
          <w:szCs w:val="24"/>
        </w:rPr>
        <w:tab/>
      </w:r>
      <w:r w:rsidRPr="00666AAB">
        <w:rPr>
          <w:rFonts w:ascii="Arial" w:eastAsia="Times New Roman" w:hAnsi="Arial" w:cs="Arial"/>
          <w:b/>
          <w:sz w:val="24"/>
          <w:szCs w:val="24"/>
        </w:rPr>
        <w:tab/>
      </w:r>
      <w:r w:rsidRPr="00666AAB">
        <w:rPr>
          <w:rFonts w:ascii="Arial" w:eastAsia="Times New Roman" w:hAnsi="Arial" w:cs="Arial"/>
          <w:b/>
          <w:sz w:val="24"/>
          <w:szCs w:val="24"/>
        </w:rPr>
        <w:tab/>
        <w:t>1</w:t>
      </w:r>
      <w:r w:rsidRPr="00666AAB">
        <w:rPr>
          <w:rFonts w:ascii="Arial" w:eastAsia="Times New Roman" w:hAnsi="Arial" w:cs="Arial"/>
          <w:sz w:val="24"/>
          <w:szCs w:val="24"/>
        </w:rPr>
        <w:t>4</w:t>
      </w:r>
      <w:r w:rsidR="00A25DE4" w:rsidRPr="00666AAB">
        <w:rPr>
          <w:rFonts w:ascii="Arial" w:eastAsia="Times New Roman" w:hAnsi="Arial" w:cs="Arial"/>
          <w:sz w:val="24"/>
          <w:szCs w:val="24"/>
          <w:vertAlign w:val="superscript"/>
        </w:rPr>
        <w:t xml:space="preserve">th </w:t>
      </w:r>
      <w:r w:rsidR="00A25DE4" w:rsidRPr="00666AAB">
        <w:rPr>
          <w:rFonts w:ascii="Arial" w:eastAsia="Times New Roman" w:hAnsi="Arial" w:cs="Arial"/>
          <w:sz w:val="24"/>
          <w:szCs w:val="24"/>
        </w:rPr>
        <w:t>March</w:t>
      </w:r>
      <w:r w:rsidRPr="00666AAB">
        <w:rPr>
          <w:rFonts w:ascii="Arial" w:eastAsia="Times New Roman" w:hAnsi="Arial" w:cs="Arial"/>
          <w:sz w:val="24"/>
          <w:szCs w:val="24"/>
        </w:rPr>
        <w:t xml:space="preserve"> 2026</w:t>
      </w:r>
    </w:p>
    <w:p w:rsidR="00666AAB" w:rsidRPr="00666AAB" w:rsidRDefault="00666AAB" w:rsidP="00666AAB">
      <w:pPr>
        <w:spacing w:after="0" w:line="276" w:lineRule="auto"/>
        <w:rPr>
          <w:rFonts w:ascii="Arial" w:eastAsiaTheme="minorEastAsia" w:hAnsi="Arial" w:cs="Arial"/>
          <w:b/>
          <w:bCs/>
          <w:sz w:val="24"/>
          <w:szCs w:val="24"/>
          <w:lang w:bidi="ar-SA"/>
        </w:rPr>
      </w:pPr>
    </w:p>
    <w:p w:rsidR="00666AAB" w:rsidRPr="00666AAB" w:rsidRDefault="00666AAB" w:rsidP="00666AAB">
      <w:pPr>
        <w:spacing w:after="0" w:line="276" w:lineRule="auto"/>
        <w:rPr>
          <w:rFonts w:ascii="Arial" w:eastAsiaTheme="minorEastAsia" w:hAnsi="Arial" w:cs="Arial"/>
          <w:b/>
          <w:bCs/>
          <w:sz w:val="24"/>
          <w:szCs w:val="24"/>
          <w:lang w:bidi="ar-SA"/>
        </w:rPr>
      </w:pPr>
      <w:r w:rsidRPr="00666AAB">
        <w:rPr>
          <w:rFonts w:ascii="Arial" w:eastAsiaTheme="minorEastAsia" w:hAnsi="Arial" w:cs="Arial"/>
          <w:b/>
          <w:bCs/>
          <w:sz w:val="24"/>
          <w:szCs w:val="24"/>
          <w:lang w:bidi="ar-SA"/>
        </w:rPr>
        <w:t>Section Officer (Ins. II)</w:t>
      </w:r>
    </w:p>
    <w:p w:rsidR="00666AAB" w:rsidRPr="00666AAB" w:rsidRDefault="00666AAB" w:rsidP="00666AAB">
      <w:pPr>
        <w:spacing w:after="0" w:line="276" w:lineRule="auto"/>
        <w:rPr>
          <w:rFonts w:ascii="Arial" w:eastAsiaTheme="minorEastAsia" w:hAnsi="Arial" w:cs="Arial"/>
          <w:b/>
          <w:bCs/>
          <w:sz w:val="24"/>
          <w:szCs w:val="24"/>
          <w:lang w:bidi="ar-SA"/>
        </w:rPr>
      </w:pPr>
      <w:r w:rsidRPr="00666AAB">
        <w:rPr>
          <w:rFonts w:ascii="Arial" w:eastAsiaTheme="minorEastAsia" w:hAnsi="Arial" w:cs="Arial"/>
          <w:b/>
          <w:bCs/>
          <w:sz w:val="24"/>
          <w:szCs w:val="24"/>
          <w:lang w:bidi="ar-SA"/>
        </w:rPr>
        <w:t>Department of Financial Services</w:t>
      </w:r>
    </w:p>
    <w:p w:rsidR="00666AAB" w:rsidRPr="00666AAB" w:rsidRDefault="00666AAB" w:rsidP="00666AAB">
      <w:pPr>
        <w:spacing w:after="0" w:line="276" w:lineRule="auto"/>
        <w:rPr>
          <w:rFonts w:ascii="Arial" w:eastAsiaTheme="minorEastAsia" w:hAnsi="Arial" w:cs="Arial"/>
          <w:b/>
          <w:bCs/>
          <w:sz w:val="24"/>
          <w:szCs w:val="24"/>
          <w:lang w:bidi="ar-SA"/>
        </w:rPr>
      </w:pPr>
      <w:r w:rsidRPr="00666AAB">
        <w:rPr>
          <w:rFonts w:ascii="Arial" w:eastAsiaTheme="minorEastAsia" w:hAnsi="Arial" w:cs="Arial"/>
          <w:b/>
          <w:bCs/>
          <w:sz w:val="24"/>
          <w:szCs w:val="24"/>
          <w:lang w:bidi="ar-SA"/>
        </w:rPr>
        <w:t>Insurance Section – II</w:t>
      </w:r>
    </w:p>
    <w:p w:rsidR="00666AAB" w:rsidRPr="00666AAB" w:rsidRDefault="00666AAB" w:rsidP="00666AAB">
      <w:pPr>
        <w:spacing w:after="0" w:line="276" w:lineRule="auto"/>
        <w:rPr>
          <w:rFonts w:ascii="Arial" w:eastAsiaTheme="minorEastAsia" w:hAnsi="Arial" w:cs="Arial"/>
          <w:b/>
          <w:bCs/>
          <w:sz w:val="24"/>
          <w:szCs w:val="24"/>
          <w:lang w:bidi="ar-SA"/>
        </w:rPr>
      </w:pPr>
      <w:r w:rsidRPr="00666AAB">
        <w:rPr>
          <w:rFonts w:ascii="Arial" w:eastAsiaTheme="minorEastAsia" w:hAnsi="Arial" w:cs="Arial"/>
          <w:b/>
          <w:bCs/>
          <w:sz w:val="24"/>
          <w:szCs w:val="24"/>
          <w:lang w:bidi="ar-SA"/>
        </w:rPr>
        <w:t>Jeevan Deep Building</w:t>
      </w:r>
    </w:p>
    <w:p w:rsidR="00666AAB" w:rsidRPr="00666AAB" w:rsidRDefault="00666AAB" w:rsidP="00666AAB">
      <w:pPr>
        <w:spacing w:after="0" w:line="276" w:lineRule="auto"/>
        <w:rPr>
          <w:rFonts w:ascii="Arial" w:eastAsiaTheme="minorEastAsia" w:hAnsi="Arial" w:cs="Arial"/>
          <w:b/>
          <w:bCs/>
          <w:sz w:val="24"/>
          <w:szCs w:val="24"/>
          <w:lang w:bidi="ar-SA"/>
        </w:rPr>
      </w:pPr>
      <w:r w:rsidRPr="00666AAB">
        <w:rPr>
          <w:rFonts w:ascii="Arial" w:eastAsiaTheme="minorEastAsia" w:hAnsi="Arial" w:cs="Arial"/>
          <w:b/>
          <w:bCs/>
          <w:sz w:val="24"/>
          <w:szCs w:val="24"/>
          <w:lang w:bidi="ar-SA"/>
        </w:rPr>
        <w:t>Parliament Street</w:t>
      </w:r>
    </w:p>
    <w:p w:rsidR="00666AAB" w:rsidRPr="00666AAB" w:rsidRDefault="00666AAB" w:rsidP="00666AAB">
      <w:pPr>
        <w:spacing w:after="0" w:line="276" w:lineRule="auto"/>
        <w:rPr>
          <w:rFonts w:ascii="Arial" w:eastAsiaTheme="minorEastAsia" w:hAnsi="Arial" w:cs="Arial"/>
          <w:b/>
          <w:bCs/>
          <w:sz w:val="24"/>
          <w:szCs w:val="24"/>
          <w:lang w:bidi="ar-SA"/>
        </w:rPr>
      </w:pPr>
      <w:r w:rsidRPr="00666AAB">
        <w:rPr>
          <w:rFonts w:ascii="Arial" w:eastAsiaTheme="minorEastAsia" w:hAnsi="Arial" w:cs="Arial"/>
          <w:b/>
          <w:bCs/>
          <w:sz w:val="24"/>
          <w:szCs w:val="24"/>
          <w:lang w:bidi="ar-SA"/>
        </w:rPr>
        <w:t>New Delhi – 110 001.</w:t>
      </w:r>
    </w:p>
    <w:p w:rsidR="00666AAB" w:rsidRPr="00666AAB" w:rsidRDefault="00666AAB" w:rsidP="00666AAB">
      <w:pPr>
        <w:jc w:val="both"/>
        <w:rPr>
          <w:rFonts w:ascii="Arial" w:eastAsia="Times New Roman" w:hAnsi="Arial" w:cs="Arial"/>
          <w:sz w:val="24"/>
          <w:szCs w:val="24"/>
        </w:rPr>
      </w:pPr>
    </w:p>
    <w:p w:rsidR="00666AAB" w:rsidRPr="00666AAB" w:rsidRDefault="00666AAB" w:rsidP="00666AAB">
      <w:pPr>
        <w:jc w:val="both"/>
        <w:rPr>
          <w:rFonts w:ascii="Arial" w:eastAsia="Times New Roman" w:hAnsi="Arial" w:cs="Arial"/>
          <w:sz w:val="24"/>
          <w:szCs w:val="24"/>
        </w:rPr>
      </w:pPr>
      <w:r w:rsidRPr="00666AAB">
        <w:rPr>
          <w:rFonts w:ascii="Arial" w:eastAsia="Times New Roman" w:hAnsi="Arial" w:cs="Arial"/>
          <w:sz w:val="24"/>
          <w:szCs w:val="24"/>
        </w:rPr>
        <w:t>Dear Sir,</w:t>
      </w:r>
    </w:p>
    <w:p w:rsidR="00666AAB" w:rsidRPr="00666AAB" w:rsidRDefault="00666AAB" w:rsidP="00666AAB">
      <w:pPr>
        <w:spacing w:after="0" w:line="240" w:lineRule="auto"/>
        <w:jc w:val="both"/>
        <w:rPr>
          <w:rFonts w:ascii="Arial" w:eastAsia="Times New Roman" w:hAnsi="Arial" w:cs="Arial"/>
          <w:b/>
          <w:sz w:val="24"/>
          <w:szCs w:val="24"/>
        </w:rPr>
      </w:pPr>
      <w:r w:rsidRPr="00666AAB">
        <w:rPr>
          <w:rFonts w:ascii="Arial" w:eastAsia="Times New Roman" w:hAnsi="Arial" w:cs="Arial"/>
          <w:b/>
          <w:bCs/>
          <w:sz w:val="24"/>
          <w:szCs w:val="24"/>
        </w:rPr>
        <w:t>Subject:</w:t>
      </w:r>
      <w:r w:rsidRPr="00666AAB">
        <w:rPr>
          <w:rFonts w:ascii="Arial" w:eastAsia="Times New Roman" w:hAnsi="Arial" w:cs="Arial"/>
          <w:b/>
          <w:bCs/>
          <w:sz w:val="24"/>
          <w:szCs w:val="24"/>
          <w:cs/>
        </w:rPr>
        <w:t xml:space="preserve"> </w:t>
      </w:r>
      <w:r w:rsidRPr="00666AAB">
        <w:rPr>
          <w:rFonts w:ascii="Arial" w:eastAsia="Times New Roman" w:hAnsi="Arial" w:cs="Arial"/>
          <w:b/>
          <w:bCs/>
          <w:sz w:val="24"/>
          <w:szCs w:val="24"/>
        </w:rPr>
        <w:t>Lok Sabha Starred Question no.9000 regarding “Dental Insurance Coverage".</w:t>
      </w:r>
    </w:p>
    <w:p w:rsidR="00666AAB" w:rsidRPr="00666AAB" w:rsidRDefault="00666AAB" w:rsidP="00666AAB">
      <w:pPr>
        <w:spacing w:after="0" w:line="240" w:lineRule="auto"/>
        <w:jc w:val="both"/>
        <w:rPr>
          <w:rFonts w:ascii="Arial" w:eastAsia="Times New Roman" w:hAnsi="Arial" w:cs="Arial"/>
          <w:b/>
          <w:sz w:val="24"/>
          <w:szCs w:val="24"/>
        </w:rPr>
      </w:pPr>
    </w:p>
    <w:p w:rsidR="00666AAB" w:rsidRPr="00666AAB" w:rsidRDefault="00666AAB" w:rsidP="00666AAB">
      <w:pPr>
        <w:spacing w:after="0" w:line="276" w:lineRule="auto"/>
        <w:jc w:val="both"/>
        <w:rPr>
          <w:rFonts w:ascii="Arial" w:eastAsiaTheme="minorEastAsia" w:hAnsi="Arial" w:cs="Arial"/>
          <w:sz w:val="24"/>
          <w:szCs w:val="24"/>
          <w:lang w:bidi="ar-SA"/>
        </w:rPr>
      </w:pPr>
      <w:r w:rsidRPr="00666AAB">
        <w:rPr>
          <w:rFonts w:ascii="Arial" w:eastAsiaTheme="minorEastAsia" w:hAnsi="Arial" w:cs="Arial"/>
          <w:sz w:val="24"/>
          <w:szCs w:val="24"/>
          <w:lang w:bidi="ar-SA"/>
        </w:rPr>
        <w:t>This has reference to your email communication seeking inputs of IRDAI on the captioned parliament question. Please find the replies in seriatim for the same.</w:t>
      </w:r>
    </w:p>
    <w:p w:rsidR="00666AAB" w:rsidRPr="00666AAB" w:rsidRDefault="00666AAB" w:rsidP="00666AAB">
      <w:pPr>
        <w:shd w:val="clear" w:color="auto" w:fill="FFFFFF"/>
        <w:jc w:val="both"/>
        <w:rPr>
          <w:rFonts w:ascii="Arial" w:eastAsia="Times New Roman" w:hAnsi="Arial" w:cs="Arial"/>
          <w:color w:val="000000"/>
          <w:sz w:val="24"/>
          <w:szCs w:val="24"/>
          <w:lang w:eastAsia="en-IN"/>
        </w:rPr>
      </w:pPr>
    </w:p>
    <w:p w:rsidR="00666AAB" w:rsidRPr="00666AAB" w:rsidRDefault="00666AAB" w:rsidP="00666AAB">
      <w:pPr>
        <w:numPr>
          <w:ilvl w:val="0"/>
          <w:numId w:val="1"/>
        </w:numPr>
        <w:spacing w:after="0" w:line="240" w:lineRule="auto"/>
        <w:contextualSpacing/>
        <w:jc w:val="both"/>
        <w:rPr>
          <w:rFonts w:ascii="Arial" w:eastAsiaTheme="minorEastAsia" w:hAnsi="Arial" w:cs="Arial"/>
          <w:b/>
          <w:bCs/>
          <w:sz w:val="24"/>
          <w:szCs w:val="24"/>
          <w:lang w:bidi="ar-SA"/>
        </w:rPr>
      </w:pPr>
      <w:r w:rsidRPr="00666AAB">
        <w:rPr>
          <w:rFonts w:ascii="Arial" w:eastAsiaTheme="minorEastAsia" w:hAnsi="Arial" w:cs="Arial"/>
          <w:b/>
          <w:bCs/>
          <w:sz w:val="24"/>
          <w:szCs w:val="24"/>
          <w:lang w:bidi="ar-SA"/>
        </w:rPr>
        <w:t xml:space="preserve">The details of arbitrary rejection of health insurance claims on grounds such as pre-existing conditions, non-disclosure, or technical deficiencies despite submission of complete documents, including insurer-wise and year-wise data on rejected claims and complaints during the last five years; </w:t>
      </w:r>
    </w:p>
    <w:p w:rsidR="00666AAB" w:rsidRPr="00666AAB" w:rsidRDefault="00666AAB" w:rsidP="00666AAB">
      <w:pPr>
        <w:spacing w:after="0" w:line="240" w:lineRule="auto"/>
        <w:jc w:val="both"/>
        <w:rPr>
          <w:rFonts w:ascii="Arial" w:eastAsiaTheme="minorEastAsia" w:hAnsi="Arial" w:cs="Arial"/>
          <w:sz w:val="24"/>
          <w:szCs w:val="24"/>
        </w:rPr>
      </w:pPr>
    </w:p>
    <w:p w:rsidR="00666AAB" w:rsidRPr="00666AAB" w:rsidRDefault="00666AAB" w:rsidP="00666AAB">
      <w:pPr>
        <w:spacing w:after="0" w:line="240" w:lineRule="auto"/>
        <w:jc w:val="both"/>
        <w:rPr>
          <w:rFonts w:ascii="Arial" w:eastAsiaTheme="minorEastAsia" w:hAnsi="Arial" w:cs="Arial"/>
          <w:sz w:val="24"/>
          <w:szCs w:val="24"/>
        </w:rPr>
      </w:pPr>
      <w:r w:rsidRPr="00666AAB">
        <w:rPr>
          <w:rFonts w:ascii="Arial" w:eastAsiaTheme="minorEastAsia" w:hAnsi="Arial" w:cs="Arial"/>
          <w:sz w:val="24"/>
          <w:szCs w:val="24"/>
        </w:rPr>
        <w:t xml:space="preserve">Reply: </w:t>
      </w:r>
    </w:p>
    <w:p w:rsidR="00666AAB" w:rsidRPr="00666AAB" w:rsidRDefault="00666AAB" w:rsidP="00666AAB">
      <w:pPr>
        <w:spacing w:after="0" w:line="240" w:lineRule="auto"/>
        <w:jc w:val="both"/>
        <w:rPr>
          <w:rFonts w:ascii="Arial" w:eastAsiaTheme="minorEastAsia" w:hAnsi="Arial" w:cs="Arial"/>
          <w:sz w:val="24"/>
          <w:szCs w:val="24"/>
        </w:rPr>
      </w:pPr>
    </w:p>
    <w:p w:rsidR="00666AAB" w:rsidRPr="00666AAB" w:rsidRDefault="00666AAB" w:rsidP="00666AAB">
      <w:pPr>
        <w:numPr>
          <w:ilvl w:val="0"/>
          <w:numId w:val="10"/>
        </w:numPr>
        <w:spacing w:after="0" w:line="240" w:lineRule="auto"/>
        <w:ind w:left="284" w:hanging="284"/>
        <w:contextualSpacing/>
        <w:jc w:val="both"/>
        <w:rPr>
          <w:rFonts w:ascii="Arial" w:eastAsiaTheme="minorEastAsia" w:hAnsi="Arial" w:cs="Arial"/>
          <w:i/>
          <w:iCs/>
          <w:sz w:val="24"/>
          <w:szCs w:val="24"/>
          <w:lang w:bidi="ar-SA"/>
        </w:rPr>
      </w:pPr>
      <w:r w:rsidRPr="00666AAB">
        <w:rPr>
          <w:rFonts w:ascii="Arial" w:eastAsiaTheme="minorEastAsia" w:hAnsi="Arial" w:cs="Arial"/>
          <w:i/>
          <w:iCs/>
          <w:sz w:val="24"/>
          <w:szCs w:val="24"/>
          <w:lang w:bidi="ar-SA"/>
        </w:rPr>
        <w:t>Section 2(6)(c) of the Insurance Act, 1938 as amended by the Sabka Bima Sabki Raksha (Amendment of Insurance Laws) Act, 2025 defines “health insurance business” as the business of effecting the contracts of insurance that provide sickness benefits or pay for medical and health expenses …..”.</w:t>
      </w:r>
    </w:p>
    <w:p w:rsidR="00666AAB" w:rsidRPr="00666AAB" w:rsidRDefault="00666AAB" w:rsidP="00666AAB">
      <w:pPr>
        <w:spacing w:after="0" w:line="240" w:lineRule="auto"/>
        <w:jc w:val="both"/>
        <w:rPr>
          <w:rFonts w:ascii="Arial" w:eastAsiaTheme="minorEastAsia" w:hAnsi="Arial" w:cs="Arial"/>
          <w:i/>
          <w:iCs/>
          <w:sz w:val="24"/>
          <w:szCs w:val="24"/>
          <w:lang w:bidi="ar-SA"/>
        </w:rPr>
      </w:pPr>
    </w:p>
    <w:p w:rsidR="00666AAB" w:rsidRPr="00666AAB" w:rsidRDefault="00666AAB" w:rsidP="00666AAB">
      <w:pPr>
        <w:numPr>
          <w:ilvl w:val="0"/>
          <w:numId w:val="10"/>
        </w:numPr>
        <w:spacing w:after="0" w:line="240" w:lineRule="auto"/>
        <w:ind w:left="284" w:hanging="284"/>
        <w:contextualSpacing/>
        <w:jc w:val="both"/>
        <w:rPr>
          <w:rFonts w:ascii="Arial" w:eastAsiaTheme="minorEastAsia" w:hAnsi="Arial" w:cs="Arial"/>
          <w:sz w:val="24"/>
          <w:szCs w:val="24"/>
          <w:lang w:bidi="ar-SA"/>
        </w:rPr>
      </w:pPr>
      <w:r w:rsidRPr="00666AAB">
        <w:rPr>
          <w:rFonts w:ascii="Arial" w:eastAsiaTheme="minorEastAsia" w:hAnsi="Arial" w:cs="Arial"/>
          <w:sz w:val="24"/>
          <w:szCs w:val="24"/>
          <w:lang w:bidi="ar-SA"/>
        </w:rPr>
        <w:t xml:space="preserve">In view of the </w:t>
      </w:r>
      <w:r w:rsidRPr="00666AAB">
        <w:rPr>
          <w:rFonts w:ascii="Arial" w:eastAsiaTheme="minorEastAsia" w:hAnsi="Arial" w:cs="Arial"/>
          <w:i/>
          <w:iCs/>
          <w:sz w:val="24"/>
          <w:szCs w:val="24"/>
          <w:lang w:bidi="ar-SA"/>
        </w:rPr>
        <w:t>above</w:t>
      </w:r>
      <w:r w:rsidRPr="00666AAB">
        <w:rPr>
          <w:rFonts w:ascii="Arial" w:eastAsiaTheme="minorEastAsia" w:hAnsi="Arial" w:cs="Arial"/>
          <w:sz w:val="24"/>
          <w:szCs w:val="24"/>
          <w:lang w:bidi="ar-SA"/>
        </w:rPr>
        <w:t xml:space="preserve"> definition, a health insurance policy constitutes a contractual agreement between the insurer and the insured. Accordingly, any claim under the policy is required to be settled or rejected strictly in accordance with the terms and conditions mutually agreed upon by both parties. Therefore, an insurer cannot arbitrarily repudiate a claim and may do so only in accordance with the terms and conditions stipulated in the policy.</w:t>
      </w:r>
    </w:p>
    <w:p w:rsidR="00666AAB" w:rsidRPr="00666AAB" w:rsidRDefault="00666AAB" w:rsidP="00666AAB">
      <w:pPr>
        <w:spacing w:after="0" w:line="240" w:lineRule="auto"/>
        <w:jc w:val="both"/>
        <w:rPr>
          <w:rFonts w:ascii="Arial" w:eastAsiaTheme="minorEastAsia" w:hAnsi="Arial" w:cs="Arial"/>
          <w:sz w:val="24"/>
          <w:szCs w:val="24"/>
          <w:lang w:bidi="ar-SA"/>
        </w:rPr>
      </w:pPr>
    </w:p>
    <w:p w:rsidR="00666AAB" w:rsidRPr="00666AAB" w:rsidRDefault="00666AAB" w:rsidP="00666AAB">
      <w:pPr>
        <w:numPr>
          <w:ilvl w:val="0"/>
          <w:numId w:val="10"/>
        </w:numPr>
        <w:spacing w:after="0" w:line="240" w:lineRule="auto"/>
        <w:ind w:left="284" w:hanging="284"/>
        <w:contextualSpacing/>
        <w:jc w:val="both"/>
        <w:rPr>
          <w:rFonts w:ascii="Arial" w:eastAsiaTheme="minorEastAsia" w:hAnsi="Arial" w:cs="Arial"/>
          <w:sz w:val="24"/>
          <w:szCs w:val="24"/>
          <w:lang w:bidi="ar-SA"/>
        </w:rPr>
      </w:pPr>
      <w:r w:rsidRPr="00666AAB">
        <w:rPr>
          <w:rFonts w:ascii="Arial" w:eastAsiaTheme="minorEastAsia" w:hAnsi="Arial" w:cs="Arial"/>
          <w:sz w:val="24"/>
          <w:szCs w:val="24"/>
          <w:lang w:bidi="ar-SA"/>
        </w:rPr>
        <w:t xml:space="preserve">IRDAI collects data on rejected claims only at an aggregate level. Accordingly, insurer-wise and reason-wise data on rejected claims is not compiled or published in its Annual Report. </w:t>
      </w:r>
    </w:p>
    <w:p w:rsidR="00666AAB" w:rsidRPr="00666AAB" w:rsidRDefault="00666AAB" w:rsidP="00666AAB">
      <w:pPr>
        <w:spacing w:after="0" w:line="240" w:lineRule="auto"/>
        <w:jc w:val="both"/>
        <w:rPr>
          <w:rFonts w:ascii="Arial" w:eastAsiaTheme="minorEastAsia" w:hAnsi="Arial" w:cs="Arial"/>
          <w:sz w:val="24"/>
          <w:szCs w:val="24"/>
          <w:lang w:bidi="ar-SA"/>
        </w:rPr>
      </w:pPr>
    </w:p>
    <w:p w:rsidR="00666AAB" w:rsidRPr="00666AAB" w:rsidRDefault="00666AAB" w:rsidP="00666AAB">
      <w:pPr>
        <w:numPr>
          <w:ilvl w:val="0"/>
          <w:numId w:val="10"/>
        </w:numPr>
        <w:spacing w:after="0" w:line="240" w:lineRule="auto"/>
        <w:ind w:left="284" w:hanging="284"/>
        <w:contextualSpacing/>
        <w:jc w:val="both"/>
        <w:rPr>
          <w:rFonts w:ascii="Arial" w:eastAsia="Times New Roman" w:hAnsi="Arial" w:cs="Arial"/>
          <w:b/>
          <w:bCs/>
          <w:sz w:val="24"/>
          <w:szCs w:val="24"/>
          <w:lang w:bidi="ar-SA"/>
        </w:rPr>
      </w:pPr>
      <w:r w:rsidRPr="00666AAB">
        <w:rPr>
          <w:rFonts w:ascii="Arial" w:eastAsiaTheme="minorEastAsia" w:hAnsi="Arial" w:cs="Arial"/>
          <w:sz w:val="24"/>
          <w:szCs w:val="24"/>
          <w:lang w:bidi="ar-SA"/>
        </w:rPr>
        <w:t>However</w:t>
      </w:r>
      <w:r w:rsidRPr="00666AAB">
        <w:rPr>
          <w:rFonts w:ascii="Arial" w:eastAsia="Times New Roman" w:hAnsi="Arial" w:cs="Arial"/>
          <w:sz w:val="24"/>
          <w:szCs w:val="24"/>
          <w:lang w:bidi="ar-SA"/>
        </w:rPr>
        <w:t xml:space="preserve">, from the below data, it may be observed that the claims </w:t>
      </w:r>
      <w:r w:rsidR="00E72295">
        <w:rPr>
          <w:rFonts w:ascii="Arial" w:eastAsia="Times New Roman" w:hAnsi="Arial" w:cs="Arial"/>
          <w:sz w:val="24"/>
          <w:szCs w:val="24"/>
          <w:lang w:bidi="ar-SA"/>
        </w:rPr>
        <w:t>repudiation</w:t>
      </w:r>
      <w:r w:rsidRPr="00666AAB">
        <w:rPr>
          <w:rFonts w:ascii="Arial" w:eastAsia="Times New Roman" w:hAnsi="Arial" w:cs="Arial"/>
          <w:sz w:val="24"/>
          <w:szCs w:val="24"/>
          <w:lang w:bidi="ar-SA"/>
        </w:rPr>
        <w:t xml:space="preserve"> rat</w:t>
      </w:r>
      <w:r w:rsidR="00E72295">
        <w:rPr>
          <w:rFonts w:ascii="Arial" w:eastAsia="Times New Roman" w:hAnsi="Arial" w:cs="Arial"/>
          <w:sz w:val="24"/>
          <w:szCs w:val="24"/>
          <w:lang w:bidi="ar-SA"/>
        </w:rPr>
        <w:t>io (by amount) during last 5</w:t>
      </w:r>
      <w:r w:rsidRPr="00666AAB">
        <w:rPr>
          <w:rFonts w:ascii="Arial" w:eastAsia="Times New Roman" w:hAnsi="Arial" w:cs="Arial"/>
          <w:sz w:val="24"/>
          <w:szCs w:val="24"/>
          <w:lang w:bidi="ar-SA"/>
        </w:rPr>
        <w:t>year</w:t>
      </w:r>
      <w:r w:rsidR="00E72295">
        <w:rPr>
          <w:rFonts w:ascii="Arial" w:eastAsia="Times New Roman" w:hAnsi="Arial" w:cs="Arial"/>
          <w:sz w:val="24"/>
          <w:szCs w:val="24"/>
          <w:lang w:bidi="ar-SA"/>
        </w:rPr>
        <w:t>s i.e. Year 2024-25, 2023-24,</w:t>
      </w:r>
      <w:r w:rsidRPr="00666AAB">
        <w:rPr>
          <w:rFonts w:ascii="Arial" w:eastAsia="Times New Roman" w:hAnsi="Arial" w:cs="Arial"/>
          <w:sz w:val="24"/>
          <w:szCs w:val="24"/>
          <w:lang w:bidi="ar-SA"/>
        </w:rPr>
        <w:t>2022-23</w:t>
      </w:r>
      <w:r w:rsidR="00E72295">
        <w:rPr>
          <w:rFonts w:ascii="Arial" w:eastAsia="Times New Roman" w:hAnsi="Arial" w:cs="Arial"/>
          <w:sz w:val="24"/>
          <w:szCs w:val="24"/>
          <w:lang w:bidi="ar-SA"/>
        </w:rPr>
        <w:t>,2021-22 and 2020-21</w:t>
      </w:r>
      <w:r w:rsidRPr="00666AAB">
        <w:rPr>
          <w:rFonts w:ascii="Arial" w:eastAsia="Times New Roman" w:hAnsi="Arial" w:cs="Arial"/>
          <w:sz w:val="24"/>
          <w:szCs w:val="24"/>
          <w:lang w:bidi="ar-SA"/>
        </w:rPr>
        <w:t xml:space="preserve"> has been </w:t>
      </w:r>
      <w:r w:rsidR="00E72295">
        <w:rPr>
          <w:rFonts w:ascii="Arial" w:eastAsia="Times New Roman" w:hAnsi="Arial" w:cs="Arial"/>
          <w:sz w:val="24"/>
          <w:szCs w:val="24"/>
          <w:lang w:bidi="ar-SA"/>
        </w:rPr>
        <w:t xml:space="preserve">in the range of 8.61%, to </w:t>
      </w:r>
      <w:r w:rsidRPr="00666AAB">
        <w:rPr>
          <w:rFonts w:ascii="Arial" w:eastAsia="Times New Roman" w:hAnsi="Arial" w:cs="Arial"/>
          <w:sz w:val="24"/>
          <w:szCs w:val="24"/>
          <w:lang w:bidi="ar-SA"/>
        </w:rPr>
        <w:t>9.34</w:t>
      </w:r>
      <w:r w:rsidR="00E72295" w:rsidRPr="00666AAB">
        <w:rPr>
          <w:rFonts w:ascii="Arial" w:eastAsia="Times New Roman" w:hAnsi="Arial" w:cs="Arial"/>
          <w:sz w:val="24"/>
          <w:szCs w:val="24"/>
          <w:lang w:bidi="ar-SA"/>
        </w:rPr>
        <w:t>% and</w:t>
      </w:r>
      <w:r w:rsidRPr="00666AAB">
        <w:rPr>
          <w:rFonts w:ascii="Arial" w:eastAsia="Times New Roman" w:hAnsi="Arial" w:cs="Arial"/>
          <w:sz w:val="24"/>
          <w:szCs w:val="24"/>
          <w:lang w:bidi="ar-SA"/>
        </w:rPr>
        <w:t xml:space="preserve"> Claims disallowance (or we </w:t>
      </w:r>
      <w:r w:rsidRPr="00666AAB">
        <w:rPr>
          <w:rFonts w:ascii="Arial" w:eastAsia="Times New Roman" w:hAnsi="Arial" w:cs="Arial"/>
          <w:sz w:val="24"/>
          <w:szCs w:val="24"/>
          <w:lang w:bidi="ar-SA"/>
        </w:rPr>
        <w:lastRenderedPageBreak/>
        <w:t xml:space="preserve">may call it partially disallowed) ratio is </w:t>
      </w:r>
      <w:r w:rsidR="00E72295">
        <w:rPr>
          <w:rFonts w:ascii="Arial" w:eastAsia="Times New Roman" w:hAnsi="Arial" w:cs="Arial"/>
          <w:sz w:val="24"/>
          <w:szCs w:val="24"/>
          <w:lang w:bidi="ar-SA"/>
        </w:rPr>
        <w:t>in the range of 12.88% to 14.16%</w:t>
      </w:r>
      <w:r w:rsidRPr="00666AAB">
        <w:rPr>
          <w:rFonts w:ascii="Arial" w:eastAsia="Times New Roman" w:hAnsi="Arial" w:cs="Arial"/>
          <w:sz w:val="24"/>
          <w:szCs w:val="24"/>
          <w:lang w:bidi="ar-SA"/>
        </w:rPr>
        <w:t xml:space="preserve">. </w:t>
      </w:r>
      <w:r w:rsidR="00E72295">
        <w:rPr>
          <w:rFonts w:ascii="Arial" w:eastAsia="Times New Roman" w:hAnsi="Arial" w:cs="Arial"/>
          <w:b/>
          <w:bCs/>
          <w:sz w:val="24"/>
          <w:szCs w:val="24"/>
          <w:lang w:bidi="ar-SA"/>
        </w:rPr>
        <w:t>Thes</w:t>
      </w:r>
      <w:r w:rsidRPr="00666AAB">
        <w:rPr>
          <w:rFonts w:ascii="Arial" w:eastAsia="Times New Roman" w:hAnsi="Arial" w:cs="Arial"/>
          <w:b/>
          <w:bCs/>
          <w:sz w:val="24"/>
          <w:szCs w:val="24"/>
          <w:lang w:bidi="ar-SA"/>
        </w:rPr>
        <w:t xml:space="preserve">e ratios have been consistent across last </w:t>
      </w:r>
      <w:r w:rsidR="00E72295">
        <w:rPr>
          <w:rFonts w:ascii="Arial" w:eastAsia="Times New Roman" w:hAnsi="Arial" w:cs="Arial"/>
          <w:b/>
          <w:bCs/>
          <w:sz w:val="24"/>
          <w:szCs w:val="24"/>
          <w:lang w:bidi="ar-SA"/>
        </w:rPr>
        <w:t>five</w:t>
      </w:r>
      <w:r w:rsidRPr="00666AAB">
        <w:rPr>
          <w:rFonts w:ascii="Arial" w:eastAsia="Times New Roman" w:hAnsi="Arial" w:cs="Arial"/>
          <w:b/>
          <w:bCs/>
          <w:sz w:val="24"/>
          <w:szCs w:val="24"/>
          <w:lang w:bidi="ar-SA"/>
        </w:rPr>
        <w:t xml:space="preserve"> years and there is no material change in any claims repudiation and claims disallowance ratios, rather claims paid ratio has increased from 71.6</w:t>
      </w:r>
      <w:r w:rsidR="002E43C0">
        <w:rPr>
          <w:rFonts w:ascii="Arial" w:eastAsia="Times New Roman" w:hAnsi="Arial" w:cs="Arial"/>
          <w:b/>
          <w:bCs/>
          <w:sz w:val="24"/>
          <w:szCs w:val="24"/>
          <w:lang w:bidi="ar-SA"/>
        </w:rPr>
        <w:t>2% to 82.45% to 87.50% from 2020-21</w:t>
      </w:r>
      <w:r w:rsidRPr="00666AAB">
        <w:rPr>
          <w:rFonts w:ascii="Arial" w:eastAsia="Times New Roman" w:hAnsi="Arial" w:cs="Arial"/>
          <w:b/>
          <w:bCs/>
          <w:sz w:val="24"/>
          <w:szCs w:val="24"/>
          <w:lang w:bidi="ar-SA"/>
        </w:rPr>
        <w:t xml:space="preserve"> to 2024-25.  </w:t>
      </w:r>
    </w:p>
    <w:p w:rsidR="00666AAB" w:rsidRDefault="00666AAB" w:rsidP="00666AAB">
      <w:pPr>
        <w:spacing w:after="0"/>
        <w:jc w:val="both"/>
        <w:rPr>
          <w:rFonts w:ascii="Arial" w:eastAsia="Times New Roman" w:hAnsi="Arial" w:cs="Arial"/>
          <w:b/>
          <w:bCs/>
          <w:sz w:val="24"/>
          <w:szCs w:val="24"/>
        </w:rPr>
      </w:pPr>
    </w:p>
    <w:tbl>
      <w:tblPr>
        <w:tblW w:w="5000" w:type="pct"/>
        <w:tblLayout w:type="fixed"/>
        <w:tblLook w:val="04A0" w:firstRow="1" w:lastRow="0" w:firstColumn="1" w:lastColumn="0" w:noHBand="0" w:noVBand="1"/>
      </w:tblPr>
      <w:tblGrid>
        <w:gridCol w:w="2956"/>
        <w:gridCol w:w="1212"/>
        <w:gridCol w:w="1212"/>
        <w:gridCol w:w="1212"/>
        <w:gridCol w:w="1212"/>
        <w:gridCol w:w="1212"/>
      </w:tblGrid>
      <w:tr w:rsidR="00A25DE4" w:rsidRPr="00A25DE4" w:rsidTr="00A25DE4">
        <w:trPr>
          <w:trHeight w:val="290"/>
        </w:trPr>
        <w:tc>
          <w:tcPr>
            <w:tcW w:w="163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5DE4" w:rsidRPr="00A25DE4" w:rsidRDefault="00A25DE4" w:rsidP="00A25DE4">
            <w:pPr>
              <w:spacing w:after="0" w:line="240" w:lineRule="auto"/>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Amount (in lakhs)</w:t>
            </w:r>
          </w:p>
        </w:tc>
        <w:tc>
          <w:tcPr>
            <w:tcW w:w="672" w:type="pct"/>
            <w:tcBorders>
              <w:top w:val="single" w:sz="4" w:space="0" w:color="auto"/>
              <w:left w:val="nil"/>
              <w:bottom w:val="single" w:sz="4" w:space="0" w:color="auto"/>
              <w:right w:val="single" w:sz="4" w:space="0" w:color="auto"/>
            </w:tcBorders>
            <w:shd w:val="clear" w:color="auto" w:fill="auto"/>
            <w:noWrap/>
            <w:vAlign w:val="bottom"/>
            <w:hideMark/>
          </w:tcPr>
          <w:p w:rsidR="00A25DE4" w:rsidRPr="00A25DE4" w:rsidRDefault="00A25DE4" w:rsidP="00A25DE4">
            <w:pPr>
              <w:spacing w:after="0" w:line="240" w:lineRule="auto"/>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 </w:t>
            </w:r>
          </w:p>
        </w:tc>
        <w:tc>
          <w:tcPr>
            <w:tcW w:w="672" w:type="pct"/>
            <w:tcBorders>
              <w:top w:val="single" w:sz="4" w:space="0" w:color="auto"/>
              <w:left w:val="nil"/>
              <w:bottom w:val="single" w:sz="4" w:space="0" w:color="auto"/>
              <w:right w:val="single" w:sz="4" w:space="0" w:color="auto"/>
            </w:tcBorders>
            <w:shd w:val="clear" w:color="auto" w:fill="auto"/>
            <w:noWrap/>
            <w:vAlign w:val="bottom"/>
            <w:hideMark/>
          </w:tcPr>
          <w:p w:rsidR="00A25DE4" w:rsidRPr="00A25DE4" w:rsidRDefault="00A25DE4" w:rsidP="00A25DE4">
            <w:pPr>
              <w:spacing w:after="0" w:line="240" w:lineRule="auto"/>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 </w:t>
            </w:r>
          </w:p>
        </w:tc>
        <w:tc>
          <w:tcPr>
            <w:tcW w:w="672" w:type="pct"/>
            <w:tcBorders>
              <w:top w:val="single" w:sz="4" w:space="0" w:color="auto"/>
              <w:left w:val="nil"/>
              <w:bottom w:val="single" w:sz="4" w:space="0" w:color="auto"/>
              <w:right w:val="single" w:sz="4" w:space="0" w:color="auto"/>
            </w:tcBorders>
            <w:shd w:val="clear" w:color="auto" w:fill="auto"/>
            <w:noWrap/>
            <w:vAlign w:val="bottom"/>
            <w:hideMark/>
          </w:tcPr>
          <w:p w:rsidR="00A25DE4" w:rsidRPr="00A25DE4" w:rsidRDefault="00A25DE4" w:rsidP="00A25DE4">
            <w:pPr>
              <w:spacing w:after="0" w:line="240" w:lineRule="auto"/>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 </w:t>
            </w:r>
          </w:p>
        </w:tc>
        <w:tc>
          <w:tcPr>
            <w:tcW w:w="672" w:type="pct"/>
            <w:tcBorders>
              <w:top w:val="single" w:sz="4" w:space="0" w:color="auto"/>
              <w:left w:val="nil"/>
              <w:bottom w:val="single" w:sz="4" w:space="0" w:color="auto"/>
              <w:right w:val="single" w:sz="4" w:space="0" w:color="auto"/>
            </w:tcBorders>
            <w:shd w:val="clear" w:color="auto" w:fill="auto"/>
            <w:noWrap/>
            <w:vAlign w:val="bottom"/>
            <w:hideMark/>
          </w:tcPr>
          <w:p w:rsidR="00A25DE4" w:rsidRPr="00A25DE4" w:rsidRDefault="00A25DE4" w:rsidP="00A25DE4">
            <w:pPr>
              <w:spacing w:after="0" w:line="240" w:lineRule="auto"/>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 </w:t>
            </w:r>
          </w:p>
        </w:tc>
        <w:tc>
          <w:tcPr>
            <w:tcW w:w="672" w:type="pct"/>
            <w:tcBorders>
              <w:top w:val="single" w:sz="4" w:space="0" w:color="auto"/>
              <w:left w:val="nil"/>
              <w:bottom w:val="single" w:sz="4" w:space="0" w:color="auto"/>
              <w:right w:val="single" w:sz="4" w:space="0" w:color="auto"/>
            </w:tcBorders>
            <w:shd w:val="clear" w:color="auto" w:fill="auto"/>
            <w:noWrap/>
            <w:vAlign w:val="bottom"/>
            <w:hideMark/>
          </w:tcPr>
          <w:p w:rsidR="00A25DE4" w:rsidRPr="00A25DE4" w:rsidRDefault="00A25DE4" w:rsidP="00A25DE4">
            <w:pPr>
              <w:spacing w:after="0" w:line="240" w:lineRule="auto"/>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 </w:t>
            </w:r>
          </w:p>
        </w:tc>
      </w:tr>
      <w:tr w:rsidR="00A25DE4" w:rsidRPr="00A25DE4" w:rsidTr="00A25DE4">
        <w:trPr>
          <w:trHeight w:val="290"/>
        </w:trPr>
        <w:tc>
          <w:tcPr>
            <w:tcW w:w="1639" w:type="pct"/>
            <w:tcBorders>
              <w:top w:val="nil"/>
              <w:left w:val="single" w:sz="4" w:space="0" w:color="auto"/>
              <w:bottom w:val="single" w:sz="4" w:space="0" w:color="auto"/>
              <w:right w:val="single" w:sz="4" w:space="0" w:color="auto"/>
            </w:tcBorders>
            <w:shd w:val="clear" w:color="auto" w:fill="auto"/>
            <w:noWrap/>
            <w:vAlign w:val="bottom"/>
            <w:hideMark/>
          </w:tcPr>
          <w:p w:rsidR="00A25DE4" w:rsidRPr="00A25DE4" w:rsidRDefault="005E6C93" w:rsidP="00A25DE4">
            <w:pPr>
              <w:spacing w:after="0" w:line="240" w:lineRule="auto"/>
              <w:rPr>
                <w:rFonts w:ascii="Calibri" w:eastAsia="Times New Roman" w:hAnsi="Calibri" w:cs="Calibri"/>
                <w:color w:val="000000"/>
                <w:szCs w:val="22"/>
                <w:lang w:eastAsia="en-IN"/>
              </w:rPr>
            </w:pPr>
            <w:r>
              <w:rPr>
                <w:rFonts w:ascii="Calibri" w:eastAsia="Times New Roman" w:hAnsi="Calibri" w:cs="Calibri"/>
                <w:color w:val="000000"/>
                <w:szCs w:val="22"/>
                <w:lang w:eastAsia="en-IN"/>
              </w:rPr>
              <w:t xml:space="preserve">Financial </w:t>
            </w:r>
            <w:r w:rsidR="00A25DE4" w:rsidRPr="00A25DE4">
              <w:rPr>
                <w:rFonts w:ascii="Calibri" w:eastAsia="Times New Roman" w:hAnsi="Calibri" w:cs="Calibri"/>
                <w:color w:val="000000"/>
                <w:szCs w:val="22"/>
                <w:lang w:eastAsia="en-IN"/>
              </w:rPr>
              <w:t>Year</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b/>
                <w:bCs/>
                <w:color w:val="000000"/>
                <w:szCs w:val="22"/>
                <w:lang w:eastAsia="en-IN"/>
              </w:rPr>
            </w:pPr>
            <w:r w:rsidRPr="00A25DE4">
              <w:rPr>
                <w:rFonts w:ascii="Calibri" w:eastAsia="Times New Roman" w:hAnsi="Calibri" w:cs="Calibri"/>
                <w:b/>
                <w:bCs/>
                <w:color w:val="000000"/>
                <w:szCs w:val="22"/>
                <w:lang w:eastAsia="en-IN"/>
              </w:rPr>
              <w:t>2020-21</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b/>
                <w:bCs/>
                <w:color w:val="000000"/>
                <w:szCs w:val="22"/>
                <w:lang w:eastAsia="en-IN"/>
              </w:rPr>
            </w:pPr>
            <w:r w:rsidRPr="00A25DE4">
              <w:rPr>
                <w:rFonts w:ascii="Calibri" w:eastAsia="Times New Roman" w:hAnsi="Calibri" w:cs="Calibri"/>
                <w:b/>
                <w:bCs/>
                <w:color w:val="000000"/>
                <w:szCs w:val="22"/>
                <w:lang w:eastAsia="en-IN"/>
              </w:rPr>
              <w:t>2021-22</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b/>
                <w:bCs/>
                <w:color w:val="000000"/>
                <w:szCs w:val="22"/>
                <w:lang w:eastAsia="en-IN"/>
              </w:rPr>
            </w:pPr>
            <w:r w:rsidRPr="00A25DE4">
              <w:rPr>
                <w:rFonts w:ascii="Calibri" w:eastAsia="Times New Roman" w:hAnsi="Calibri" w:cs="Calibri"/>
                <w:b/>
                <w:bCs/>
                <w:color w:val="000000"/>
                <w:szCs w:val="22"/>
                <w:lang w:eastAsia="en-IN"/>
              </w:rPr>
              <w:t>2022-23</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b/>
                <w:bCs/>
                <w:color w:val="000000"/>
                <w:szCs w:val="22"/>
                <w:lang w:eastAsia="en-IN"/>
              </w:rPr>
            </w:pPr>
            <w:r w:rsidRPr="00A25DE4">
              <w:rPr>
                <w:rFonts w:ascii="Calibri" w:eastAsia="Times New Roman" w:hAnsi="Calibri" w:cs="Calibri"/>
                <w:b/>
                <w:bCs/>
                <w:color w:val="000000"/>
                <w:szCs w:val="22"/>
                <w:lang w:eastAsia="en-IN"/>
              </w:rPr>
              <w:t>2023-24</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b/>
                <w:bCs/>
                <w:color w:val="000000"/>
                <w:szCs w:val="22"/>
                <w:lang w:eastAsia="en-IN"/>
              </w:rPr>
            </w:pPr>
            <w:r w:rsidRPr="00A25DE4">
              <w:rPr>
                <w:rFonts w:ascii="Calibri" w:eastAsia="Times New Roman" w:hAnsi="Calibri" w:cs="Calibri"/>
                <w:b/>
                <w:bCs/>
                <w:color w:val="000000"/>
                <w:szCs w:val="22"/>
                <w:lang w:eastAsia="en-IN"/>
              </w:rPr>
              <w:t>2024-25</w:t>
            </w:r>
          </w:p>
        </w:tc>
      </w:tr>
      <w:tr w:rsidR="00A25DE4" w:rsidRPr="00A25DE4" w:rsidTr="00A25DE4">
        <w:trPr>
          <w:trHeight w:val="290"/>
        </w:trPr>
        <w:tc>
          <w:tcPr>
            <w:tcW w:w="1639" w:type="pct"/>
            <w:tcBorders>
              <w:top w:val="nil"/>
              <w:left w:val="single" w:sz="4" w:space="0" w:color="auto"/>
              <w:bottom w:val="single" w:sz="4" w:space="0" w:color="auto"/>
              <w:right w:val="single" w:sz="4" w:space="0" w:color="auto"/>
            </w:tcBorders>
            <w:shd w:val="clear" w:color="auto" w:fill="auto"/>
            <w:noWrap/>
            <w:vAlign w:val="bottom"/>
            <w:hideMark/>
          </w:tcPr>
          <w:p w:rsidR="00A25DE4" w:rsidRPr="00A25DE4" w:rsidRDefault="00A25DE4" w:rsidP="00A25DE4">
            <w:pPr>
              <w:spacing w:after="0" w:line="240" w:lineRule="auto"/>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Claim O/s at start of fin year</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4,22,145</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5,66,179</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5,97,844</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6,29,028</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7,58,458</w:t>
            </w:r>
          </w:p>
        </w:tc>
      </w:tr>
      <w:tr w:rsidR="00A25DE4" w:rsidRPr="00A25DE4" w:rsidTr="00A25DE4">
        <w:trPr>
          <w:trHeight w:val="290"/>
        </w:trPr>
        <w:tc>
          <w:tcPr>
            <w:tcW w:w="1639" w:type="pct"/>
            <w:tcBorders>
              <w:top w:val="nil"/>
              <w:left w:val="single" w:sz="4" w:space="0" w:color="auto"/>
              <w:bottom w:val="single" w:sz="4" w:space="0" w:color="auto"/>
              <w:right w:val="single" w:sz="4" w:space="0" w:color="auto"/>
            </w:tcBorders>
            <w:shd w:val="clear" w:color="auto" w:fill="auto"/>
            <w:noWrap/>
            <w:vAlign w:val="bottom"/>
            <w:hideMark/>
          </w:tcPr>
          <w:p w:rsidR="00A25DE4" w:rsidRPr="00A25DE4" w:rsidRDefault="00A25DE4" w:rsidP="00A25DE4">
            <w:pPr>
              <w:spacing w:after="0" w:line="240" w:lineRule="auto"/>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New claims registered during the period</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58,76,615</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93,84,046</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93,06,047</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1,10,82,506</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1,24,90,322</w:t>
            </w:r>
          </w:p>
        </w:tc>
      </w:tr>
      <w:tr w:rsidR="00A25DE4" w:rsidRPr="00A25DE4" w:rsidTr="00A25DE4">
        <w:trPr>
          <w:trHeight w:val="290"/>
        </w:trPr>
        <w:tc>
          <w:tcPr>
            <w:tcW w:w="1639" w:type="pct"/>
            <w:tcBorders>
              <w:top w:val="nil"/>
              <w:left w:val="single" w:sz="4" w:space="0" w:color="auto"/>
              <w:bottom w:val="single" w:sz="4" w:space="0" w:color="auto"/>
              <w:right w:val="single" w:sz="4" w:space="0" w:color="auto"/>
            </w:tcBorders>
            <w:shd w:val="clear" w:color="auto" w:fill="auto"/>
            <w:noWrap/>
            <w:vAlign w:val="bottom"/>
            <w:hideMark/>
          </w:tcPr>
          <w:p w:rsidR="00A25DE4" w:rsidRPr="00A25DE4" w:rsidRDefault="00A25DE4" w:rsidP="00A25DE4">
            <w:pPr>
              <w:spacing w:after="0" w:line="240" w:lineRule="auto"/>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Claims Paid during the period</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43,35,460</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69,49,848</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70,92,982</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83,49,317</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94,24,760</w:t>
            </w:r>
          </w:p>
        </w:tc>
      </w:tr>
      <w:tr w:rsidR="00A25DE4" w:rsidRPr="00A25DE4" w:rsidTr="00A25DE4">
        <w:trPr>
          <w:trHeight w:val="580"/>
        </w:trPr>
        <w:tc>
          <w:tcPr>
            <w:tcW w:w="1639" w:type="pct"/>
            <w:tcBorders>
              <w:top w:val="nil"/>
              <w:left w:val="single" w:sz="4" w:space="0" w:color="auto"/>
              <w:bottom w:val="single" w:sz="4" w:space="0" w:color="auto"/>
              <w:right w:val="single" w:sz="4" w:space="0" w:color="auto"/>
            </w:tcBorders>
            <w:shd w:val="clear" w:color="auto" w:fill="auto"/>
            <w:vAlign w:val="bottom"/>
            <w:hideMark/>
          </w:tcPr>
          <w:p w:rsidR="00A25DE4" w:rsidRPr="00A25DE4" w:rsidRDefault="00A25DE4" w:rsidP="00A25DE4">
            <w:pPr>
              <w:spacing w:after="0" w:line="240" w:lineRule="auto"/>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Claims disallowed as per terms and conditions of policy contract</w:t>
            </w:r>
          </w:p>
        </w:tc>
        <w:tc>
          <w:tcPr>
            <w:tcW w:w="672" w:type="pct"/>
            <w:tcBorders>
              <w:top w:val="nil"/>
              <w:left w:val="nil"/>
              <w:bottom w:val="single" w:sz="4" w:space="0" w:color="auto"/>
              <w:right w:val="single" w:sz="4" w:space="0" w:color="auto"/>
            </w:tcBorders>
            <w:shd w:val="clear" w:color="auto" w:fill="auto"/>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8,91,727</w:t>
            </w:r>
          </w:p>
        </w:tc>
        <w:tc>
          <w:tcPr>
            <w:tcW w:w="672" w:type="pct"/>
            <w:tcBorders>
              <w:top w:val="nil"/>
              <w:left w:val="nil"/>
              <w:bottom w:val="single" w:sz="4" w:space="0" w:color="auto"/>
              <w:right w:val="single" w:sz="4" w:space="0" w:color="auto"/>
            </w:tcBorders>
            <w:shd w:val="clear" w:color="auto" w:fill="auto"/>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14,95,509</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12,75,455</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15,10,042</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18,52,102</w:t>
            </w:r>
          </w:p>
        </w:tc>
      </w:tr>
      <w:tr w:rsidR="00A25DE4" w:rsidRPr="00A25DE4" w:rsidTr="00A25DE4">
        <w:trPr>
          <w:trHeight w:val="290"/>
        </w:trPr>
        <w:tc>
          <w:tcPr>
            <w:tcW w:w="1639" w:type="pct"/>
            <w:tcBorders>
              <w:top w:val="nil"/>
              <w:left w:val="single" w:sz="4" w:space="0" w:color="auto"/>
              <w:bottom w:val="single" w:sz="4" w:space="0" w:color="auto"/>
              <w:right w:val="single" w:sz="4" w:space="0" w:color="auto"/>
            </w:tcBorders>
            <w:shd w:val="clear" w:color="auto" w:fill="auto"/>
            <w:noWrap/>
            <w:vAlign w:val="bottom"/>
            <w:hideMark/>
          </w:tcPr>
          <w:p w:rsidR="00A25DE4" w:rsidRPr="00A25DE4" w:rsidRDefault="00A25DE4" w:rsidP="00A25DE4">
            <w:pPr>
              <w:spacing w:after="0" w:line="240" w:lineRule="auto"/>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Claims repudiated during the period</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5,60,747</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9,07,024</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9,10,769</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10,93,718</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11,41,242</w:t>
            </w:r>
          </w:p>
        </w:tc>
      </w:tr>
      <w:tr w:rsidR="00A25DE4" w:rsidRPr="00A25DE4" w:rsidTr="00A25DE4">
        <w:trPr>
          <w:trHeight w:val="290"/>
        </w:trPr>
        <w:tc>
          <w:tcPr>
            <w:tcW w:w="1639" w:type="pct"/>
            <w:tcBorders>
              <w:top w:val="nil"/>
              <w:left w:val="single" w:sz="4" w:space="0" w:color="auto"/>
              <w:bottom w:val="single" w:sz="4" w:space="0" w:color="auto"/>
              <w:right w:val="single" w:sz="4" w:space="0" w:color="auto"/>
            </w:tcBorders>
            <w:shd w:val="clear" w:color="auto" w:fill="auto"/>
            <w:noWrap/>
            <w:vAlign w:val="bottom"/>
            <w:hideMark/>
          </w:tcPr>
          <w:p w:rsidR="00A25DE4" w:rsidRPr="00A25DE4" w:rsidRDefault="00A25DE4" w:rsidP="00A25DE4">
            <w:pPr>
              <w:spacing w:after="0" w:line="240" w:lineRule="auto"/>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Claims O/S at end of fin year</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5,65,756</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5,97,844</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6,24,685</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7,58,457</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8,30,676</w:t>
            </w:r>
          </w:p>
        </w:tc>
      </w:tr>
      <w:tr w:rsidR="00A25DE4" w:rsidRPr="00A25DE4" w:rsidTr="00A25DE4">
        <w:trPr>
          <w:trHeight w:val="290"/>
        </w:trPr>
        <w:tc>
          <w:tcPr>
            <w:tcW w:w="1639" w:type="pct"/>
            <w:tcBorders>
              <w:top w:val="nil"/>
              <w:left w:val="single" w:sz="4" w:space="0" w:color="auto"/>
              <w:bottom w:val="single" w:sz="4" w:space="0" w:color="auto"/>
              <w:right w:val="single" w:sz="4" w:space="0" w:color="auto"/>
            </w:tcBorders>
            <w:shd w:val="clear" w:color="auto" w:fill="auto"/>
            <w:noWrap/>
            <w:vAlign w:val="bottom"/>
            <w:hideMark/>
          </w:tcPr>
          <w:p w:rsidR="00A25DE4" w:rsidRPr="00A25DE4" w:rsidRDefault="00A25DE4" w:rsidP="00A25DE4">
            <w:pPr>
              <w:spacing w:after="0" w:line="240" w:lineRule="auto"/>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 Repudiation</w:t>
            </w:r>
            <w:r w:rsidR="002E43C0">
              <w:rPr>
                <w:rFonts w:ascii="Calibri" w:eastAsia="Times New Roman" w:hAnsi="Calibri" w:cs="Calibri"/>
                <w:color w:val="000000"/>
                <w:szCs w:val="22"/>
                <w:lang w:eastAsia="en-IN"/>
              </w:rPr>
              <w:t xml:space="preserve"> (Amount)</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8.90%</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9.12%</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9.20%</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9.34%</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8.61%</w:t>
            </w:r>
          </w:p>
        </w:tc>
      </w:tr>
      <w:tr w:rsidR="00A25DE4" w:rsidRPr="00A25DE4" w:rsidTr="00A25DE4">
        <w:trPr>
          <w:trHeight w:val="290"/>
        </w:trPr>
        <w:tc>
          <w:tcPr>
            <w:tcW w:w="1639" w:type="pct"/>
            <w:tcBorders>
              <w:top w:val="nil"/>
              <w:left w:val="single" w:sz="4" w:space="0" w:color="auto"/>
              <w:bottom w:val="single" w:sz="4" w:space="0" w:color="auto"/>
              <w:right w:val="single" w:sz="4" w:space="0" w:color="auto"/>
            </w:tcBorders>
            <w:shd w:val="clear" w:color="auto" w:fill="auto"/>
            <w:noWrap/>
            <w:vAlign w:val="bottom"/>
            <w:hideMark/>
          </w:tcPr>
          <w:p w:rsidR="00A25DE4" w:rsidRPr="00A25DE4" w:rsidRDefault="005E6C93" w:rsidP="00A25DE4">
            <w:pPr>
              <w:spacing w:after="0" w:line="240" w:lineRule="auto"/>
              <w:rPr>
                <w:rFonts w:ascii="Calibri" w:eastAsia="Times New Roman" w:hAnsi="Calibri" w:cs="Calibri"/>
                <w:color w:val="000000"/>
                <w:szCs w:val="22"/>
                <w:lang w:eastAsia="en-IN"/>
              </w:rPr>
            </w:pPr>
            <w:r>
              <w:rPr>
                <w:rFonts w:ascii="Calibri" w:eastAsia="Times New Roman" w:hAnsi="Calibri" w:cs="Calibri"/>
                <w:color w:val="000000"/>
                <w:szCs w:val="22"/>
                <w:lang w:eastAsia="en-IN"/>
              </w:rPr>
              <w:t>% Disallowance Ratio</w:t>
            </w:r>
            <w:r w:rsidR="002E43C0">
              <w:rPr>
                <w:rFonts w:ascii="Calibri" w:eastAsia="Times New Roman" w:hAnsi="Calibri" w:cs="Calibri"/>
                <w:color w:val="000000"/>
                <w:szCs w:val="22"/>
                <w:lang w:eastAsia="en-IN"/>
              </w:rPr>
              <w:t xml:space="preserve"> (Amount)</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14.16%</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15.03%</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12.88%</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12.89%</w:t>
            </w:r>
          </w:p>
        </w:tc>
        <w:tc>
          <w:tcPr>
            <w:tcW w:w="672" w:type="pct"/>
            <w:tcBorders>
              <w:top w:val="nil"/>
              <w:left w:val="nil"/>
              <w:bottom w:val="single" w:sz="4" w:space="0" w:color="auto"/>
              <w:right w:val="single" w:sz="4" w:space="0" w:color="auto"/>
            </w:tcBorders>
            <w:shd w:val="clear" w:color="auto" w:fill="auto"/>
            <w:noWrap/>
            <w:vAlign w:val="center"/>
            <w:hideMark/>
          </w:tcPr>
          <w:p w:rsidR="00A25DE4" w:rsidRPr="00A25DE4" w:rsidRDefault="00A25DE4" w:rsidP="00A25DE4">
            <w:pPr>
              <w:spacing w:after="0" w:line="240" w:lineRule="auto"/>
              <w:jc w:val="center"/>
              <w:rPr>
                <w:rFonts w:ascii="Calibri" w:eastAsia="Times New Roman" w:hAnsi="Calibri" w:cs="Calibri"/>
                <w:color w:val="000000"/>
                <w:szCs w:val="22"/>
                <w:lang w:eastAsia="en-IN"/>
              </w:rPr>
            </w:pPr>
            <w:r w:rsidRPr="00A25DE4">
              <w:rPr>
                <w:rFonts w:ascii="Calibri" w:eastAsia="Times New Roman" w:hAnsi="Calibri" w:cs="Calibri"/>
                <w:color w:val="000000"/>
                <w:szCs w:val="22"/>
                <w:lang w:eastAsia="en-IN"/>
              </w:rPr>
              <w:t>13.98%</w:t>
            </w:r>
          </w:p>
        </w:tc>
      </w:tr>
    </w:tbl>
    <w:p w:rsidR="00666AAB" w:rsidRPr="00666AAB" w:rsidRDefault="00666AAB" w:rsidP="00666AAB">
      <w:pPr>
        <w:spacing w:after="0" w:line="240" w:lineRule="auto"/>
        <w:jc w:val="both"/>
        <w:rPr>
          <w:rFonts w:ascii="Arial" w:eastAsia="Times New Roman" w:hAnsi="Arial" w:cs="Arial"/>
          <w:sz w:val="24"/>
          <w:szCs w:val="24"/>
        </w:rPr>
      </w:pPr>
    </w:p>
    <w:p w:rsidR="00666AAB" w:rsidRPr="00185839" w:rsidRDefault="00185839" w:rsidP="00185839">
      <w:pPr>
        <w:numPr>
          <w:ilvl w:val="0"/>
          <w:numId w:val="10"/>
        </w:numPr>
        <w:spacing w:after="0" w:line="240" w:lineRule="auto"/>
        <w:ind w:left="284" w:hanging="284"/>
        <w:contextualSpacing/>
        <w:jc w:val="both"/>
        <w:rPr>
          <w:rFonts w:ascii="Arial" w:eastAsiaTheme="minorEastAsia" w:hAnsi="Arial" w:cs="Arial"/>
          <w:sz w:val="24"/>
          <w:szCs w:val="24"/>
          <w:lang w:bidi="ar-SA"/>
        </w:rPr>
      </w:pPr>
      <w:r w:rsidRPr="00185839">
        <w:rPr>
          <w:rFonts w:ascii="Arial" w:eastAsiaTheme="minorEastAsia" w:hAnsi="Arial" w:cs="Arial"/>
          <w:sz w:val="24"/>
          <w:szCs w:val="24"/>
          <w:lang w:bidi="ar-SA"/>
        </w:rPr>
        <w:t>Further, insurer-wise and year-wise data on claim rejections for the last five years, as well as insurer-wise and year-wise data on complaints and reason-wise claims repudiation complaints at an aggregate level for the same period, are also provided in the note for PAD.</w:t>
      </w:r>
    </w:p>
    <w:p w:rsidR="00185839" w:rsidRPr="00666AAB" w:rsidRDefault="00185839" w:rsidP="00666AAB">
      <w:pPr>
        <w:spacing w:after="0" w:line="240" w:lineRule="auto"/>
        <w:jc w:val="both"/>
        <w:rPr>
          <w:rFonts w:ascii="Arial" w:eastAsiaTheme="minorEastAsia" w:hAnsi="Arial" w:cs="Arial"/>
          <w:sz w:val="24"/>
          <w:szCs w:val="24"/>
          <w:lang w:bidi="ar-SA"/>
        </w:rPr>
      </w:pPr>
    </w:p>
    <w:p w:rsidR="00666AAB" w:rsidRPr="00666AAB" w:rsidRDefault="00666AAB" w:rsidP="00666AAB">
      <w:pPr>
        <w:numPr>
          <w:ilvl w:val="0"/>
          <w:numId w:val="1"/>
        </w:numPr>
        <w:spacing w:after="0" w:line="240" w:lineRule="auto"/>
        <w:contextualSpacing/>
        <w:jc w:val="both"/>
        <w:rPr>
          <w:rFonts w:ascii="Arial" w:eastAsiaTheme="minorEastAsia" w:hAnsi="Arial" w:cs="Arial"/>
          <w:b/>
          <w:bCs/>
          <w:sz w:val="24"/>
          <w:szCs w:val="24"/>
          <w:lang w:bidi="ar-SA"/>
        </w:rPr>
      </w:pPr>
      <w:r w:rsidRPr="00666AAB">
        <w:rPr>
          <w:rFonts w:ascii="Arial" w:eastAsiaTheme="minorEastAsia" w:hAnsi="Arial" w:cs="Arial"/>
          <w:b/>
          <w:bCs/>
          <w:sz w:val="24"/>
          <w:szCs w:val="24"/>
          <w:lang w:bidi="ar-SA"/>
        </w:rPr>
        <w:t>The guidelines issued by IRDAI for transparent and time-bound claim settlement, requirement of medical audit before rejection, grievance redressal mechanisms, and regulatory action taken against insurers for violations; and</w:t>
      </w:r>
    </w:p>
    <w:p w:rsidR="00666AAB" w:rsidRPr="00666AAB" w:rsidRDefault="00666AAB" w:rsidP="00666AAB">
      <w:pPr>
        <w:spacing w:after="0" w:line="240" w:lineRule="auto"/>
        <w:jc w:val="both"/>
        <w:rPr>
          <w:rFonts w:ascii="Arial" w:eastAsiaTheme="minorEastAsia" w:hAnsi="Arial" w:cs="Arial"/>
          <w:sz w:val="24"/>
          <w:szCs w:val="24"/>
        </w:rPr>
      </w:pPr>
    </w:p>
    <w:p w:rsidR="00666AAB" w:rsidRPr="00666AAB" w:rsidRDefault="00666AAB" w:rsidP="00666AAB">
      <w:pPr>
        <w:spacing w:after="0" w:line="240" w:lineRule="auto"/>
        <w:jc w:val="both"/>
        <w:rPr>
          <w:rFonts w:ascii="Arial" w:eastAsiaTheme="minorEastAsia" w:hAnsi="Arial" w:cs="Arial"/>
          <w:b/>
          <w:bCs/>
          <w:sz w:val="24"/>
          <w:szCs w:val="24"/>
        </w:rPr>
      </w:pPr>
      <w:r w:rsidRPr="00666AAB">
        <w:rPr>
          <w:rFonts w:ascii="Arial" w:eastAsiaTheme="minorEastAsia" w:hAnsi="Arial" w:cs="Arial"/>
          <w:b/>
          <w:bCs/>
          <w:sz w:val="24"/>
          <w:szCs w:val="24"/>
        </w:rPr>
        <w:t xml:space="preserve">Reply; </w:t>
      </w:r>
    </w:p>
    <w:p w:rsidR="00666AAB" w:rsidRPr="00666AAB" w:rsidRDefault="00666AAB" w:rsidP="00666AAB">
      <w:pPr>
        <w:spacing w:after="0" w:line="240" w:lineRule="auto"/>
        <w:jc w:val="both"/>
        <w:rPr>
          <w:rFonts w:ascii="Arial" w:eastAsiaTheme="minorEastAsia" w:hAnsi="Arial" w:cs="Arial"/>
          <w:sz w:val="24"/>
          <w:szCs w:val="24"/>
        </w:rPr>
      </w:pPr>
    </w:p>
    <w:p w:rsidR="00666AAB" w:rsidRPr="00666AAB" w:rsidRDefault="00666AAB" w:rsidP="00666AAB">
      <w:pPr>
        <w:numPr>
          <w:ilvl w:val="0"/>
          <w:numId w:val="2"/>
        </w:numPr>
        <w:spacing w:before="100" w:beforeAutospacing="1" w:after="100" w:afterAutospacing="1" w:line="276" w:lineRule="auto"/>
        <w:ind w:left="709"/>
        <w:jc w:val="both"/>
        <w:rPr>
          <w:rFonts w:ascii="Arial" w:eastAsia="Times New Roman" w:hAnsi="Arial" w:cs="Arial"/>
          <w:sz w:val="24"/>
          <w:szCs w:val="24"/>
          <w:lang w:eastAsia="en-IN"/>
        </w:rPr>
      </w:pPr>
      <w:r w:rsidRPr="00666AAB">
        <w:rPr>
          <w:rFonts w:ascii="Arial" w:eastAsia="Times New Roman" w:hAnsi="Arial" w:cs="Arial"/>
          <w:sz w:val="24"/>
          <w:szCs w:val="24"/>
          <w:lang w:eastAsia="en-IN"/>
        </w:rPr>
        <w:t xml:space="preserve">In </w:t>
      </w:r>
      <w:r w:rsidRPr="00666AAB">
        <w:rPr>
          <w:rFonts w:ascii="Arial" w:eastAsiaTheme="minorEastAsia" w:hAnsi="Arial" w:cs="Arial"/>
          <w:sz w:val="24"/>
          <w:szCs w:val="24"/>
          <w:lang w:bidi="ar-SA"/>
        </w:rPr>
        <w:t>order</w:t>
      </w:r>
      <w:r w:rsidRPr="00666AAB">
        <w:rPr>
          <w:rFonts w:ascii="Arial" w:eastAsia="Times New Roman" w:hAnsi="Arial" w:cs="Arial"/>
          <w:sz w:val="24"/>
          <w:szCs w:val="24"/>
          <w:lang w:eastAsia="en-IN"/>
        </w:rPr>
        <w:t xml:space="preserve"> to ensure timely settlement of claims, the IRDAI vide Clause 15 and 16 of the Master Circular on Health Insurance Business, Ref: IRDAI /HLT/ CIR /PRO/84/5/2024, dated 29.05.2024, has specified the following norms for insurers. </w:t>
      </w:r>
    </w:p>
    <w:p w:rsidR="00666AAB" w:rsidRPr="00666AAB" w:rsidRDefault="00666AAB" w:rsidP="00666AAB">
      <w:pPr>
        <w:spacing w:after="0" w:line="276" w:lineRule="auto"/>
        <w:jc w:val="both"/>
        <w:rPr>
          <w:rFonts w:ascii="Arial" w:eastAsia="Times New Roman" w:hAnsi="Arial" w:cs="Arial"/>
          <w:sz w:val="24"/>
          <w:szCs w:val="24"/>
          <w:lang w:bidi="ar-SA"/>
        </w:rPr>
      </w:pPr>
    </w:p>
    <w:p w:rsidR="00666AAB" w:rsidRPr="00666AAB" w:rsidRDefault="00666AAB" w:rsidP="00666AAB">
      <w:pPr>
        <w:spacing w:line="276" w:lineRule="auto"/>
        <w:ind w:left="709"/>
        <w:rPr>
          <w:rFonts w:ascii="Arial" w:eastAsia="Times New Roman" w:hAnsi="Arial" w:cs="Arial"/>
          <w:i/>
          <w:iCs/>
          <w:sz w:val="24"/>
          <w:szCs w:val="24"/>
          <w:u w:val="single"/>
        </w:rPr>
      </w:pPr>
      <w:r w:rsidRPr="00666AAB">
        <w:rPr>
          <w:rFonts w:ascii="Arial" w:eastAsia="Times New Roman" w:hAnsi="Arial" w:cs="Arial"/>
          <w:i/>
          <w:iCs/>
          <w:sz w:val="24"/>
          <w:szCs w:val="24"/>
          <w:u w:val="single"/>
        </w:rPr>
        <w:t>Clause 15: Approval for Cashless facility:</w:t>
      </w:r>
    </w:p>
    <w:p w:rsidR="00666AAB" w:rsidRPr="00666AAB" w:rsidRDefault="00666AAB" w:rsidP="00666AAB">
      <w:pPr>
        <w:numPr>
          <w:ilvl w:val="0"/>
          <w:numId w:val="4"/>
        </w:numPr>
        <w:spacing w:after="200" w:line="276" w:lineRule="auto"/>
        <w:ind w:left="993" w:hanging="11"/>
        <w:contextualSpacing/>
        <w:jc w:val="both"/>
        <w:rPr>
          <w:rFonts w:ascii="Arial" w:eastAsia="Times New Roman" w:hAnsi="Arial" w:cs="Arial"/>
          <w:i/>
          <w:iCs/>
          <w:sz w:val="24"/>
          <w:szCs w:val="24"/>
          <w:lang w:bidi="ar-SA"/>
        </w:rPr>
      </w:pPr>
      <w:r w:rsidRPr="00666AAB">
        <w:rPr>
          <w:rFonts w:ascii="Arial" w:eastAsia="Times New Roman" w:hAnsi="Arial" w:cs="Arial"/>
          <w:i/>
          <w:iCs/>
          <w:sz w:val="24"/>
          <w:szCs w:val="24"/>
          <w:lang w:bidi="ar-SA"/>
        </w:rPr>
        <w:t>Every insurer shall strive to achieve 100% cashless claim settlement in a time bound manner. The insurers shall endeavour to ensure that the instances of claims being settled through reimbursement are at bare minimum and only in exceptional circumstances.</w:t>
      </w:r>
    </w:p>
    <w:p w:rsidR="00666AAB" w:rsidRPr="00666AAB" w:rsidRDefault="00666AAB" w:rsidP="00666AAB">
      <w:pPr>
        <w:numPr>
          <w:ilvl w:val="0"/>
          <w:numId w:val="4"/>
        </w:numPr>
        <w:spacing w:after="200" w:line="276" w:lineRule="auto"/>
        <w:ind w:left="993" w:hanging="11"/>
        <w:contextualSpacing/>
        <w:jc w:val="both"/>
        <w:rPr>
          <w:rFonts w:ascii="Arial" w:eastAsia="Times New Roman" w:hAnsi="Arial" w:cs="Arial"/>
          <w:i/>
          <w:iCs/>
          <w:sz w:val="24"/>
          <w:szCs w:val="24"/>
          <w:lang w:bidi="ar-SA"/>
        </w:rPr>
      </w:pPr>
      <w:r w:rsidRPr="00666AAB">
        <w:rPr>
          <w:rFonts w:ascii="Arial" w:eastAsia="Times New Roman" w:hAnsi="Arial" w:cs="Arial"/>
          <w:i/>
          <w:iCs/>
          <w:sz w:val="24"/>
          <w:szCs w:val="24"/>
          <w:lang w:bidi="ar-SA"/>
        </w:rPr>
        <w:lastRenderedPageBreak/>
        <w:t xml:space="preserve">Insurer shall decide on the request for cashless authorization immediately but not more than </w:t>
      </w:r>
      <w:r w:rsidRPr="00666AAB">
        <w:rPr>
          <w:rFonts w:ascii="Arial" w:eastAsia="Times New Roman" w:hAnsi="Arial" w:cs="Arial"/>
          <w:b/>
          <w:bCs/>
          <w:i/>
          <w:iCs/>
          <w:sz w:val="24"/>
          <w:szCs w:val="24"/>
          <w:lang w:bidi="ar-SA"/>
        </w:rPr>
        <w:t>one</w:t>
      </w:r>
      <w:r w:rsidRPr="00666AAB">
        <w:rPr>
          <w:rFonts w:ascii="Arial" w:eastAsia="Times New Roman" w:hAnsi="Arial" w:cs="Arial"/>
          <w:i/>
          <w:iCs/>
          <w:sz w:val="24"/>
          <w:szCs w:val="24"/>
          <w:lang w:bidi="ar-SA"/>
        </w:rPr>
        <w:t xml:space="preserve"> </w:t>
      </w:r>
      <w:r w:rsidRPr="00666AAB">
        <w:rPr>
          <w:rFonts w:ascii="Arial" w:eastAsia="Times New Roman" w:hAnsi="Arial" w:cs="Arial"/>
          <w:b/>
          <w:bCs/>
          <w:i/>
          <w:iCs/>
          <w:sz w:val="24"/>
          <w:szCs w:val="24"/>
          <w:lang w:bidi="ar-SA"/>
        </w:rPr>
        <w:t>hour</w:t>
      </w:r>
      <w:r w:rsidRPr="00666AAB">
        <w:rPr>
          <w:rFonts w:ascii="Arial" w:eastAsia="Times New Roman" w:hAnsi="Arial" w:cs="Arial"/>
          <w:i/>
          <w:iCs/>
          <w:sz w:val="24"/>
          <w:szCs w:val="24"/>
          <w:lang w:bidi="ar-SA"/>
        </w:rPr>
        <w:t xml:space="preserve"> of receipt of request.  Necessary systems and procedures shall be put in place by the Insurer immediately and not later than 31</w:t>
      </w:r>
      <w:r w:rsidRPr="00666AAB">
        <w:rPr>
          <w:rFonts w:ascii="Arial" w:eastAsia="Times New Roman" w:hAnsi="Arial" w:cs="Arial"/>
          <w:i/>
          <w:iCs/>
          <w:sz w:val="24"/>
          <w:szCs w:val="24"/>
          <w:vertAlign w:val="superscript"/>
          <w:lang w:bidi="ar-SA"/>
        </w:rPr>
        <w:t>st</w:t>
      </w:r>
      <w:r w:rsidRPr="00666AAB">
        <w:rPr>
          <w:rFonts w:ascii="Arial" w:eastAsia="Times New Roman" w:hAnsi="Arial" w:cs="Arial"/>
          <w:i/>
          <w:iCs/>
          <w:sz w:val="24"/>
          <w:szCs w:val="24"/>
          <w:lang w:bidi="ar-SA"/>
        </w:rPr>
        <w:t xml:space="preserve"> July, 2024.</w:t>
      </w:r>
    </w:p>
    <w:p w:rsidR="00666AAB" w:rsidRPr="00666AAB" w:rsidRDefault="00666AAB" w:rsidP="00666AAB">
      <w:pPr>
        <w:numPr>
          <w:ilvl w:val="0"/>
          <w:numId w:val="4"/>
        </w:numPr>
        <w:spacing w:after="200" w:line="276" w:lineRule="auto"/>
        <w:ind w:left="993" w:hanging="11"/>
        <w:contextualSpacing/>
        <w:jc w:val="both"/>
        <w:rPr>
          <w:rFonts w:ascii="Arial" w:eastAsia="Times New Roman" w:hAnsi="Arial" w:cs="Arial"/>
          <w:i/>
          <w:iCs/>
          <w:sz w:val="24"/>
          <w:szCs w:val="24"/>
          <w:lang w:bidi="ar-SA"/>
        </w:rPr>
      </w:pPr>
      <w:r w:rsidRPr="00666AAB">
        <w:rPr>
          <w:rFonts w:ascii="Arial" w:eastAsia="Times New Roman" w:hAnsi="Arial" w:cs="Arial"/>
          <w:i/>
          <w:iCs/>
          <w:sz w:val="24"/>
          <w:szCs w:val="24"/>
          <w:lang w:bidi="ar-SA"/>
        </w:rPr>
        <w:t xml:space="preserve">Insurers may arrange for dedicated Help Desks in physical mode at the hospital to deal and assist with the cashless requests. </w:t>
      </w:r>
    </w:p>
    <w:p w:rsidR="00666AAB" w:rsidRPr="00666AAB" w:rsidRDefault="00666AAB" w:rsidP="00666AAB">
      <w:pPr>
        <w:numPr>
          <w:ilvl w:val="0"/>
          <w:numId w:val="4"/>
        </w:numPr>
        <w:spacing w:after="200" w:line="276" w:lineRule="auto"/>
        <w:ind w:left="993" w:hanging="11"/>
        <w:contextualSpacing/>
        <w:jc w:val="both"/>
        <w:rPr>
          <w:rFonts w:ascii="Arial" w:eastAsiaTheme="majorEastAsia" w:hAnsi="Arial" w:cs="Arial"/>
          <w:i/>
          <w:iCs/>
          <w:sz w:val="24"/>
          <w:szCs w:val="24"/>
          <w:lang w:bidi="ar-SA"/>
        </w:rPr>
      </w:pPr>
      <w:r w:rsidRPr="00666AAB">
        <w:rPr>
          <w:rFonts w:ascii="Arial" w:eastAsia="Times New Roman" w:hAnsi="Arial" w:cs="Arial"/>
          <w:i/>
          <w:iCs/>
          <w:sz w:val="24"/>
          <w:szCs w:val="24"/>
          <w:lang w:bidi="ar-SA"/>
        </w:rPr>
        <w:t>Insurers shall also provide pre-authorization to the policyholder through Digital mode.</w:t>
      </w:r>
    </w:p>
    <w:p w:rsidR="00666AAB" w:rsidRPr="00666AAB" w:rsidRDefault="00666AAB" w:rsidP="00666AAB">
      <w:pPr>
        <w:spacing w:line="276" w:lineRule="auto"/>
        <w:ind w:left="709"/>
        <w:rPr>
          <w:rFonts w:ascii="Arial" w:eastAsia="Times New Roman" w:hAnsi="Arial" w:cs="Arial"/>
          <w:i/>
          <w:iCs/>
          <w:sz w:val="24"/>
          <w:szCs w:val="24"/>
          <w:u w:val="single"/>
        </w:rPr>
      </w:pPr>
      <w:r w:rsidRPr="00666AAB">
        <w:rPr>
          <w:rFonts w:ascii="Arial" w:eastAsia="Times New Roman" w:hAnsi="Arial" w:cs="Arial"/>
          <w:i/>
          <w:iCs/>
          <w:sz w:val="24"/>
          <w:szCs w:val="24"/>
          <w:u w:val="single"/>
        </w:rPr>
        <w:t xml:space="preserve">Clause 16: Final authorization for Discharge from the hospital: </w:t>
      </w:r>
    </w:p>
    <w:p w:rsidR="00666AAB" w:rsidRPr="00666AAB" w:rsidRDefault="00666AAB" w:rsidP="00666AAB">
      <w:pPr>
        <w:numPr>
          <w:ilvl w:val="0"/>
          <w:numId w:val="6"/>
        </w:numPr>
        <w:spacing w:after="200" w:line="276" w:lineRule="auto"/>
        <w:contextualSpacing/>
        <w:jc w:val="both"/>
        <w:rPr>
          <w:rFonts w:ascii="Arial" w:eastAsia="Times New Roman" w:hAnsi="Arial" w:cs="Arial"/>
          <w:i/>
          <w:iCs/>
          <w:sz w:val="24"/>
          <w:szCs w:val="24"/>
          <w:lang w:bidi="ar-SA"/>
        </w:rPr>
      </w:pPr>
      <w:r w:rsidRPr="00666AAB">
        <w:rPr>
          <w:rFonts w:ascii="Arial" w:eastAsia="Times New Roman" w:hAnsi="Arial" w:cs="Arial"/>
          <w:i/>
          <w:iCs/>
          <w:sz w:val="24"/>
          <w:szCs w:val="24"/>
          <w:lang w:bidi="ar-SA"/>
        </w:rPr>
        <w:t xml:space="preserve">Insurer shall grant final authorization within </w:t>
      </w:r>
      <w:r w:rsidRPr="00666AAB">
        <w:rPr>
          <w:rFonts w:ascii="Arial" w:eastAsia="Times New Roman" w:hAnsi="Arial" w:cs="Arial"/>
          <w:b/>
          <w:bCs/>
          <w:i/>
          <w:iCs/>
          <w:sz w:val="24"/>
          <w:szCs w:val="24"/>
          <w:lang w:bidi="ar-SA"/>
        </w:rPr>
        <w:t>three</w:t>
      </w:r>
      <w:r w:rsidRPr="00666AAB">
        <w:rPr>
          <w:rFonts w:ascii="Arial" w:eastAsia="Times New Roman" w:hAnsi="Arial" w:cs="Arial"/>
          <w:i/>
          <w:iCs/>
          <w:sz w:val="24"/>
          <w:szCs w:val="24"/>
          <w:lang w:bidi="ar-SA"/>
        </w:rPr>
        <w:t xml:space="preserve"> hours of the receipt of discharge authorization request from the hospital. In no case, the policyholder shall be made to wait to be discharged from the Hospital. </w:t>
      </w:r>
    </w:p>
    <w:p w:rsidR="00666AAB" w:rsidRPr="00666AAB" w:rsidRDefault="00666AAB" w:rsidP="00666AAB">
      <w:pPr>
        <w:numPr>
          <w:ilvl w:val="0"/>
          <w:numId w:val="6"/>
        </w:numPr>
        <w:spacing w:after="200" w:line="276" w:lineRule="auto"/>
        <w:contextualSpacing/>
        <w:jc w:val="both"/>
        <w:rPr>
          <w:rFonts w:ascii="Arial" w:eastAsia="Times New Roman" w:hAnsi="Arial" w:cs="Arial"/>
          <w:i/>
          <w:iCs/>
          <w:sz w:val="24"/>
          <w:szCs w:val="24"/>
          <w:lang w:bidi="ar-SA"/>
        </w:rPr>
      </w:pPr>
      <w:r w:rsidRPr="00666AAB">
        <w:rPr>
          <w:rFonts w:ascii="Arial" w:eastAsia="Times New Roman" w:hAnsi="Arial" w:cs="Arial"/>
          <w:i/>
          <w:iCs/>
          <w:sz w:val="24"/>
          <w:szCs w:val="24"/>
          <w:lang w:bidi="ar-SA"/>
        </w:rPr>
        <w:t>If there is any delay beyond three hours, the additional amount if any charged by the hospital shall be borne by the insurer from shareholder’s fund.</w:t>
      </w:r>
    </w:p>
    <w:p w:rsidR="00666AAB" w:rsidRPr="00666AAB" w:rsidRDefault="00666AAB" w:rsidP="00666AAB">
      <w:pPr>
        <w:numPr>
          <w:ilvl w:val="0"/>
          <w:numId w:val="6"/>
        </w:numPr>
        <w:spacing w:after="200" w:line="276" w:lineRule="auto"/>
        <w:contextualSpacing/>
        <w:jc w:val="both"/>
        <w:rPr>
          <w:rFonts w:ascii="Arial" w:eastAsia="Times New Roman" w:hAnsi="Arial" w:cs="Arial"/>
          <w:i/>
          <w:iCs/>
          <w:sz w:val="24"/>
          <w:szCs w:val="24"/>
          <w:lang w:bidi="ar-SA"/>
        </w:rPr>
      </w:pPr>
      <w:r w:rsidRPr="00666AAB">
        <w:rPr>
          <w:rFonts w:ascii="Arial" w:eastAsia="Times New Roman" w:hAnsi="Arial" w:cs="Arial"/>
          <w:i/>
          <w:iCs/>
          <w:sz w:val="24"/>
          <w:szCs w:val="24"/>
          <w:lang w:bidi="ar-SA"/>
        </w:rPr>
        <w:t>In the event of the death of the policyholder during the treatment, the insurer shall:</w:t>
      </w:r>
    </w:p>
    <w:p w:rsidR="00666AAB" w:rsidRPr="00666AAB" w:rsidRDefault="00666AAB" w:rsidP="00666AAB">
      <w:pPr>
        <w:numPr>
          <w:ilvl w:val="0"/>
          <w:numId w:val="5"/>
        </w:numPr>
        <w:spacing w:after="200" w:line="276" w:lineRule="auto"/>
        <w:ind w:left="1560" w:hanging="284"/>
        <w:contextualSpacing/>
        <w:jc w:val="both"/>
        <w:rPr>
          <w:rFonts w:ascii="Arial" w:eastAsia="Times New Roman" w:hAnsi="Arial" w:cs="Arial"/>
          <w:i/>
          <w:iCs/>
          <w:sz w:val="24"/>
          <w:szCs w:val="24"/>
          <w:lang w:bidi="ar-SA"/>
        </w:rPr>
      </w:pPr>
      <w:r w:rsidRPr="00666AAB">
        <w:rPr>
          <w:rFonts w:ascii="Arial" w:eastAsia="Times New Roman" w:hAnsi="Arial" w:cs="Arial"/>
          <w:i/>
          <w:iCs/>
          <w:sz w:val="24"/>
          <w:szCs w:val="24"/>
          <w:lang w:bidi="ar-SA"/>
        </w:rPr>
        <w:t xml:space="preserve">immediately process the request for claim settlement.  </w:t>
      </w:r>
    </w:p>
    <w:p w:rsidR="00666AAB" w:rsidRPr="00666AAB" w:rsidRDefault="00666AAB" w:rsidP="00666AAB">
      <w:pPr>
        <w:numPr>
          <w:ilvl w:val="0"/>
          <w:numId w:val="5"/>
        </w:numPr>
        <w:spacing w:after="200" w:line="276" w:lineRule="auto"/>
        <w:ind w:left="1560" w:hanging="284"/>
        <w:contextualSpacing/>
        <w:jc w:val="both"/>
        <w:rPr>
          <w:rFonts w:ascii="Arial" w:eastAsia="Times New Roman" w:hAnsi="Arial" w:cs="Arial"/>
          <w:i/>
          <w:iCs/>
          <w:sz w:val="24"/>
          <w:szCs w:val="24"/>
          <w:lang w:bidi="ar-SA"/>
        </w:rPr>
      </w:pPr>
      <w:r w:rsidRPr="00666AAB">
        <w:rPr>
          <w:rFonts w:ascii="Arial" w:eastAsia="Times New Roman" w:hAnsi="Arial" w:cs="Arial"/>
          <w:i/>
          <w:iCs/>
          <w:sz w:val="24"/>
          <w:szCs w:val="24"/>
          <w:lang w:bidi="ar-SA"/>
        </w:rPr>
        <w:t>get the mortal remains (dead body) released from the hospital immediately</w:t>
      </w:r>
    </w:p>
    <w:p w:rsidR="00666AAB" w:rsidRPr="00666AAB" w:rsidRDefault="00666AAB" w:rsidP="00666AAB">
      <w:pPr>
        <w:autoSpaceDE w:val="0"/>
        <w:autoSpaceDN w:val="0"/>
        <w:adjustRightInd w:val="0"/>
        <w:spacing w:line="276" w:lineRule="auto"/>
        <w:ind w:left="709"/>
        <w:jc w:val="both"/>
        <w:rPr>
          <w:rFonts w:ascii="Arial" w:eastAsia="Times New Roman" w:hAnsi="Arial" w:cs="Arial"/>
          <w:i/>
          <w:iCs/>
          <w:sz w:val="24"/>
          <w:szCs w:val="24"/>
        </w:rPr>
      </w:pPr>
      <w:r w:rsidRPr="00666AAB">
        <w:rPr>
          <w:rFonts w:ascii="Arial" w:eastAsia="Times New Roman" w:hAnsi="Arial" w:cs="Arial"/>
          <w:i/>
          <w:iCs/>
          <w:sz w:val="24"/>
          <w:szCs w:val="24"/>
        </w:rPr>
        <w:t xml:space="preserve">Reimbursement Claims: </w:t>
      </w:r>
      <w:r w:rsidRPr="00666AAB">
        <w:rPr>
          <w:rFonts w:ascii="Arial" w:eastAsia="Times New Roman" w:hAnsi="Arial" w:cs="Arial"/>
          <w:sz w:val="24"/>
          <w:szCs w:val="24"/>
        </w:rPr>
        <w:t>Vide point V(3)(iii) of Part B of Master Circular on Protection of policyholders’ interests dated 05.09.2024</w:t>
      </w:r>
      <w:r w:rsidRPr="00666AAB">
        <w:rPr>
          <w:rFonts w:ascii="Arial" w:eastAsia="Times New Roman" w:hAnsi="Arial" w:cs="Arial"/>
          <w:i/>
          <w:iCs/>
          <w:sz w:val="24"/>
          <w:szCs w:val="24"/>
        </w:rPr>
        <w:t>, claims (other than cashless) shall be settled within fifteen days from submission of claim. In case of delay the insurer shall pay interest @ 2 percent plus Bank Rate, suo-motu, calculated from date of receipt of intimation till the date of payment.</w:t>
      </w:r>
    </w:p>
    <w:p w:rsidR="00666AAB" w:rsidRPr="00666AAB" w:rsidRDefault="00666AAB" w:rsidP="00666AAB">
      <w:pPr>
        <w:numPr>
          <w:ilvl w:val="0"/>
          <w:numId w:val="2"/>
        </w:numPr>
        <w:spacing w:before="100" w:beforeAutospacing="1" w:after="100" w:afterAutospacing="1" w:line="276" w:lineRule="auto"/>
        <w:ind w:left="709"/>
        <w:jc w:val="both"/>
        <w:rPr>
          <w:rFonts w:ascii="Arial" w:eastAsia="Times New Roman" w:hAnsi="Arial" w:cs="Arial"/>
          <w:color w:val="333333"/>
          <w:sz w:val="24"/>
          <w:szCs w:val="24"/>
          <w:lang w:bidi="ar-SA"/>
        </w:rPr>
      </w:pPr>
      <w:r w:rsidRPr="00666AAB">
        <w:rPr>
          <w:rFonts w:ascii="Arial" w:eastAsia="Times New Roman" w:hAnsi="Arial" w:cs="Arial"/>
          <w:color w:val="333333"/>
          <w:sz w:val="24"/>
          <w:szCs w:val="24"/>
          <w:lang w:bidi="ar-SA"/>
        </w:rPr>
        <w:t>IRDAI has taken various measures to ensure efficient settlement of all legitimate health insurance claims. Some of the measures are as under:</w:t>
      </w:r>
    </w:p>
    <w:p w:rsidR="00666AAB" w:rsidRPr="00666AAB" w:rsidRDefault="00666AAB" w:rsidP="00666AAB">
      <w:pPr>
        <w:autoSpaceDE w:val="0"/>
        <w:autoSpaceDN w:val="0"/>
        <w:adjustRightInd w:val="0"/>
        <w:spacing w:after="200" w:line="276" w:lineRule="auto"/>
        <w:ind w:left="1080"/>
        <w:contextualSpacing/>
        <w:jc w:val="both"/>
        <w:rPr>
          <w:rFonts w:ascii="Arial" w:eastAsia="Times New Roman" w:hAnsi="Arial" w:cs="Arial"/>
          <w:color w:val="333333"/>
          <w:sz w:val="24"/>
          <w:szCs w:val="24"/>
          <w:lang w:bidi="ar-SA"/>
        </w:rPr>
      </w:pPr>
    </w:p>
    <w:p w:rsidR="00666AAB" w:rsidRPr="00666AAB" w:rsidRDefault="00666AAB" w:rsidP="00666AAB">
      <w:pPr>
        <w:numPr>
          <w:ilvl w:val="0"/>
          <w:numId w:val="7"/>
        </w:numPr>
        <w:tabs>
          <w:tab w:val="left" w:pos="1134"/>
        </w:tabs>
        <w:autoSpaceDE w:val="0"/>
        <w:autoSpaceDN w:val="0"/>
        <w:adjustRightInd w:val="0"/>
        <w:spacing w:after="200" w:line="276" w:lineRule="auto"/>
        <w:ind w:left="993" w:hanging="284"/>
        <w:contextualSpacing/>
        <w:jc w:val="both"/>
        <w:rPr>
          <w:rFonts w:ascii="Arial" w:eastAsia="Times New Roman" w:hAnsi="Arial" w:cs="Arial"/>
          <w:iCs/>
          <w:sz w:val="24"/>
          <w:szCs w:val="24"/>
          <w:lang w:bidi="ar-SA"/>
        </w:rPr>
      </w:pPr>
      <w:r w:rsidRPr="00666AAB">
        <w:rPr>
          <w:rFonts w:ascii="Arial" w:eastAsia="Times New Roman" w:hAnsi="Arial" w:cs="Arial"/>
          <w:color w:val="333333"/>
          <w:sz w:val="24"/>
          <w:szCs w:val="24"/>
          <w:lang w:bidi="ar-SA"/>
        </w:rPr>
        <w:t>No</w:t>
      </w:r>
      <w:r w:rsidRPr="00666AAB">
        <w:rPr>
          <w:rFonts w:ascii="Arial" w:eastAsiaTheme="majorEastAsia" w:hAnsi="Arial" w:cs="Arial"/>
          <w:sz w:val="24"/>
          <w:szCs w:val="24"/>
          <w:lang w:bidi="ar-SA"/>
        </w:rPr>
        <w:t xml:space="preserve"> claim shall </w:t>
      </w:r>
      <w:r w:rsidRPr="00666AAB">
        <w:rPr>
          <w:rFonts w:ascii="Arial" w:eastAsia="Times New Roman" w:hAnsi="Arial" w:cs="Arial"/>
          <w:color w:val="333333"/>
          <w:sz w:val="24"/>
          <w:szCs w:val="24"/>
          <w:lang w:bidi="ar-SA"/>
        </w:rPr>
        <w:t>be</w:t>
      </w:r>
      <w:r w:rsidRPr="00666AAB">
        <w:rPr>
          <w:rFonts w:ascii="Arial" w:eastAsiaTheme="majorEastAsia" w:hAnsi="Arial" w:cs="Arial"/>
          <w:sz w:val="24"/>
          <w:szCs w:val="24"/>
          <w:lang w:bidi="ar-SA"/>
        </w:rPr>
        <w:t xml:space="preserve"> repudiated without the approval of the Insurer’s </w:t>
      </w:r>
      <w:r w:rsidRPr="00666AAB">
        <w:rPr>
          <w:rFonts w:ascii="Arial" w:eastAsiaTheme="majorEastAsia" w:hAnsi="Arial" w:cs="Arial"/>
          <w:b/>
          <w:bCs/>
          <w:sz w:val="24"/>
          <w:szCs w:val="24"/>
          <w:lang w:bidi="ar-SA"/>
        </w:rPr>
        <w:t xml:space="preserve">Product Management Committee (PMC) </w:t>
      </w:r>
      <w:r w:rsidRPr="00666AAB">
        <w:rPr>
          <w:rFonts w:ascii="Arial" w:eastAsiaTheme="majorEastAsia" w:hAnsi="Arial" w:cs="Arial"/>
          <w:sz w:val="24"/>
          <w:szCs w:val="24"/>
          <w:lang w:bidi="ar-SA"/>
        </w:rPr>
        <w:t xml:space="preserve">or a three-member sub-group of PMC called the </w:t>
      </w:r>
      <w:r w:rsidRPr="00666AAB">
        <w:rPr>
          <w:rFonts w:ascii="Arial" w:eastAsiaTheme="majorEastAsia" w:hAnsi="Arial" w:cs="Arial"/>
          <w:b/>
          <w:bCs/>
          <w:sz w:val="24"/>
          <w:szCs w:val="24"/>
          <w:lang w:bidi="ar-SA"/>
        </w:rPr>
        <w:t>Claims Review Committee (CRC)</w:t>
      </w:r>
      <w:r w:rsidRPr="00666AAB">
        <w:rPr>
          <w:rFonts w:ascii="Arial" w:eastAsiaTheme="majorEastAsia" w:hAnsi="Arial" w:cs="Arial"/>
          <w:sz w:val="24"/>
          <w:szCs w:val="24"/>
          <w:lang w:bidi="ar-SA"/>
        </w:rPr>
        <w:t>.</w:t>
      </w:r>
    </w:p>
    <w:p w:rsidR="00666AAB" w:rsidRPr="00666AAB" w:rsidRDefault="00666AAB" w:rsidP="00666AAB">
      <w:pPr>
        <w:tabs>
          <w:tab w:val="left" w:pos="1134"/>
        </w:tabs>
        <w:autoSpaceDE w:val="0"/>
        <w:autoSpaceDN w:val="0"/>
        <w:adjustRightInd w:val="0"/>
        <w:spacing w:after="200" w:line="276" w:lineRule="auto"/>
        <w:ind w:left="993"/>
        <w:contextualSpacing/>
        <w:jc w:val="both"/>
        <w:rPr>
          <w:rFonts w:ascii="Arial" w:eastAsia="Times New Roman" w:hAnsi="Arial" w:cs="Arial"/>
          <w:iCs/>
          <w:sz w:val="24"/>
          <w:szCs w:val="24"/>
          <w:lang w:bidi="ar-SA"/>
        </w:rPr>
      </w:pPr>
    </w:p>
    <w:p w:rsidR="00666AAB" w:rsidRPr="00666AAB" w:rsidRDefault="00666AAB" w:rsidP="00666AAB">
      <w:pPr>
        <w:numPr>
          <w:ilvl w:val="0"/>
          <w:numId w:val="7"/>
        </w:numPr>
        <w:tabs>
          <w:tab w:val="left" w:pos="1134"/>
        </w:tabs>
        <w:autoSpaceDE w:val="0"/>
        <w:autoSpaceDN w:val="0"/>
        <w:adjustRightInd w:val="0"/>
        <w:spacing w:after="200" w:line="276" w:lineRule="auto"/>
        <w:ind w:left="993" w:hanging="284"/>
        <w:contextualSpacing/>
        <w:jc w:val="both"/>
        <w:rPr>
          <w:rFonts w:ascii="Arial" w:eastAsia="Times New Roman" w:hAnsi="Arial" w:cs="Arial"/>
          <w:sz w:val="24"/>
          <w:szCs w:val="24"/>
          <w:lang w:bidi="ar-SA"/>
        </w:rPr>
      </w:pPr>
      <w:r w:rsidRPr="00666AAB">
        <w:rPr>
          <w:rFonts w:ascii="Arial" w:eastAsia="Times New Roman" w:hAnsi="Arial" w:cs="Arial"/>
          <w:color w:val="333333"/>
          <w:sz w:val="24"/>
          <w:szCs w:val="24"/>
          <w:lang w:bidi="ar-SA"/>
        </w:rPr>
        <w:t>In case, the claim is repudiated or rejected or disallowed partially, details shall be communicated to the claimant along with full details giving reference to the specific terms and conditions of the policy document. If a customer is not satisfied with decision of the insurer on the claim, he/she may lodge a complaint with grievance redressal officer of insurer. The insurer shall acknowledge the complaint and provide resolution within 14 days of receipt. The insurer shall also provide reasons for rejecting a complaint drawing reference to the specific terms and conditions of the policy. If the complaint is not satisfied with the resolution so provided by the insurer he/she may</w:t>
      </w:r>
      <w:r w:rsidRPr="00666AAB">
        <w:rPr>
          <w:rFonts w:ascii="Arial" w:eastAsia="Times New Roman" w:hAnsi="Arial" w:cs="Arial"/>
          <w:sz w:val="24"/>
          <w:szCs w:val="24"/>
          <w:lang w:bidi="ar-SA"/>
        </w:rPr>
        <w:t xml:space="preserve"> </w:t>
      </w:r>
      <w:r w:rsidRPr="00666AAB">
        <w:rPr>
          <w:rFonts w:ascii="Arial" w:eastAsia="Times New Roman" w:hAnsi="Arial" w:cs="Arial"/>
          <w:sz w:val="24"/>
          <w:szCs w:val="24"/>
          <w:lang w:bidi="ar-SA"/>
        </w:rPr>
        <w:lastRenderedPageBreak/>
        <w:t xml:space="preserve">approach insurance ombudsman who may conduct hearing and adjudicate the matter by passing an award. </w:t>
      </w:r>
    </w:p>
    <w:p w:rsidR="00666AAB" w:rsidRPr="00666AAB" w:rsidRDefault="00666AAB" w:rsidP="00666AAB">
      <w:pPr>
        <w:spacing w:after="200" w:line="276" w:lineRule="auto"/>
        <w:ind w:left="720"/>
        <w:contextualSpacing/>
        <w:rPr>
          <w:rFonts w:ascii="Arial" w:eastAsia="Times New Roman" w:hAnsi="Arial" w:cs="Arial"/>
          <w:sz w:val="24"/>
          <w:szCs w:val="24"/>
          <w:lang w:bidi="ar-SA"/>
        </w:rPr>
      </w:pPr>
    </w:p>
    <w:p w:rsidR="00666AAB" w:rsidRPr="00666AAB" w:rsidRDefault="00666AAB" w:rsidP="00666AAB">
      <w:pPr>
        <w:numPr>
          <w:ilvl w:val="0"/>
          <w:numId w:val="7"/>
        </w:numPr>
        <w:tabs>
          <w:tab w:val="left" w:pos="1134"/>
        </w:tabs>
        <w:autoSpaceDE w:val="0"/>
        <w:autoSpaceDN w:val="0"/>
        <w:adjustRightInd w:val="0"/>
        <w:spacing w:after="200" w:line="276" w:lineRule="auto"/>
        <w:ind w:left="993" w:hanging="284"/>
        <w:contextualSpacing/>
        <w:jc w:val="both"/>
        <w:rPr>
          <w:rFonts w:ascii="Arial" w:eastAsia="Times New Roman" w:hAnsi="Arial" w:cs="Arial"/>
          <w:sz w:val="24"/>
          <w:szCs w:val="24"/>
          <w:lang w:eastAsia="en-IN" w:bidi="ar-SA"/>
        </w:rPr>
      </w:pPr>
      <w:r w:rsidRPr="00666AAB">
        <w:rPr>
          <w:rFonts w:ascii="Arial" w:eastAsia="Times New Roman" w:hAnsi="Arial" w:cs="Arial"/>
          <w:sz w:val="24"/>
          <w:szCs w:val="24"/>
          <w:lang w:eastAsia="en-IN" w:bidi="ar-SA"/>
        </w:rPr>
        <w:t>If any claim is repudiated/rejected, it is imperative that there shall be a system in place to ensure timely and efficient resolution of grievances. The following measures are in place to ensure that the grievances are resolved with accountability in a time bound manner:</w:t>
      </w:r>
    </w:p>
    <w:p w:rsidR="00666AAB" w:rsidRPr="00666AAB" w:rsidRDefault="00666AAB" w:rsidP="00666AAB">
      <w:pPr>
        <w:tabs>
          <w:tab w:val="left" w:pos="1134"/>
        </w:tabs>
        <w:autoSpaceDE w:val="0"/>
        <w:autoSpaceDN w:val="0"/>
        <w:adjustRightInd w:val="0"/>
        <w:spacing w:after="200" w:line="276" w:lineRule="auto"/>
        <w:ind w:left="1418"/>
        <w:contextualSpacing/>
        <w:jc w:val="both"/>
        <w:rPr>
          <w:rFonts w:ascii="Arial" w:eastAsia="Times New Roman" w:hAnsi="Arial" w:cs="Arial"/>
          <w:sz w:val="24"/>
          <w:szCs w:val="24"/>
          <w:lang w:bidi="ar-SA"/>
        </w:rPr>
      </w:pPr>
    </w:p>
    <w:p w:rsidR="00666AAB" w:rsidRPr="00666AAB" w:rsidRDefault="00666AAB" w:rsidP="00666AAB">
      <w:pPr>
        <w:numPr>
          <w:ilvl w:val="0"/>
          <w:numId w:val="8"/>
        </w:numPr>
        <w:tabs>
          <w:tab w:val="left" w:pos="1134"/>
        </w:tabs>
        <w:autoSpaceDE w:val="0"/>
        <w:autoSpaceDN w:val="0"/>
        <w:adjustRightInd w:val="0"/>
        <w:ind w:left="1418"/>
        <w:contextualSpacing/>
        <w:jc w:val="both"/>
        <w:rPr>
          <w:rFonts w:ascii="Arial" w:eastAsia="Times New Roman" w:hAnsi="Arial" w:cs="Arial"/>
          <w:sz w:val="24"/>
          <w:szCs w:val="24"/>
          <w:lang w:bidi="ar-SA"/>
        </w:rPr>
      </w:pPr>
      <w:r w:rsidRPr="00666AAB">
        <w:rPr>
          <w:rFonts w:ascii="Arial" w:eastAsiaTheme="majorEastAsia" w:hAnsi="Arial" w:cs="Arial"/>
          <w:sz w:val="24"/>
          <w:szCs w:val="24"/>
          <w:lang w:bidi="ar-SA"/>
        </w:rPr>
        <w:t>Insurers to have in place, a Policyholders’ Protection, Grievance Redressal and Claims Monitoring Committee (PPGR&amp;CM) which shall establish suitable systems and processes towards protection of the interests of policyholders through efficient and effective grievance redressal mechanism, monitoring of claims settlement processes.</w:t>
      </w:r>
    </w:p>
    <w:p w:rsidR="00666AAB" w:rsidRPr="00666AAB" w:rsidRDefault="00666AAB" w:rsidP="00666AAB">
      <w:pPr>
        <w:spacing w:after="200" w:line="276" w:lineRule="auto"/>
        <w:ind w:left="1418"/>
        <w:contextualSpacing/>
        <w:rPr>
          <w:rFonts w:ascii="Arial" w:eastAsia="Times New Roman" w:hAnsi="Arial" w:cs="Arial"/>
          <w:sz w:val="24"/>
          <w:szCs w:val="24"/>
          <w:lang w:bidi="ar-SA"/>
        </w:rPr>
      </w:pPr>
    </w:p>
    <w:p w:rsidR="00666AAB" w:rsidRPr="00666AAB" w:rsidRDefault="00666AAB" w:rsidP="00666AAB">
      <w:pPr>
        <w:numPr>
          <w:ilvl w:val="0"/>
          <w:numId w:val="8"/>
        </w:numPr>
        <w:tabs>
          <w:tab w:val="left" w:pos="1134"/>
        </w:tabs>
        <w:autoSpaceDE w:val="0"/>
        <w:autoSpaceDN w:val="0"/>
        <w:adjustRightInd w:val="0"/>
        <w:ind w:left="1418"/>
        <w:contextualSpacing/>
        <w:jc w:val="both"/>
        <w:rPr>
          <w:rFonts w:ascii="Arial" w:eastAsia="Times New Roman" w:hAnsi="Arial" w:cs="Arial"/>
          <w:sz w:val="24"/>
          <w:szCs w:val="24"/>
          <w:lang w:bidi="ar-SA"/>
        </w:rPr>
      </w:pPr>
      <w:r w:rsidRPr="00666AAB">
        <w:rPr>
          <w:rFonts w:ascii="Arial" w:eastAsia="Times New Roman" w:hAnsi="Arial" w:cs="Arial"/>
          <w:sz w:val="24"/>
          <w:szCs w:val="24"/>
          <w:lang w:bidi="ar-SA"/>
        </w:rPr>
        <w:t>Constitution of Policy</w:t>
      </w:r>
      <w:r w:rsidRPr="00666AAB">
        <w:rPr>
          <w:rFonts w:ascii="Arial" w:eastAsia="Times New Roman" w:hAnsi="Arial" w:cs="Arial"/>
          <w:b/>
          <w:bCs/>
          <w:sz w:val="24"/>
          <w:szCs w:val="24"/>
          <w:lang w:bidi="ar-SA"/>
        </w:rPr>
        <w:t xml:space="preserve"> </w:t>
      </w:r>
      <w:r w:rsidRPr="00666AAB">
        <w:rPr>
          <w:rFonts w:ascii="Arial" w:eastAsia="Times New Roman" w:hAnsi="Arial" w:cs="Arial"/>
          <w:sz w:val="24"/>
          <w:szCs w:val="24"/>
          <w:lang w:bidi="ar-SA"/>
        </w:rPr>
        <w:t>Holder</w:t>
      </w:r>
      <w:r w:rsidRPr="00666AAB">
        <w:rPr>
          <w:rFonts w:ascii="Arial" w:eastAsia="Times New Roman" w:hAnsi="Arial" w:cs="Arial"/>
          <w:b/>
          <w:bCs/>
          <w:sz w:val="24"/>
          <w:szCs w:val="24"/>
          <w:lang w:bidi="ar-SA"/>
        </w:rPr>
        <w:t xml:space="preserve"> Protection Committee</w:t>
      </w:r>
      <w:r w:rsidRPr="00666AAB">
        <w:rPr>
          <w:rFonts w:ascii="Arial" w:eastAsia="Times New Roman" w:hAnsi="Arial" w:cs="Arial"/>
          <w:sz w:val="24"/>
          <w:szCs w:val="24"/>
          <w:lang w:bidi="ar-SA"/>
        </w:rPr>
        <w:t xml:space="preserve"> to review the Grievance Redressal mechanism;</w:t>
      </w:r>
    </w:p>
    <w:p w:rsidR="00666AAB" w:rsidRPr="00666AAB" w:rsidRDefault="00666AAB" w:rsidP="00666AAB">
      <w:pPr>
        <w:spacing w:after="200" w:line="276" w:lineRule="auto"/>
        <w:ind w:left="1418"/>
        <w:contextualSpacing/>
        <w:rPr>
          <w:rFonts w:ascii="Arial" w:eastAsia="Times New Roman" w:hAnsi="Arial" w:cs="Arial"/>
          <w:sz w:val="24"/>
          <w:szCs w:val="24"/>
          <w:lang w:bidi="ar-SA"/>
        </w:rPr>
      </w:pPr>
    </w:p>
    <w:p w:rsidR="00666AAB" w:rsidRPr="00666AAB" w:rsidRDefault="00666AAB" w:rsidP="00666AAB">
      <w:pPr>
        <w:numPr>
          <w:ilvl w:val="0"/>
          <w:numId w:val="8"/>
        </w:numPr>
        <w:tabs>
          <w:tab w:val="left" w:pos="1134"/>
        </w:tabs>
        <w:autoSpaceDE w:val="0"/>
        <w:autoSpaceDN w:val="0"/>
        <w:adjustRightInd w:val="0"/>
        <w:ind w:left="1418"/>
        <w:contextualSpacing/>
        <w:jc w:val="both"/>
        <w:rPr>
          <w:rFonts w:ascii="Arial" w:eastAsia="Times New Roman" w:hAnsi="Arial" w:cs="Arial"/>
          <w:sz w:val="24"/>
          <w:szCs w:val="24"/>
          <w:lang w:bidi="ar-SA"/>
        </w:rPr>
      </w:pPr>
      <w:r w:rsidRPr="00666AAB">
        <w:rPr>
          <w:rFonts w:ascii="Arial" w:eastAsia="Times New Roman" w:hAnsi="Arial" w:cs="Arial"/>
          <w:sz w:val="24"/>
          <w:szCs w:val="24"/>
          <w:lang w:bidi="ar-SA"/>
        </w:rPr>
        <w:t>Appointment</w:t>
      </w:r>
      <w:r w:rsidRPr="00666AAB">
        <w:rPr>
          <w:rFonts w:ascii="Arial" w:eastAsiaTheme="minorEastAsia" w:hAnsi="Arial" w:cs="Arial"/>
          <w:sz w:val="24"/>
          <w:szCs w:val="24"/>
          <w:lang w:eastAsia="en-IN" w:bidi="ar-SA"/>
        </w:rPr>
        <w:t xml:space="preserve"> of an officer designated as </w:t>
      </w:r>
      <w:r w:rsidRPr="00666AAB">
        <w:rPr>
          <w:rFonts w:ascii="Arial" w:eastAsiaTheme="minorEastAsia" w:hAnsi="Arial" w:cs="Arial"/>
          <w:b/>
          <w:bCs/>
          <w:sz w:val="24"/>
          <w:szCs w:val="24"/>
          <w:lang w:eastAsia="en-IN" w:bidi="ar-SA"/>
        </w:rPr>
        <w:t>Grievance Redressal Officer</w:t>
      </w:r>
      <w:r w:rsidRPr="00666AAB">
        <w:rPr>
          <w:rFonts w:ascii="Arial" w:eastAsiaTheme="minorEastAsia" w:hAnsi="Arial" w:cs="Arial"/>
          <w:sz w:val="24"/>
          <w:szCs w:val="24"/>
          <w:lang w:eastAsia="en-IN" w:bidi="ar-SA"/>
        </w:rPr>
        <w:t xml:space="preserve"> not only at the Head Office/Corporate office level but also at every other office;</w:t>
      </w:r>
    </w:p>
    <w:p w:rsidR="00666AAB" w:rsidRPr="00666AAB" w:rsidRDefault="00666AAB" w:rsidP="00666AAB">
      <w:pPr>
        <w:spacing w:after="200" w:line="276" w:lineRule="auto"/>
        <w:ind w:left="1418"/>
        <w:contextualSpacing/>
        <w:rPr>
          <w:rFonts w:ascii="Arial" w:eastAsia="Times New Roman" w:hAnsi="Arial" w:cs="Arial"/>
          <w:sz w:val="24"/>
          <w:szCs w:val="24"/>
          <w:lang w:bidi="ar-SA"/>
        </w:rPr>
      </w:pPr>
    </w:p>
    <w:p w:rsidR="00666AAB" w:rsidRPr="00666AAB" w:rsidRDefault="00666AAB" w:rsidP="00666AAB">
      <w:pPr>
        <w:numPr>
          <w:ilvl w:val="0"/>
          <w:numId w:val="8"/>
        </w:numPr>
        <w:tabs>
          <w:tab w:val="left" w:pos="1134"/>
        </w:tabs>
        <w:autoSpaceDE w:val="0"/>
        <w:autoSpaceDN w:val="0"/>
        <w:adjustRightInd w:val="0"/>
        <w:ind w:left="1418"/>
        <w:contextualSpacing/>
        <w:jc w:val="both"/>
        <w:rPr>
          <w:rFonts w:ascii="Arial" w:eastAsia="Times New Roman" w:hAnsi="Arial" w:cs="Arial"/>
          <w:color w:val="333333"/>
          <w:sz w:val="24"/>
          <w:szCs w:val="24"/>
          <w:lang w:bidi="ar-SA"/>
        </w:rPr>
      </w:pPr>
      <w:r w:rsidRPr="00666AAB">
        <w:rPr>
          <w:rFonts w:ascii="Arial" w:eastAsia="Times New Roman" w:hAnsi="Arial" w:cs="Arial"/>
          <w:sz w:val="24"/>
          <w:szCs w:val="24"/>
          <w:lang w:bidi="ar-SA"/>
        </w:rPr>
        <w:t>Policyholders</w:t>
      </w:r>
      <w:r w:rsidRPr="00666AAB">
        <w:rPr>
          <w:rFonts w:ascii="Arial" w:eastAsia="Times New Roman" w:hAnsi="Arial" w:cs="Arial"/>
          <w:color w:val="333333"/>
          <w:sz w:val="24"/>
          <w:szCs w:val="24"/>
          <w:lang w:bidi="ar-SA"/>
        </w:rPr>
        <w:t xml:space="preserve"> enabled to submit their </w:t>
      </w:r>
      <w:r w:rsidRPr="00666AAB">
        <w:rPr>
          <w:rFonts w:ascii="Arial" w:eastAsiaTheme="minorEastAsia" w:hAnsi="Arial" w:cs="Arial"/>
          <w:sz w:val="24"/>
          <w:szCs w:val="24"/>
          <w:lang w:eastAsia="en-IN" w:bidi="ar-SA"/>
        </w:rPr>
        <w:t>grievances</w:t>
      </w:r>
      <w:r w:rsidRPr="00666AAB">
        <w:rPr>
          <w:rFonts w:ascii="Arial" w:eastAsia="Times New Roman" w:hAnsi="Arial" w:cs="Arial"/>
          <w:color w:val="333333"/>
          <w:sz w:val="24"/>
          <w:szCs w:val="24"/>
          <w:lang w:bidi="ar-SA"/>
        </w:rPr>
        <w:t xml:space="preserve"> directly through </w:t>
      </w:r>
      <w:r w:rsidRPr="00666AAB">
        <w:rPr>
          <w:rFonts w:ascii="Arial" w:eastAsia="Times New Roman" w:hAnsi="Arial" w:cs="Arial"/>
          <w:b/>
          <w:bCs/>
          <w:color w:val="333333"/>
          <w:sz w:val="24"/>
          <w:szCs w:val="24"/>
          <w:lang w:bidi="ar-SA"/>
        </w:rPr>
        <w:t>Bima Bharosa portal</w:t>
      </w:r>
      <w:r w:rsidRPr="00666AAB">
        <w:rPr>
          <w:rFonts w:ascii="Arial" w:eastAsia="Times New Roman" w:hAnsi="Arial" w:cs="Arial"/>
          <w:color w:val="333333"/>
          <w:sz w:val="24"/>
          <w:szCs w:val="24"/>
          <w:lang w:bidi="ar-SA"/>
        </w:rPr>
        <w:t xml:space="preserve"> and monitor the status thereof on a real time basis. </w:t>
      </w:r>
    </w:p>
    <w:p w:rsidR="00666AAB" w:rsidRPr="00666AAB" w:rsidRDefault="00666AAB" w:rsidP="00666AAB">
      <w:pPr>
        <w:spacing w:after="200" w:line="276" w:lineRule="auto"/>
        <w:ind w:left="1418"/>
        <w:contextualSpacing/>
        <w:jc w:val="both"/>
        <w:rPr>
          <w:rFonts w:ascii="Arial" w:eastAsia="Times New Roman" w:hAnsi="Arial" w:cs="Arial"/>
          <w:color w:val="333333"/>
          <w:sz w:val="24"/>
          <w:szCs w:val="24"/>
          <w:lang w:bidi="ar-SA"/>
        </w:rPr>
      </w:pPr>
    </w:p>
    <w:p w:rsidR="00666AAB" w:rsidRPr="00666AAB" w:rsidRDefault="00666AAB" w:rsidP="00666AAB">
      <w:pPr>
        <w:numPr>
          <w:ilvl w:val="0"/>
          <w:numId w:val="8"/>
        </w:numPr>
        <w:tabs>
          <w:tab w:val="left" w:pos="1134"/>
        </w:tabs>
        <w:autoSpaceDE w:val="0"/>
        <w:autoSpaceDN w:val="0"/>
        <w:adjustRightInd w:val="0"/>
        <w:ind w:left="1418"/>
        <w:contextualSpacing/>
        <w:jc w:val="both"/>
        <w:rPr>
          <w:rFonts w:ascii="Arial" w:eastAsia="Times New Roman" w:hAnsi="Arial" w:cs="Arial"/>
          <w:sz w:val="24"/>
          <w:szCs w:val="24"/>
          <w:lang w:eastAsia="en-IN" w:bidi="ar-SA"/>
        </w:rPr>
      </w:pPr>
      <w:r w:rsidRPr="00666AAB">
        <w:rPr>
          <w:rFonts w:ascii="Arial" w:eastAsia="Times New Roman" w:hAnsi="Arial" w:cs="Arial"/>
          <w:sz w:val="24"/>
          <w:szCs w:val="24"/>
          <w:lang w:bidi="ar-SA"/>
        </w:rPr>
        <w:t>The</w:t>
      </w:r>
      <w:r w:rsidRPr="00666AAB">
        <w:rPr>
          <w:rFonts w:ascii="Arial" w:eastAsia="Times New Roman" w:hAnsi="Arial" w:cs="Arial"/>
          <w:color w:val="333333"/>
          <w:sz w:val="24"/>
          <w:szCs w:val="24"/>
          <w:lang w:bidi="ar-SA"/>
        </w:rPr>
        <w:t xml:space="preserve"> </w:t>
      </w:r>
      <w:r w:rsidRPr="00666AAB">
        <w:rPr>
          <w:rFonts w:ascii="Arial" w:eastAsia="Times New Roman" w:hAnsi="Arial" w:cs="Arial"/>
          <w:sz w:val="24"/>
          <w:szCs w:val="24"/>
          <w:lang w:bidi="ar-SA"/>
        </w:rPr>
        <w:t>Insurance</w:t>
      </w:r>
      <w:r w:rsidRPr="00666AAB">
        <w:rPr>
          <w:rFonts w:ascii="Arial" w:eastAsia="Times New Roman" w:hAnsi="Arial" w:cs="Arial"/>
          <w:b/>
          <w:bCs/>
          <w:color w:val="333333"/>
          <w:sz w:val="24"/>
          <w:szCs w:val="24"/>
          <w:lang w:bidi="ar-SA"/>
        </w:rPr>
        <w:t xml:space="preserve"> Ombudsman is a </w:t>
      </w:r>
      <w:r w:rsidRPr="00666AAB">
        <w:rPr>
          <w:rFonts w:ascii="Arial" w:eastAsia="Times New Roman" w:hAnsi="Arial" w:cs="Arial"/>
          <w:color w:val="333333"/>
          <w:sz w:val="24"/>
          <w:szCs w:val="24"/>
          <w:lang w:bidi="ar-SA"/>
        </w:rPr>
        <w:t>Grievance</w:t>
      </w:r>
      <w:r w:rsidRPr="00666AAB">
        <w:rPr>
          <w:rFonts w:ascii="Arial" w:eastAsia="Times New Roman" w:hAnsi="Arial" w:cs="Arial"/>
          <w:b/>
          <w:bCs/>
          <w:color w:val="333333"/>
          <w:sz w:val="24"/>
          <w:szCs w:val="24"/>
          <w:lang w:bidi="ar-SA"/>
        </w:rPr>
        <w:t xml:space="preserve"> Redressal forum </w:t>
      </w:r>
      <w:r w:rsidRPr="00666AAB">
        <w:rPr>
          <w:rFonts w:ascii="Arial" w:eastAsia="Times New Roman" w:hAnsi="Arial" w:cs="Arial"/>
          <w:color w:val="333333"/>
          <w:sz w:val="24"/>
          <w:szCs w:val="24"/>
          <w:lang w:bidi="ar-SA"/>
        </w:rPr>
        <w:t>setup with</w:t>
      </w:r>
      <w:r w:rsidRPr="00666AAB">
        <w:rPr>
          <w:rFonts w:ascii="Arial" w:eastAsiaTheme="minorEastAsia" w:hAnsi="Arial" w:cs="Arial"/>
          <w:bCs/>
          <w:sz w:val="24"/>
          <w:szCs w:val="24"/>
          <w:lang w:eastAsia="en-IN" w:bidi="ar-SA"/>
        </w:rPr>
        <w:t xml:space="preserve"> an aim to resolve grievances of aggrieved policyholders in a speedy and cost-effective manner.</w:t>
      </w:r>
    </w:p>
    <w:p w:rsidR="00666AAB" w:rsidRPr="00666AAB" w:rsidRDefault="00666AAB" w:rsidP="00666AAB">
      <w:pPr>
        <w:tabs>
          <w:tab w:val="left" w:pos="1134"/>
        </w:tabs>
        <w:spacing w:after="200" w:line="276" w:lineRule="auto"/>
        <w:ind w:left="1418" w:hanging="93"/>
        <w:contextualSpacing/>
        <w:jc w:val="both"/>
        <w:rPr>
          <w:rFonts w:ascii="Arial" w:eastAsia="Times New Roman" w:hAnsi="Arial" w:cs="Arial"/>
          <w:iCs/>
          <w:sz w:val="24"/>
          <w:szCs w:val="24"/>
          <w:lang w:bidi="ar-SA"/>
        </w:rPr>
      </w:pPr>
    </w:p>
    <w:p w:rsidR="00666AAB" w:rsidRPr="00666AAB" w:rsidRDefault="00666AAB" w:rsidP="00666AAB">
      <w:pPr>
        <w:numPr>
          <w:ilvl w:val="0"/>
          <w:numId w:val="8"/>
        </w:numPr>
        <w:tabs>
          <w:tab w:val="left" w:pos="1134"/>
        </w:tabs>
        <w:autoSpaceDE w:val="0"/>
        <w:autoSpaceDN w:val="0"/>
        <w:adjustRightInd w:val="0"/>
        <w:ind w:left="1418"/>
        <w:contextualSpacing/>
        <w:jc w:val="both"/>
        <w:rPr>
          <w:rFonts w:ascii="Arial" w:eastAsia="Times New Roman" w:hAnsi="Arial" w:cs="Arial"/>
          <w:b/>
          <w:bCs/>
          <w:sz w:val="24"/>
          <w:szCs w:val="24"/>
          <w:lang w:bidi="ar-SA"/>
        </w:rPr>
      </w:pPr>
      <w:r w:rsidRPr="00666AAB">
        <w:rPr>
          <w:rFonts w:ascii="Arial" w:eastAsia="Times New Roman" w:hAnsi="Arial" w:cs="Arial"/>
          <w:sz w:val="24"/>
          <w:szCs w:val="24"/>
          <w:lang w:bidi="ar-SA"/>
        </w:rPr>
        <w:t>The</w:t>
      </w:r>
      <w:r w:rsidRPr="00666AAB">
        <w:rPr>
          <w:rFonts w:ascii="Arial" w:eastAsiaTheme="majorEastAsia" w:hAnsi="Arial" w:cs="Arial"/>
          <w:sz w:val="24"/>
          <w:szCs w:val="24"/>
          <w:lang w:bidi="ar-SA"/>
        </w:rPr>
        <w:t xml:space="preserve"> </w:t>
      </w:r>
      <w:r w:rsidRPr="00666AAB">
        <w:rPr>
          <w:rFonts w:ascii="Arial" w:eastAsia="Times New Roman" w:hAnsi="Arial" w:cs="Arial"/>
          <w:color w:val="333333"/>
          <w:sz w:val="24"/>
          <w:szCs w:val="24"/>
          <w:lang w:bidi="ar-SA"/>
        </w:rPr>
        <w:t>Insurers</w:t>
      </w:r>
      <w:r w:rsidRPr="00666AAB">
        <w:rPr>
          <w:rFonts w:ascii="Arial" w:eastAsia="Times New Roman" w:hAnsi="Arial" w:cs="Arial"/>
          <w:sz w:val="24"/>
          <w:szCs w:val="24"/>
          <w:lang w:bidi="ar-SA"/>
        </w:rPr>
        <w:t xml:space="preserve"> must comply with the Ombudsman’s decision within 30 days, or they need to pay penal charges of Rs. 5000 per day for each day of delay.</w:t>
      </w:r>
    </w:p>
    <w:p w:rsidR="00666AAB" w:rsidRPr="00666AAB" w:rsidRDefault="00666AAB" w:rsidP="00666AAB">
      <w:pPr>
        <w:spacing w:after="200" w:line="276" w:lineRule="auto"/>
        <w:ind w:left="720"/>
        <w:contextualSpacing/>
        <w:rPr>
          <w:rFonts w:ascii="Arial" w:eastAsia="Times New Roman" w:hAnsi="Arial" w:cs="Arial"/>
          <w:b/>
          <w:bCs/>
          <w:sz w:val="24"/>
          <w:szCs w:val="24"/>
          <w:lang w:bidi="ar-SA"/>
        </w:rPr>
      </w:pPr>
    </w:p>
    <w:p w:rsidR="00666AAB" w:rsidRPr="00666AAB" w:rsidRDefault="00666AAB" w:rsidP="00666AAB">
      <w:pPr>
        <w:numPr>
          <w:ilvl w:val="0"/>
          <w:numId w:val="2"/>
        </w:numPr>
        <w:spacing w:before="100" w:beforeAutospacing="1" w:after="100" w:afterAutospacing="1" w:line="276" w:lineRule="auto"/>
        <w:ind w:left="709"/>
        <w:jc w:val="both"/>
        <w:rPr>
          <w:rFonts w:ascii="Arial" w:eastAsia="Times New Roman" w:hAnsi="Arial" w:cs="Arial"/>
          <w:sz w:val="24"/>
          <w:szCs w:val="24"/>
          <w:lang w:eastAsia="en-IN"/>
        </w:rPr>
      </w:pPr>
      <w:r w:rsidRPr="00666AAB">
        <w:rPr>
          <w:rFonts w:ascii="Arial" w:eastAsia="Times New Roman" w:hAnsi="Arial" w:cs="Arial"/>
          <w:color w:val="333333"/>
          <w:sz w:val="24"/>
          <w:szCs w:val="24"/>
          <w:lang w:bidi="ar-SA"/>
        </w:rPr>
        <w:t>Notwithstanding</w:t>
      </w:r>
      <w:r w:rsidRPr="00666AAB">
        <w:rPr>
          <w:rFonts w:ascii="Arial" w:eastAsia="Times New Roman" w:hAnsi="Arial" w:cs="Arial"/>
          <w:sz w:val="24"/>
          <w:szCs w:val="24"/>
          <w:lang w:eastAsia="en-IN"/>
        </w:rPr>
        <w:t xml:space="preserve"> the above safeguards, there may be specific circumstances in which claims are repudiated. The key reasons include:</w:t>
      </w:r>
    </w:p>
    <w:p w:rsidR="00666AAB" w:rsidRPr="00666AAB" w:rsidRDefault="00666AAB" w:rsidP="00666AAB">
      <w:pPr>
        <w:numPr>
          <w:ilvl w:val="0"/>
          <w:numId w:val="3"/>
        </w:numPr>
        <w:shd w:val="clear" w:color="auto" w:fill="FFFFFF"/>
        <w:spacing w:after="0" w:line="276" w:lineRule="auto"/>
        <w:ind w:left="1418"/>
        <w:contextualSpacing/>
        <w:jc w:val="both"/>
        <w:rPr>
          <w:rFonts w:ascii="Arial" w:eastAsia="Times New Roman" w:hAnsi="Arial" w:cs="Arial"/>
          <w:sz w:val="24"/>
          <w:szCs w:val="24"/>
          <w:lang w:bidi="ar-SA"/>
        </w:rPr>
      </w:pPr>
      <w:r w:rsidRPr="00666AAB">
        <w:rPr>
          <w:rFonts w:ascii="Arial" w:eastAsia="Times New Roman" w:hAnsi="Arial" w:cs="Arial"/>
          <w:sz w:val="24"/>
          <w:szCs w:val="24"/>
          <w:lang w:bidi="ar-SA"/>
        </w:rPr>
        <w:t xml:space="preserve">Claims falling beyond the policy terms and conditions such as initial waiting period or waiting period of Pre-existing disease. </w:t>
      </w:r>
    </w:p>
    <w:p w:rsidR="00666AAB" w:rsidRPr="00666AAB" w:rsidRDefault="00666AAB" w:rsidP="00666AAB">
      <w:pPr>
        <w:numPr>
          <w:ilvl w:val="0"/>
          <w:numId w:val="3"/>
        </w:numPr>
        <w:shd w:val="clear" w:color="auto" w:fill="FFFFFF"/>
        <w:spacing w:after="0" w:line="276" w:lineRule="auto"/>
        <w:ind w:left="1418"/>
        <w:contextualSpacing/>
        <w:jc w:val="both"/>
        <w:rPr>
          <w:rFonts w:ascii="Arial" w:eastAsia="Times New Roman" w:hAnsi="Arial" w:cs="Arial"/>
          <w:sz w:val="24"/>
          <w:szCs w:val="24"/>
          <w:lang w:bidi="ar-SA"/>
        </w:rPr>
      </w:pPr>
      <w:r w:rsidRPr="00666AAB">
        <w:rPr>
          <w:rFonts w:ascii="Arial" w:eastAsia="Times New Roman" w:hAnsi="Arial" w:cs="Arial"/>
          <w:sz w:val="24"/>
          <w:szCs w:val="24"/>
          <w:lang w:bidi="ar-SA"/>
        </w:rPr>
        <w:t>Claims exceeding Sum Insured: Claim lodged when the Sum Insured already exhausted in earlier claims</w:t>
      </w:r>
    </w:p>
    <w:p w:rsidR="00666AAB" w:rsidRPr="00666AAB" w:rsidRDefault="00666AAB" w:rsidP="00666AAB">
      <w:pPr>
        <w:numPr>
          <w:ilvl w:val="0"/>
          <w:numId w:val="3"/>
        </w:numPr>
        <w:shd w:val="clear" w:color="auto" w:fill="FFFFFF"/>
        <w:spacing w:after="0" w:line="276" w:lineRule="auto"/>
        <w:ind w:left="1418"/>
        <w:contextualSpacing/>
        <w:jc w:val="both"/>
        <w:rPr>
          <w:rFonts w:ascii="Arial" w:eastAsia="Times New Roman" w:hAnsi="Arial" w:cs="Arial"/>
          <w:sz w:val="24"/>
          <w:szCs w:val="24"/>
          <w:lang w:bidi="ar-SA"/>
        </w:rPr>
      </w:pPr>
      <w:r w:rsidRPr="00666AAB">
        <w:rPr>
          <w:rFonts w:ascii="Arial" w:eastAsia="Times New Roman" w:hAnsi="Arial" w:cs="Arial"/>
          <w:sz w:val="24"/>
          <w:szCs w:val="24"/>
          <w:lang w:bidi="ar-SA"/>
        </w:rPr>
        <w:t>Claims rejected due to Mis-representation/Non-Disclosure/established fraud</w:t>
      </w:r>
    </w:p>
    <w:p w:rsidR="00666AAB" w:rsidRPr="00666AAB" w:rsidRDefault="00666AAB" w:rsidP="00666AAB">
      <w:pPr>
        <w:numPr>
          <w:ilvl w:val="0"/>
          <w:numId w:val="3"/>
        </w:numPr>
        <w:shd w:val="clear" w:color="auto" w:fill="FFFFFF"/>
        <w:spacing w:after="0" w:line="276" w:lineRule="auto"/>
        <w:ind w:left="1418"/>
        <w:contextualSpacing/>
        <w:jc w:val="both"/>
        <w:rPr>
          <w:rFonts w:ascii="Arial" w:eastAsia="Times New Roman" w:hAnsi="Arial" w:cs="Arial"/>
          <w:sz w:val="24"/>
          <w:szCs w:val="24"/>
          <w:lang w:bidi="ar-SA"/>
        </w:rPr>
      </w:pPr>
      <w:r w:rsidRPr="00666AAB">
        <w:rPr>
          <w:rFonts w:ascii="Arial" w:eastAsia="Times New Roman" w:hAnsi="Arial" w:cs="Arial"/>
          <w:sz w:val="24"/>
          <w:szCs w:val="24"/>
          <w:lang w:bidi="ar-SA"/>
        </w:rPr>
        <w:t>Hospitalisation not warranted or less than 24 hours hospitalisation</w:t>
      </w:r>
    </w:p>
    <w:p w:rsidR="00666AAB" w:rsidRPr="00666AAB" w:rsidRDefault="00666AAB" w:rsidP="00666AAB">
      <w:pPr>
        <w:spacing w:after="0" w:line="240" w:lineRule="auto"/>
        <w:jc w:val="both"/>
        <w:rPr>
          <w:rFonts w:ascii="Arial" w:eastAsiaTheme="minorEastAsia" w:hAnsi="Arial" w:cs="Arial"/>
          <w:sz w:val="24"/>
          <w:szCs w:val="24"/>
        </w:rPr>
      </w:pPr>
    </w:p>
    <w:p w:rsidR="00666AAB" w:rsidRPr="00666AAB" w:rsidRDefault="00666AAB" w:rsidP="00666AAB">
      <w:pPr>
        <w:spacing w:after="0" w:line="240" w:lineRule="auto"/>
        <w:jc w:val="both"/>
        <w:rPr>
          <w:rFonts w:ascii="Arial" w:eastAsiaTheme="minorEastAsia" w:hAnsi="Arial" w:cs="Arial"/>
          <w:sz w:val="24"/>
          <w:szCs w:val="24"/>
        </w:rPr>
      </w:pPr>
      <w:r w:rsidRPr="00666AAB">
        <w:rPr>
          <w:rFonts w:ascii="Arial" w:eastAsiaTheme="minorEastAsia" w:hAnsi="Arial" w:cs="Arial"/>
          <w:sz w:val="24"/>
          <w:szCs w:val="24"/>
        </w:rPr>
        <w:t xml:space="preserve"> </w:t>
      </w:r>
    </w:p>
    <w:p w:rsidR="00666AAB" w:rsidRPr="00666AAB" w:rsidRDefault="00666AAB" w:rsidP="00666AAB">
      <w:pPr>
        <w:numPr>
          <w:ilvl w:val="0"/>
          <w:numId w:val="1"/>
        </w:numPr>
        <w:spacing w:after="0" w:line="240" w:lineRule="auto"/>
        <w:contextualSpacing/>
        <w:jc w:val="both"/>
        <w:rPr>
          <w:rFonts w:ascii="Arial" w:eastAsiaTheme="minorEastAsia" w:hAnsi="Arial" w:cs="Arial"/>
          <w:b/>
          <w:bCs/>
          <w:sz w:val="24"/>
          <w:szCs w:val="24"/>
          <w:lang w:bidi="ar-SA"/>
        </w:rPr>
      </w:pPr>
      <w:r w:rsidRPr="00666AAB">
        <w:rPr>
          <w:rFonts w:ascii="Arial" w:eastAsiaTheme="minorEastAsia" w:hAnsi="Arial" w:cs="Arial"/>
          <w:b/>
          <w:bCs/>
          <w:sz w:val="24"/>
          <w:szCs w:val="24"/>
          <w:lang w:bidi="ar-SA"/>
        </w:rPr>
        <w:lastRenderedPageBreak/>
        <w:t>The steps taken or proposed to establish a centralized grievance portal and strengthen regulations to ensure accountability of insurers and protect policyholders’ interests?</w:t>
      </w:r>
    </w:p>
    <w:p w:rsidR="00666AAB" w:rsidRPr="00666AAB" w:rsidRDefault="00666AAB" w:rsidP="00666AAB">
      <w:pPr>
        <w:numPr>
          <w:ilvl w:val="0"/>
          <w:numId w:val="9"/>
        </w:numPr>
        <w:spacing w:before="100" w:beforeAutospacing="1" w:after="100" w:afterAutospacing="1" w:line="240" w:lineRule="auto"/>
        <w:ind w:left="993"/>
        <w:jc w:val="both"/>
        <w:rPr>
          <w:rFonts w:ascii="Arial" w:eastAsiaTheme="minorEastAsia" w:hAnsi="Arial" w:cs="Arial"/>
          <w:sz w:val="24"/>
          <w:szCs w:val="24"/>
          <w:lang w:eastAsia="en-IN"/>
        </w:rPr>
      </w:pPr>
      <w:r w:rsidRPr="00666AAB">
        <w:rPr>
          <w:rFonts w:ascii="Arial" w:eastAsiaTheme="minorEastAsia" w:hAnsi="Arial" w:cs="Arial"/>
          <w:sz w:val="24"/>
          <w:szCs w:val="24"/>
          <w:lang w:eastAsia="en-IN"/>
        </w:rPr>
        <w:t>In terms of Regulation 25 of IRDAI (Protection of Policyholders’ Interests, Operations and Allied Matters of Insurers) Regulations, 2024, every insurer is required to establish a robust system, including appropriate IT infrastructure and procedures, for the receipt, registration and disposal of grievances at each of its offices. Insurers are also required to adequately publicize their grievance redressal mechanism and ensure that the same is clearly made available on their respective websites.</w:t>
      </w:r>
    </w:p>
    <w:p w:rsidR="00666AAB" w:rsidRPr="00666AAB" w:rsidRDefault="00666AAB" w:rsidP="00666AAB">
      <w:pPr>
        <w:spacing w:before="100" w:beforeAutospacing="1" w:after="100" w:afterAutospacing="1" w:line="240" w:lineRule="auto"/>
        <w:ind w:left="993"/>
        <w:jc w:val="both"/>
        <w:rPr>
          <w:rFonts w:ascii="Arial" w:eastAsiaTheme="minorEastAsia" w:hAnsi="Arial" w:cs="Arial"/>
          <w:sz w:val="24"/>
          <w:szCs w:val="24"/>
          <w:lang w:eastAsia="en-IN"/>
        </w:rPr>
      </w:pPr>
    </w:p>
    <w:p w:rsidR="00666AAB" w:rsidRPr="00666AAB" w:rsidRDefault="00666AAB" w:rsidP="00666AAB">
      <w:pPr>
        <w:numPr>
          <w:ilvl w:val="0"/>
          <w:numId w:val="9"/>
        </w:numPr>
        <w:spacing w:after="100" w:afterAutospacing="1" w:line="240" w:lineRule="auto"/>
        <w:ind w:left="993"/>
        <w:jc w:val="both"/>
        <w:rPr>
          <w:rFonts w:ascii="Arial" w:eastAsiaTheme="minorEastAsia" w:hAnsi="Arial" w:cs="Arial"/>
          <w:sz w:val="24"/>
          <w:szCs w:val="24"/>
          <w:lang w:eastAsia="en-IN"/>
        </w:rPr>
      </w:pPr>
      <w:r w:rsidRPr="00666AAB">
        <w:rPr>
          <w:rFonts w:ascii="Arial" w:eastAsiaTheme="minorEastAsia" w:hAnsi="Arial" w:cs="Arial"/>
          <w:sz w:val="24"/>
          <w:szCs w:val="24"/>
          <w:lang w:eastAsia="en-IN"/>
        </w:rPr>
        <w:t>Further, with a view to enabling policyholders to lodge their grievances against insurers through a neutral and accessible platform, the IRDAI has established multiple channels for grievance registration. These include the online Bima Bharosa portal, and a toll-free grievance call centre (155255). The complaints registered through these channels are taken up by IRDAI with the respective insurers for resolution.</w:t>
      </w:r>
    </w:p>
    <w:p w:rsidR="00666AAB" w:rsidRPr="00666AAB" w:rsidRDefault="00666AAB" w:rsidP="00666AAB">
      <w:pPr>
        <w:spacing w:after="200" w:line="276" w:lineRule="auto"/>
        <w:ind w:left="720"/>
        <w:contextualSpacing/>
        <w:rPr>
          <w:rFonts w:ascii="Arial" w:eastAsiaTheme="minorEastAsia" w:hAnsi="Arial" w:cs="Arial"/>
          <w:sz w:val="24"/>
          <w:szCs w:val="24"/>
          <w:lang w:bidi="ar-SA"/>
        </w:rPr>
      </w:pPr>
    </w:p>
    <w:p w:rsidR="00666AAB" w:rsidRPr="00666AAB" w:rsidRDefault="00666AAB" w:rsidP="00666AAB">
      <w:pPr>
        <w:numPr>
          <w:ilvl w:val="0"/>
          <w:numId w:val="9"/>
        </w:numPr>
        <w:spacing w:after="100" w:afterAutospacing="1" w:line="240" w:lineRule="auto"/>
        <w:ind w:left="993"/>
        <w:jc w:val="both"/>
        <w:rPr>
          <w:rFonts w:ascii="Arial" w:eastAsiaTheme="minorEastAsia" w:hAnsi="Arial" w:cs="Arial"/>
          <w:sz w:val="24"/>
          <w:szCs w:val="24"/>
          <w:lang w:eastAsia="en-IN"/>
        </w:rPr>
      </w:pPr>
      <w:r w:rsidRPr="00666AAB">
        <w:rPr>
          <w:rFonts w:ascii="Arial" w:eastAsiaTheme="minorEastAsia" w:hAnsi="Arial" w:cs="Arial"/>
          <w:sz w:val="24"/>
          <w:szCs w:val="24"/>
          <w:lang w:eastAsia="en-IN"/>
        </w:rPr>
        <w:t>Additionally, insurers are mandated to integrate their internal grievance management systems with the Bima Bharosa Portal (</w:t>
      </w:r>
      <w:hyperlink r:id="rId7" w:history="1">
        <w:r w:rsidRPr="00666AAB">
          <w:rPr>
            <w:rFonts w:ascii="Arial" w:eastAsiaTheme="minorEastAsia" w:hAnsi="Arial" w:cs="Arial"/>
            <w:sz w:val="24"/>
            <w:szCs w:val="24"/>
            <w:lang w:eastAsia="en-IN"/>
          </w:rPr>
          <w:t>https://bimabharosa.irdai.gov.in/</w:t>
        </w:r>
      </w:hyperlink>
      <w:r w:rsidRPr="00666AAB">
        <w:rPr>
          <w:rFonts w:ascii="Arial" w:eastAsiaTheme="minorEastAsia" w:hAnsi="Arial" w:cs="Arial"/>
          <w:sz w:val="24"/>
          <w:szCs w:val="24"/>
          <w:lang w:eastAsia="en-IN"/>
        </w:rPr>
        <w:t>)  to facilitate the online registration and tracking of grievances by policyholders. The insurers’ systems must incorporate real-time mirroring functionality to ensure that their grievance databases remain continuously synchronized with the Bima Bharosa portal, thereby enabling the portal to function as a centralized repository of insurance-related grievances.</w:t>
      </w:r>
    </w:p>
    <w:p w:rsidR="00666AAB" w:rsidRPr="00666AAB" w:rsidRDefault="00666AAB" w:rsidP="00666AAB">
      <w:pPr>
        <w:spacing w:after="0" w:line="240" w:lineRule="auto"/>
        <w:jc w:val="both"/>
        <w:rPr>
          <w:rFonts w:ascii="Arial" w:eastAsiaTheme="minorEastAsia" w:hAnsi="Arial" w:cs="Arial"/>
          <w:sz w:val="24"/>
          <w:szCs w:val="24"/>
          <w:lang w:bidi="ar-SA"/>
        </w:rPr>
      </w:pPr>
    </w:p>
    <w:p w:rsidR="00666AAB" w:rsidRPr="00666AAB" w:rsidRDefault="00666AAB" w:rsidP="00666AAB">
      <w:pPr>
        <w:spacing w:after="0" w:line="276" w:lineRule="auto"/>
        <w:jc w:val="both"/>
        <w:rPr>
          <w:rFonts w:ascii="Arial" w:eastAsiaTheme="minorEastAsia" w:hAnsi="Arial" w:cs="Arial"/>
          <w:sz w:val="24"/>
          <w:szCs w:val="24"/>
          <w:lang w:eastAsia="en-IN"/>
        </w:rPr>
      </w:pPr>
    </w:p>
    <w:p w:rsidR="00185839" w:rsidRPr="00D8439D" w:rsidRDefault="00185839" w:rsidP="00185839">
      <w:pPr>
        <w:pStyle w:val="NoSpacing"/>
        <w:jc w:val="right"/>
        <w:rPr>
          <w:rFonts w:ascii="Arial" w:eastAsia="Times New Roman" w:hAnsi="Arial" w:cs="Arial"/>
          <w:b/>
          <w:bCs/>
          <w:sz w:val="24"/>
          <w:szCs w:val="24"/>
          <w:lang w:eastAsia="en-IN" w:bidi="hi-IN"/>
        </w:rPr>
      </w:pPr>
      <w:r w:rsidRPr="00D8439D">
        <w:rPr>
          <w:rFonts w:ascii="Arial" w:eastAsia="Times New Roman" w:hAnsi="Arial" w:cs="Arial"/>
          <w:b/>
          <w:bCs/>
          <w:sz w:val="24"/>
          <w:szCs w:val="24"/>
          <w:lang w:eastAsia="en-IN" w:bidi="hi-IN"/>
        </w:rPr>
        <w:t>Yours faithfully</w:t>
      </w:r>
    </w:p>
    <w:p w:rsidR="00185839" w:rsidRPr="00D8439D" w:rsidRDefault="00185839" w:rsidP="00185839">
      <w:pPr>
        <w:pStyle w:val="NoSpacing"/>
        <w:jc w:val="right"/>
        <w:rPr>
          <w:rFonts w:ascii="Arial" w:eastAsia="Times New Roman" w:hAnsi="Arial" w:cs="Arial"/>
          <w:b/>
          <w:bCs/>
          <w:sz w:val="24"/>
          <w:szCs w:val="24"/>
          <w:lang w:eastAsia="en-IN" w:bidi="hi-IN"/>
        </w:rPr>
      </w:pPr>
    </w:p>
    <w:p w:rsidR="00185839" w:rsidRPr="00D8439D" w:rsidRDefault="00185839" w:rsidP="00185839">
      <w:pPr>
        <w:pStyle w:val="NoSpacing"/>
        <w:jc w:val="right"/>
        <w:rPr>
          <w:rFonts w:ascii="Arial" w:eastAsia="Times New Roman" w:hAnsi="Arial" w:cs="Arial"/>
          <w:b/>
          <w:bCs/>
          <w:sz w:val="24"/>
          <w:szCs w:val="24"/>
          <w:lang w:eastAsia="en-IN" w:bidi="hi-IN"/>
        </w:rPr>
      </w:pPr>
      <w:bookmarkStart w:id="0" w:name="_GoBack"/>
      <w:bookmarkEnd w:id="0"/>
    </w:p>
    <w:p w:rsidR="00185839" w:rsidRPr="00D8439D" w:rsidRDefault="00FC36F1" w:rsidP="00185839">
      <w:pPr>
        <w:pStyle w:val="NoSpacing"/>
        <w:jc w:val="right"/>
        <w:rPr>
          <w:rFonts w:ascii="Arial" w:eastAsia="Times New Roman" w:hAnsi="Arial" w:cs="Arial"/>
          <w:b/>
          <w:bCs/>
          <w:sz w:val="24"/>
          <w:szCs w:val="24"/>
          <w:lang w:eastAsia="en-IN" w:bidi="hi-IN"/>
        </w:rPr>
      </w:pPr>
      <w:r>
        <w:rPr>
          <w:rFonts w:ascii="Arial" w:eastAsia="Times New Roman" w:hAnsi="Arial" w:cs="Arial"/>
          <w:b/>
          <w:bCs/>
          <w:sz w:val="24"/>
          <w:szCs w:val="24"/>
          <w:lang w:eastAsia="en-IN" w:bidi="hi-IN"/>
        </w:rPr>
        <w:t>Manoj Kumar</w:t>
      </w:r>
    </w:p>
    <w:p w:rsidR="00666AAB" w:rsidRPr="00666AAB" w:rsidRDefault="00185839" w:rsidP="00185839">
      <w:pPr>
        <w:jc w:val="right"/>
        <w:rPr>
          <w:rFonts w:ascii="Arial" w:eastAsiaTheme="minorEastAsia" w:hAnsi="Arial" w:cs="Arial"/>
          <w:sz w:val="24"/>
          <w:szCs w:val="24"/>
          <w:lang w:bidi="ar-SA"/>
        </w:rPr>
      </w:pPr>
      <w:r w:rsidRPr="00D8439D">
        <w:rPr>
          <w:rFonts w:ascii="Arial" w:eastAsia="Times New Roman" w:hAnsi="Arial" w:cs="Arial"/>
          <w:b/>
          <w:bCs/>
          <w:sz w:val="24"/>
          <w:szCs w:val="24"/>
          <w:lang w:eastAsia="en-IN"/>
        </w:rPr>
        <w:t>General Manager</w:t>
      </w:r>
    </w:p>
    <w:p w:rsidR="00666AAB" w:rsidRPr="00666AAB" w:rsidRDefault="00666AAB" w:rsidP="00666AAB">
      <w:pPr>
        <w:rPr>
          <w:rFonts w:ascii="Arial" w:eastAsia="Times New Roman" w:hAnsi="Arial" w:cs="Arial"/>
          <w:b/>
          <w:bCs/>
          <w:color w:val="000000"/>
          <w:sz w:val="24"/>
          <w:szCs w:val="24"/>
          <w:lang w:eastAsia="en-IN"/>
        </w:rPr>
      </w:pPr>
    </w:p>
    <w:p w:rsidR="00666AAB" w:rsidRPr="00666AAB" w:rsidRDefault="00666AAB" w:rsidP="00666AAB">
      <w:pPr>
        <w:rPr>
          <w:rFonts w:ascii="Arial" w:eastAsia="Times New Roman" w:hAnsi="Arial" w:cs="Arial"/>
          <w:b/>
          <w:bCs/>
          <w:color w:val="000000"/>
          <w:sz w:val="24"/>
          <w:szCs w:val="24"/>
          <w:lang w:eastAsia="en-IN"/>
        </w:rPr>
      </w:pPr>
    </w:p>
    <w:p w:rsidR="00666AAB" w:rsidRPr="00666AAB" w:rsidRDefault="00666AAB" w:rsidP="00666AAB">
      <w:pPr>
        <w:rPr>
          <w:rFonts w:ascii="Arial" w:eastAsia="Times New Roman" w:hAnsi="Arial" w:cs="Arial"/>
          <w:b/>
          <w:bCs/>
          <w:color w:val="000000"/>
          <w:sz w:val="24"/>
          <w:szCs w:val="24"/>
          <w:lang w:eastAsia="en-IN"/>
        </w:rPr>
      </w:pPr>
    </w:p>
    <w:p w:rsidR="00666AAB" w:rsidRPr="00666AAB" w:rsidRDefault="00666AAB" w:rsidP="00666AAB">
      <w:pPr>
        <w:rPr>
          <w:rFonts w:ascii="Arial" w:eastAsia="Times New Roman" w:hAnsi="Arial" w:cs="Arial"/>
          <w:b/>
          <w:bCs/>
          <w:color w:val="000000"/>
          <w:sz w:val="24"/>
          <w:szCs w:val="24"/>
          <w:lang w:eastAsia="en-IN"/>
        </w:rPr>
      </w:pPr>
    </w:p>
    <w:p w:rsidR="00666AAB" w:rsidRDefault="00666AAB" w:rsidP="00666AAB">
      <w:pPr>
        <w:rPr>
          <w:rFonts w:ascii="Arial" w:eastAsia="Times New Roman" w:hAnsi="Arial" w:cs="Arial"/>
          <w:b/>
          <w:bCs/>
          <w:color w:val="000000"/>
          <w:sz w:val="24"/>
          <w:szCs w:val="24"/>
          <w:lang w:eastAsia="en-IN"/>
        </w:rPr>
      </w:pPr>
    </w:p>
    <w:p w:rsidR="00185839" w:rsidRPr="00666AAB" w:rsidRDefault="00185839" w:rsidP="00666AAB">
      <w:pPr>
        <w:rPr>
          <w:rFonts w:ascii="Arial" w:eastAsia="Times New Roman" w:hAnsi="Arial" w:cs="Arial"/>
          <w:b/>
          <w:bCs/>
          <w:color w:val="000000"/>
          <w:sz w:val="24"/>
          <w:szCs w:val="24"/>
          <w:lang w:eastAsia="en-IN"/>
        </w:rPr>
      </w:pPr>
    </w:p>
    <w:p w:rsidR="00666AAB" w:rsidRPr="00666AAB" w:rsidRDefault="00666AAB" w:rsidP="00666AAB">
      <w:pPr>
        <w:rPr>
          <w:rFonts w:ascii="Arial" w:eastAsia="Times New Roman" w:hAnsi="Arial" w:cs="Arial"/>
          <w:b/>
          <w:bCs/>
          <w:color w:val="000000"/>
          <w:sz w:val="24"/>
          <w:szCs w:val="24"/>
          <w:lang w:eastAsia="en-IN"/>
        </w:rPr>
      </w:pPr>
    </w:p>
    <w:p w:rsidR="00666AAB" w:rsidRDefault="00666AAB"/>
    <w:p w:rsidR="00666AAB" w:rsidRDefault="00666AAB"/>
    <w:p w:rsidR="00A25DE4" w:rsidRDefault="00A25DE4"/>
    <w:p w:rsidR="00A25DE4" w:rsidRDefault="00A25DE4" w:rsidP="005E6C93">
      <w:pPr>
        <w:rPr>
          <w:rFonts w:ascii="Arial" w:eastAsia="Times New Roman" w:hAnsi="Arial" w:cs="Arial"/>
          <w:b/>
          <w:bCs/>
          <w:color w:val="000000"/>
          <w:sz w:val="16"/>
          <w:szCs w:val="16"/>
          <w:lang w:eastAsia="en-IN"/>
        </w:rPr>
      </w:pPr>
    </w:p>
    <w:p w:rsidR="005E6C93" w:rsidRDefault="005E6C93" w:rsidP="005E6C93">
      <w:pPr>
        <w:rPr>
          <w:rFonts w:ascii="Arial" w:eastAsia="Times New Roman" w:hAnsi="Arial" w:cs="Arial"/>
          <w:b/>
          <w:bCs/>
          <w:color w:val="000000"/>
          <w:sz w:val="16"/>
          <w:szCs w:val="16"/>
          <w:lang w:eastAsia="en-IN"/>
        </w:rPr>
      </w:pPr>
    </w:p>
    <w:p w:rsidR="005E6C93" w:rsidRDefault="005E6C93" w:rsidP="005E6C93">
      <w:pPr>
        <w:rPr>
          <w:rFonts w:ascii="Arial" w:eastAsia="Times New Roman" w:hAnsi="Arial" w:cs="Arial"/>
          <w:b/>
          <w:bCs/>
          <w:color w:val="000000"/>
          <w:sz w:val="16"/>
          <w:szCs w:val="16"/>
          <w:lang w:eastAsia="en-IN"/>
        </w:rPr>
      </w:pPr>
    </w:p>
    <w:p w:rsidR="005E6C93" w:rsidRDefault="005E6C93" w:rsidP="005E6C93">
      <w:pPr>
        <w:rPr>
          <w:rFonts w:ascii="Arial" w:eastAsia="Times New Roman" w:hAnsi="Arial" w:cs="Arial"/>
          <w:b/>
          <w:bCs/>
          <w:color w:val="000000"/>
          <w:sz w:val="16"/>
          <w:szCs w:val="16"/>
          <w:lang w:eastAsia="en-IN"/>
        </w:rPr>
      </w:pPr>
    </w:p>
    <w:p w:rsidR="005E6C93" w:rsidRDefault="005E6C93" w:rsidP="005E6C93">
      <w:pPr>
        <w:rPr>
          <w:rFonts w:ascii="Arial" w:eastAsia="Times New Roman" w:hAnsi="Arial" w:cs="Arial"/>
          <w:b/>
          <w:bCs/>
          <w:color w:val="000000"/>
          <w:sz w:val="16"/>
          <w:szCs w:val="16"/>
          <w:lang w:eastAsia="en-IN"/>
        </w:rPr>
        <w:sectPr w:rsidR="005E6C93" w:rsidSect="00666AAB">
          <w:pgSz w:w="11906" w:h="16838"/>
          <w:pgMar w:top="1440" w:right="1440" w:bottom="1440" w:left="1440" w:header="709" w:footer="709" w:gutter="0"/>
          <w:cols w:space="708"/>
          <w:docGrid w:linePitch="360"/>
        </w:sectPr>
      </w:pPr>
    </w:p>
    <w:p w:rsidR="00AC22B7" w:rsidRDefault="005E6C93">
      <w:pPr>
        <w:rPr>
          <w:b/>
          <w:bCs/>
        </w:rPr>
      </w:pPr>
      <w:r w:rsidRPr="005E6C93">
        <w:rPr>
          <w:b/>
          <w:bCs/>
        </w:rPr>
        <w:lastRenderedPageBreak/>
        <w:t>Note for Pad:</w:t>
      </w:r>
    </w:p>
    <w:p w:rsidR="00AC22B7" w:rsidRPr="00AC22B7" w:rsidRDefault="00AC22B7" w:rsidP="00AC22B7">
      <w:pPr>
        <w:pStyle w:val="ListParagraph"/>
        <w:numPr>
          <w:ilvl w:val="0"/>
          <w:numId w:val="11"/>
        </w:numPr>
        <w:rPr>
          <w:b/>
          <w:bCs/>
        </w:rPr>
      </w:pPr>
      <w:r>
        <w:rPr>
          <w:b/>
          <w:bCs/>
        </w:rPr>
        <w:t>Insurer-wise, data pertaining to amount of claims repudiated and disallowed for COVID period i.e FY 2020-21 &amp; 2021-22 is provided in table below:</w:t>
      </w:r>
    </w:p>
    <w:tbl>
      <w:tblPr>
        <w:tblStyle w:val="TableGrid"/>
        <w:tblW w:w="5000" w:type="pct"/>
        <w:tblLook w:val="04A0" w:firstRow="1" w:lastRow="0" w:firstColumn="1" w:lastColumn="0" w:noHBand="0" w:noVBand="1"/>
      </w:tblPr>
      <w:tblGrid>
        <w:gridCol w:w="519"/>
        <w:gridCol w:w="3721"/>
        <w:gridCol w:w="1183"/>
        <w:gridCol w:w="1077"/>
        <w:gridCol w:w="1434"/>
        <w:gridCol w:w="1110"/>
        <w:gridCol w:w="1183"/>
        <w:gridCol w:w="1183"/>
        <w:gridCol w:w="1272"/>
        <w:gridCol w:w="1266"/>
      </w:tblGrid>
      <w:tr w:rsidR="005E6C93" w:rsidRPr="00666AAB" w:rsidTr="00AC22B7">
        <w:trPr>
          <w:trHeight w:val="290"/>
        </w:trPr>
        <w:tc>
          <w:tcPr>
            <w:tcW w:w="1520" w:type="pct"/>
            <w:gridSpan w:val="2"/>
            <w:vMerge w:val="restart"/>
            <w:noWrap/>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FY</w:t>
            </w:r>
          </w:p>
        </w:tc>
        <w:tc>
          <w:tcPr>
            <w:tcW w:w="1722" w:type="pct"/>
            <w:gridSpan w:val="4"/>
            <w:vMerge w:val="restart"/>
            <w:noWrap/>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2020-21</w:t>
            </w:r>
          </w:p>
        </w:tc>
        <w:tc>
          <w:tcPr>
            <w:tcW w:w="1758" w:type="pct"/>
            <w:gridSpan w:val="4"/>
            <w:vMerge w:val="restart"/>
            <w:noWrap/>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2021-22</w:t>
            </w:r>
          </w:p>
        </w:tc>
      </w:tr>
      <w:tr w:rsidR="005E6C93" w:rsidRPr="00666AAB" w:rsidTr="00AC22B7">
        <w:trPr>
          <w:trHeight w:val="290"/>
        </w:trPr>
        <w:tc>
          <w:tcPr>
            <w:tcW w:w="1520" w:type="pct"/>
            <w:gridSpan w:val="2"/>
            <w:vMerge/>
            <w:hideMark/>
          </w:tcPr>
          <w:p w:rsidR="005E6C93" w:rsidRPr="00666AAB" w:rsidRDefault="005E6C93" w:rsidP="00AC22B7">
            <w:pPr>
              <w:rPr>
                <w:rFonts w:ascii="Arial" w:eastAsia="Times New Roman" w:hAnsi="Arial" w:cs="Arial"/>
                <w:b/>
                <w:bCs/>
                <w:color w:val="000000"/>
                <w:sz w:val="16"/>
                <w:szCs w:val="16"/>
                <w:lang w:eastAsia="en-IN"/>
              </w:rPr>
            </w:pPr>
          </w:p>
        </w:tc>
        <w:tc>
          <w:tcPr>
            <w:tcW w:w="1722" w:type="pct"/>
            <w:gridSpan w:val="4"/>
            <w:vMerge/>
            <w:hideMark/>
          </w:tcPr>
          <w:p w:rsidR="005E6C93" w:rsidRPr="00666AAB" w:rsidRDefault="005E6C93" w:rsidP="00AC22B7">
            <w:pPr>
              <w:rPr>
                <w:rFonts w:ascii="Arial" w:eastAsia="Times New Roman" w:hAnsi="Arial" w:cs="Arial"/>
                <w:b/>
                <w:bCs/>
                <w:color w:val="000000"/>
                <w:sz w:val="16"/>
                <w:szCs w:val="16"/>
                <w:lang w:eastAsia="en-IN"/>
              </w:rPr>
            </w:pPr>
          </w:p>
        </w:tc>
        <w:tc>
          <w:tcPr>
            <w:tcW w:w="1758" w:type="pct"/>
            <w:gridSpan w:val="4"/>
            <w:vMerge/>
            <w:hideMark/>
          </w:tcPr>
          <w:p w:rsidR="005E6C93" w:rsidRPr="00666AAB" w:rsidRDefault="005E6C93" w:rsidP="00AC22B7">
            <w:pPr>
              <w:rPr>
                <w:rFonts w:ascii="Arial" w:eastAsia="Times New Roman" w:hAnsi="Arial" w:cs="Arial"/>
                <w:b/>
                <w:bCs/>
                <w:color w:val="000000"/>
                <w:sz w:val="16"/>
                <w:szCs w:val="16"/>
                <w:lang w:eastAsia="en-IN"/>
              </w:rPr>
            </w:pPr>
          </w:p>
        </w:tc>
      </w:tr>
      <w:tr w:rsidR="005E6C93" w:rsidRPr="00666AAB" w:rsidTr="00AC22B7">
        <w:trPr>
          <w:trHeight w:val="290"/>
        </w:trPr>
        <w:tc>
          <w:tcPr>
            <w:tcW w:w="186" w:type="pct"/>
            <w:vMerge w:val="restart"/>
            <w:noWrap/>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Sno</w:t>
            </w:r>
          </w:p>
        </w:tc>
        <w:tc>
          <w:tcPr>
            <w:tcW w:w="1334" w:type="pct"/>
            <w:vMerge w:val="restart"/>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Insurers</w:t>
            </w:r>
          </w:p>
        </w:tc>
        <w:tc>
          <w:tcPr>
            <w:tcW w:w="424" w:type="pct"/>
            <w:vMerge w:val="restart"/>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disallowed as per terms and conditions of policy contract</w:t>
            </w:r>
          </w:p>
        </w:tc>
        <w:tc>
          <w:tcPr>
            <w:tcW w:w="386" w:type="pct"/>
            <w:vMerge w:val="restart"/>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repudiated during the period</w:t>
            </w:r>
          </w:p>
        </w:tc>
        <w:tc>
          <w:tcPr>
            <w:tcW w:w="514" w:type="pct"/>
            <w:vMerge w:val="restart"/>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Claims Disallowed </w:t>
            </w:r>
            <w:r w:rsidR="00AC22B7">
              <w:rPr>
                <w:rFonts w:ascii="Arial" w:eastAsia="Times New Roman" w:hAnsi="Arial" w:cs="Arial"/>
                <w:b/>
                <w:bCs/>
                <w:color w:val="000000"/>
                <w:sz w:val="16"/>
                <w:szCs w:val="16"/>
                <w:lang w:eastAsia="en-IN"/>
              </w:rPr>
              <w:t xml:space="preserve">to total amount of claims processed </w:t>
            </w:r>
            <w:r w:rsidR="00AC22B7" w:rsidRPr="00666AAB">
              <w:rPr>
                <w:rFonts w:ascii="Arial" w:eastAsia="Times New Roman" w:hAnsi="Arial" w:cs="Arial"/>
                <w:b/>
                <w:bCs/>
                <w:color w:val="000000"/>
                <w:sz w:val="16"/>
                <w:szCs w:val="16"/>
                <w:lang w:eastAsia="en-IN"/>
              </w:rPr>
              <w:t>(%)</w:t>
            </w:r>
          </w:p>
        </w:tc>
        <w:tc>
          <w:tcPr>
            <w:tcW w:w="398" w:type="pct"/>
            <w:vMerge w:val="restart"/>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Repudiated</w:t>
            </w:r>
            <w:r w:rsidR="00AC22B7">
              <w:rPr>
                <w:rFonts w:ascii="Arial" w:eastAsia="Times New Roman" w:hAnsi="Arial" w:cs="Arial"/>
                <w:b/>
                <w:bCs/>
                <w:color w:val="000000"/>
                <w:sz w:val="16"/>
                <w:szCs w:val="16"/>
                <w:lang w:eastAsia="en-IN"/>
              </w:rPr>
              <w:t xml:space="preserve"> to total amount of claims processed</w:t>
            </w:r>
            <w:r w:rsidRPr="00666AAB">
              <w:rPr>
                <w:rFonts w:ascii="Arial" w:eastAsia="Times New Roman" w:hAnsi="Arial" w:cs="Arial"/>
                <w:b/>
                <w:bCs/>
                <w:color w:val="000000"/>
                <w:sz w:val="16"/>
                <w:szCs w:val="16"/>
                <w:lang w:eastAsia="en-IN"/>
              </w:rPr>
              <w:t xml:space="preserve"> (%)</w:t>
            </w:r>
          </w:p>
        </w:tc>
        <w:tc>
          <w:tcPr>
            <w:tcW w:w="424" w:type="pct"/>
            <w:vMerge w:val="restart"/>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disallowed as per terms and conditions of policy contract</w:t>
            </w:r>
          </w:p>
        </w:tc>
        <w:tc>
          <w:tcPr>
            <w:tcW w:w="424" w:type="pct"/>
            <w:vMerge w:val="restart"/>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repudiated during the period</w:t>
            </w:r>
          </w:p>
        </w:tc>
        <w:tc>
          <w:tcPr>
            <w:tcW w:w="456" w:type="pct"/>
            <w:vMerge w:val="restart"/>
            <w:vAlign w:val="center"/>
            <w:hideMark/>
          </w:tcPr>
          <w:p w:rsidR="005E6C93" w:rsidRPr="00666AAB" w:rsidRDefault="00AC22B7"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Claims Disallowed </w:t>
            </w:r>
            <w:r>
              <w:rPr>
                <w:rFonts w:ascii="Arial" w:eastAsia="Times New Roman" w:hAnsi="Arial" w:cs="Arial"/>
                <w:b/>
                <w:bCs/>
                <w:color w:val="000000"/>
                <w:sz w:val="16"/>
                <w:szCs w:val="16"/>
                <w:lang w:eastAsia="en-IN"/>
              </w:rPr>
              <w:t xml:space="preserve">to total amount of claims processed </w:t>
            </w:r>
            <w:r w:rsidRPr="00666AAB">
              <w:rPr>
                <w:rFonts w:ascii="Arial" w:eastAsia="Times New Roman" w:hAnsi="Arial" w:cs="Arial"/>
                <w:b/>
                <w:bCs/>
                <w:color w:val="000000"/>
                <w:sz w:val="16"/>
                <w:szCs w:val="16"/>
                <w:lang w:eastAsia="en-IN"/>
              </w:rPr>
              <w:t>(%)</w:t>
            </w:r>
          </w:p>
        </w:tc>
        <w:tc>
          <w:tcPr>
            <w:tcW w:w="454" w:type="pct"/>
            <w:vMerge w:val="restart"/>
            <w:vAlign w:val="center"/>
            <w:hideMark/>
          </w:tcPr>
          <w:p w:rsidR="005E6C93" w:rsidRPr="00666AAB" w:rsidRDefault="00AC22B7"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Repudiated</w:t>
            </w:r>
            <w:r>
              <w:rPr>
                <w:rFonts w:ascii="Arial" w:eastAsia="Times New Roman" w:hAnsi="Arial" w:cs="Arial"/>
                <w:b/>
                <w:bCs/>
                <w:color w:val="000000"/>
                <w:sz w:val="16"/>
                <w:szCs w:val="16"/>
                <w:lang w:eastAsia="en-IN"/>
              </w:rPr>
              <w:t xml:space="preserve"> to total amount of claims processed</w:t>
            </w:r>
            <w:r w:rsidRPr="00666AAB">
              <w:rPr>
                <w:rFonts w:ascii="Arial" w:eastAsia="Times New Roman" w:hAnsi="Arial" w:cs="Arial"/>
                <w:b/>
                <w:bCs/>
                <w:color w:val="000000"/>
                <w:sz w:val="16"/>
                <w:szCs w:val="16"/>
                <w:lang w:eastAsia="en-IN"/>
              </w:rPr>
              <w:t xml:space="preserve"> (%)</w:t>
            </w:r>
          </w:p>
        </w:tc>
      </w:tr>
      <w:tr w:rsidR="005E6C93" w:rsidRPr="00666AAB" w:rsidTr="00AC22B7">
        <w:trPr>
          <w:trHeight w:val="770"/>
        </w:trPr>
        <w:tc>
          <w:tcPr>
            <w:tcW w:w="186" w:type="pct"/>
            <w:vMerge/>
            <w:hideMark/>
          </w:tcPr>
          <w:p w:rsidR="005E6C93" w:rsidRPr="00666AAB" w:rsidRDefault="005E6C93" w:rsidP="00AC22B7">
            <w:pPr>
              <w:rPr>
                <w:rFonts w:ascii="Arial" w:eastAsia="Times New Roman" w:hAnsi="Arial" w:cs="Arial"/>
                <w:b/>
                <w:bCs/>
                <w:color w:val="000000"/>
                <w:sz w:val="16"/>
                <w:szCs w:val="16"/>
                <w:lang w:eastAsia="en-IN"/>
              </w:rPr>
            </w:pPr>
          </w:p>
        </w:tc>
        <w:tc>
          <w:tcPr>
            <w:tcW w:w="1334" w:type="pct"/>
            <w:vMerge/>
            <w:hideMark/>
          </w:tcPr>
          <w:p w:rsidR="005E6C93" w:rsidRPr="00666AAB" w:rsidRDefault="005E6C93" w:rsidP="00AC22B7">
            <w:pPr>
              <w:rPr>
                <w:rFonts w:ascii="Arial" w:eastAsia="Times New Roman" w:hAnsi="Arial" w:cs="Arial"/>
                <w:b/>
                <w:bCs/>
                <w:color w:val="000000"/>
                <w:sz w:val="16"/>
                <w:szCs w:val="16"/>
                <w:lang w:eastAsia="en-IN"/>
              </w:rPr>
            </w:pPr>
          </w:p>
        </w:tc>
        <w:tc>
          <w:tcPr>
            <w:tcW w:w="424" w:type="pct"/>
            <w:vMerge/>
            <w:hideMark/>
          </w:tcPr>
          <w:p w:rsidR="005E6C93" w:rsidRPr="00666AAB" w:rsidRDefault="005E6C93" w:rsidP="00AC22B7">
            <w:pPr>
              <w:rPr>
                <w:rFonts w:ascii="Arial" w:eastAsia="Times New Roman" w:hAnsi="Arial" w:cs="Arial"/>
                <w:b/>
                <w:bCs/>
                <w:color w:val="000000"/>
                <w:sz w:val="16"/>
                <w:szCs w:val="16"/>
                <w:lang w:eastAsia="en-IN"/>
              </w:rPr>
            </w:pPr>
          </w:p>
        </w:tc>
        <w:tc>
          <w:tcPr>
            <w:tcW w:w="386" w:type="pct"/>
            <w:vMerge/>
            <w:hideMark/>
          </w:tcPr>
          <w:p w:rsidR="005E6C93" w:rsidRPr="00666AAB" w:rsidRDefault="005E6C93" w:rsidP="00AC22B7">
            <w:pPr>
              <w:rPr>
                <w:rFonts w:ascii="Arial" w:eastAsia="Times New Roman" w:hAnsi="Arial" w:cs="Arial"/>
                <w:b/>
                <w:bCs/>
                <w:color w:val="000000"/>
                <w:sz w:val="16"/>
                <w:szCs w:val="16"/>
                <w:lang w:eastAsia="en-IN"/>
              </w:rPr>
            </w:pPr>
          </w:p>
        </w:tc>
        <w:tc>
          <w:tcPr>
            <w:tcW w:w="514" w:type="pct"/>
            <w:vMerge/>
            <w:hideMark/>
          </w:tcPr>
          <w:p w:rsidR="005E6C93" w:rsidRPr="00666AAB" w:rsidRDefault="005E6C93" w:rsidP="00AC22B7">
            <w:pPr>
              <w:rPr>
                <w:rFonts w:ascii="Arial" w:eastAsia="Times New Roman" w:hAnsi="Arial" w:cs="Arial"/>
                <w:b/>
                <w:bCs/>
                <w:color w:val="000000"/>
                <w:sz w:val="16"/>
                <w:szCs w:val="16"/>
                <w:lang w:eastAsia="en-IN"/>
              </w:rPr>
            </w:pPr>
          </w:p>
        </w:tc>
        <w:tc>
          <w:tcPr>
            <w:tcW w:w="398" w:type="pct"/>
            <w:vMerge/>
            <w:hideMark/>
          </w:tcPr>
          <w:p w:rsidR="005E6C93" w:rsidRPr="00666AAB" w:rsidRDefault="005E6C93" w:rsidP="00AC22B7">
            <w:pPr>
              <w:rPr>
                <w:rFonts w:ascii="Arial" w:eastAsia="Times New Roman" w:hAnsi="Arial" w:cs="Arial"/>
                <w:b/>
                <w:bCs/>
                <w:color w:val="000000"/>
                <w:sz w:val="16"/>
                <w:szCs w:val="16"/>
                <w:lang w:eastAsia="en-IN"/>
              </w:rPr>
            </w:pPr>
          </w:p>
        </w:tc>
        <w:tc>
          <w:tcPr>
            <w:tcW w:w="424" w:type="pct"/>
            <w:vMerge/>
            <w:hideMark/>
          </w:tcPr>
          <w:p w:rsidR="005E6C93" w:rsidRPr="00666AAB" w:rsidRDefault="005E6C93" w:rsidP="00AC22B7">
            <w:pPr>
              <w:rPr>
                <w:rFonts w:ascii="Arial" w:eastAsia="Times New Roman" w:hAnsi="Arial" w:cs="Arial"/>
                <w:b/>
                <w:bCs/>
                <w:color w:val="000000"/>
                <w:sz w:val="16"/>
                <w:szCs w:val="16"/>
                <w:lang w:eastAsia="en-IN"/>
              </w:rPr>
            </w:pPr>
          </w:p>
        </w:tc>
        <w:tc>
          <w:tcPr>
            <w:tcW w:w="424" w:type="pct"/>
            <w:vMerge/>
            <w:hideMark/>
          </w:tcPr>
          <w:p w:rsidR="005E6C93" w:rsidRPr="00666AAB" w:rsidRDefault="005E6C93" w:rsidP="00AC22B7">
            <w:pPr>
              <w:rPr>
                <w:rFonts w:ascii="Arial" w:eastAsia="Times New Roman" w:hAnsi="Arial" w:cs="Arial"/>
                <w:b/>
                <w:bCs/>
                <w:color w:val="000000"/>
                <w:sz w:val="16"/>
                <w:szCs w:val="16"/>
                <w:lang w:eastAsia="en-IN"/>
              </w:rPr>
            </w:pPr>
          </w:p>
        </w:tc>
        <w:tc>
          <w:tcPr>
            <w:tcW w:w="456" w:type="pct"/>
            <w:vMerge/>
            <w:hideMark/>
          </w:tcPr>
          <w:p w:rsidR="005E6C93" w:rsidRPr="00666AAB" w:rsidRDefault="005E6C93" w:rsidP="00AC22B7">
            <w:pPr>
              <w:rPr>
                <w:rFonts w:ascii="Arial" w:eastAsia="Times New Roman" w:hAnsi="Arial" w:cs="Arial"/>
                <w:b/>
                <w:bCs/>
                <w:color w:val="000000"/>
                <w:sz w:val="16"/>
                <w:szCs w:val="16"/>
                <w:lang w:eastAsia="en-IN"/>
              </w:rPr>
            </w:pPr>
          </w:p>
        </w:tc>
        <w:tc>
          <w:tcPr>
            <w:tcW w:w="454" w:type="pct"/>
            <w:vMerge/>
            <w:hideMark/>
          </w:tcPr>
          <w:p w:rsidR="005E6C93" w:rsidRPr="00666AAB" w:rsidRDefault="005E6C93" w:rsidP="00AC22B7">
            <w:pPr>
              <w:rPr>
                <w:rFonts w:ascii="Arial" w:eastAsia="Times New Roman" w:hAnsi="Arial" w:cs="Arial"/>
                <w:b/>
                <w:bCs/>
                <w:color w:val="000000"/>
                <w:sz w:val="16"/>
                <w:szCs w:val="16"/>
                <w:lang w:eastAsia="en-IN"/>
              </w:rPr>
            </w:pPr>
          </w:p>
        </w:tc>
      </w:tr>
      <w:tr w:rsidR="005E6C93" w:rsidRPr="00666AAB" w:rsidTr="00AC22B7">
        <w:trPr>
          <w:trHeight w:val="290"/>
        </w:trPr>
        <w:tc>
          <w:tcPr>
            <w:tcW w:w="186" w:type="pct"/>
            <w:vMerge/>
            <w:hideMark/>
          </w:tcPr>
          <w:p w:rsidR="005E6C93" w:rsidRPr="00666AAB" w:rsidRDefault="005E6C93" w:rsidP="00AC22B7">
            <w:pPr>
              <w:rPr>
                <w:rFonts w:ascii="Arial" w:eastAsia="Times New Roman" w:hAnsi="Arial" w:cs="Arial"/>
                <w:b/>
                <w:bCs/>
                <w:color w:val="000000"/>
                <w:sz w:val="16"/>
                <w:szCs w:val="16"/>
                <w:lang w:eastAsia="en-IN"/>
              </w:rPr>
            </w:pPr>
          </w:p>
        </w:tc>
        <w:tc>
          <w:tcPr>
            <w:tcW w:w="1334" w:type="pct"/>
            <w:vMerge/>
            <w:hideMark/>
          </w:tcPr>
          <w:p w:rsidR="005E6C93" w:rsidRPr="00666AAB" w:rsidRDefault="005E6C93" w:rsidP="00AC22B7">
            <w:pPr>
              <w:rPr>
                <w:rFonts w:ascii="Arial" w:eastAsia="Times New Roman" w:hAnsi="Arial" w:cs="Arial"/>
                <w:b/>
                <w:bCs/>
                <w:color w:val="000000"/>
                <w:sz w:val="16"/>
                <w:szCs w:val="16"/>
                <w:lang w:eastAsia="en-IN"/>
              </w:rPr>
            </w:pPr>
          </w:p>
        </w:tc>
        <w:tc>
          <w:tcPr>
            <w:tcW w:w="424" w:type="pct"/>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Amount </w:t>
            </w:r>
          </w:p>
        </w:tc>
        <w:tc>
          <w:tcPr>
            <w:tcW w:w="386" w:type="pct"/>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Amount </w:t>
            </w:r>
          </w:p>
        </w:tc>
        <w:tc>
          <w:tcPr>
            <w:tcW w:w="514" w:type="pct"/>
            <w:vMerge/>
            <w:hideMark/>
          </w:tcPr>
          <w:p w:rsidR="005E6C93" w:rsidRPr="00666AAB" w:rsidRDefault="005E6C93" w:rsidP="00AC22B7">
            <w:pPr>
              <w:rPr>
                <w:rFonts w:ascii="Arial" w:eastAsia="Times New Roman" w:hAnsi="Arial" w:cs="Arial"/>
                <w:b/>
                <w:bCs/>
                <w:color w:val="000000"/>
                <w:sz w:val="16"/>
                <w:szCs w:val="16"/>
                <w:lang w:eastAsia="en-IN"/>
              </w:rPr>
            </w:pPr>
          </w:p>
        </w:tc>
        <w:tc>
          <w:tcPr>
            <w:tcW w:w="398" w:type="pct"/>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Amount</w:t>
            </w:r>
          </w:p>
        </w:tc>
        <w:tc>
          <w:tcPr>
            <w:tcW w:w="424" w:type="pct"/>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Amount </w:t>
            </w:r>
          </w:p>
        </w:tc>
        <w:tc>
          <w:tcPr>
            <w:tcW w:w="424" w:type="pct"/>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Amount </w:t>
            </w:r>
          </w:p>
        </w:tc>
        <w:tc>
          <w:tcPr>
            <w:tcW w:w="456" w:type="pct"/>
            <w:vMerge/>
            <w:hideMark/>
          </w:tcPr>
          <w:p w:rsidR="005E6C93" w:rsidRPr="00666AAB" w:rsidRDefault="005E6C93" w:rsidP="00AC22B7">
            <w:pPr>
              <w:rPr>
                <w:rFonts w:ascii="Arial" w:eastAsia="Times New Roman" w:hAnsi="Arial" w:cs="Arial"/>
                <w:b/>
                <w:bCs/>
                <w:color w:val="000000"/>
                <w:sz w:val="16"/>
                <w:szCs w:val="16"/>
                <w:lang w:eastAsia="en-IN"/>
              </w:rPr>
            </w:pPr>
          </w:p>
        </w:tc>
        <w:tc>
          <w:tcPr>
            <w:tcW w:w="454" w:type="pct"/>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Amount</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p>
        </w:tc>
        <w:tc>
          <w:tcPr>
            <w:tcW w:w="1334" w:type="pct"/>
            <w:noWrap/>
            <w:hideMark/>
          </w:tcPr>
          <w:p w:rsidR="005E6C93" w:rsidRPr="00666AAB" w:rsidRDefault="005E6C93" w:rsidP="00AC22B7">
            <w:pPr>
              <w:rPr>
                <w:rFonts w:ascii="Times New Roman" w:eastAsia="Times New Roman" w:hAnsi="Times New Roman" w:cs="Times New Roman"/>
                <w:sz w:val="16"/>
                <w:szCs w:val="16"/>
                <w:lang w:eastAsia="en-IN"/>
              </w:rPr>
            </w:pPr>
          </w:p>
        </w:tc>
        <w:tc>
          <w:tcPr>
            <w:tcW w:w="424" w:type="pct"/>
            <w:noWrap/>
            <w:hideMark/>
          </w:tcPr>
          <w:p w:rsidR="005E6C93" w:rsidRPr="00666AAB" w:rsidRDefault="005E6C93" w:rsidP="00AC22B7">
            <w:pPr>
              <w:rPr>
                <w:rFonts w:ascii="Times New Roman" w:eastAsia="Times New Roman" w:hAnsi="Times New Roman" w:cs="Times New Roman"/>
                <w:sz w:val="16"/>
                <w:szCs w:val="16"/>
                <w:lang w:eastAsia="en-IN"/>
              </w:rPr>
            </w:pPr>
          </w:p>
        </w:tc>
        <w:tc>
          <w:tcPr>
            <w:tcW w:w="386" w:type="pct"/>
            <w:noWrap/>
            <w:hideMark/>
          </w:tcPr>
          <w:p w:rsidR="005E6C93" w:rsidRPr="00666AAB" w:rsidRDefault="005E6C93" w:rsidP="00AC22B7">
            <w:pPr>
              <w:rPr>
                <w:rFonts w:ascii="Times New Roman" w:eastAsia="Times New Roman" w:hAnsi="Times New Roman" w:cs="Times New Roman"/>
                <w:sz w:val="16"/>
                <w:szCs w:val="16"/>
                <w:lang w:eastAsia="en-IN"/>
              </w:rPr>
            </w:pPr>
          </w:p>
        </w:tc>
        <w:tc>
          <w:tcPr>
            <w:tcW w:w="514" w:type="pct"/>
            <w:noWrap/>
            <w:hideMark/>
          </w:tcPr>
          <w:p w:rsidR="005E6C93" w:rsidRPr="00666AAB" w:rsidRDefault="005E6C93" w:rsidP="00AC22B7">
            <w:pPr>
              <w:rPr>
                <w:rFonts w:ascii="Times New Roman" w:eastAsia="Times New Roman" w:hAnsi="Times New Roman" w:cs="Times New Roman"/>
                <w:sz w:val="16"/>
                <w:szCs w:val="16"/>
                <w:lang w:eastAsia="en-IN"/>
              </w:rPr>
            </w:pPr>
          </w:p>
        </w:tc>
        <w:tc>
          <w:tcPr>
            <w:tcW w:w="398" w:type="pct"/>
            <w:noWrap/>
            <w:hideMark/>
          </w:tcPr>
          <w:p w:rsidR="005E6C93" w:rsidRPr="00666AAB" w:rsidRDefault="005E6C93" w:rsidP="00AC22B7">
            <w:pPr>
              <w:rPr>
                <w:rFonts w:ascii="Times New Roman" w:eastAsia="Times New Roman" w:hAnsi="Times New Roman" w:cs="Times New Roman"/>
                <w:sz w:val="16"/>
                <w:szCs w:val="16"/>
                <w:lang w:eastAsia="en-IN"/>
              </w:rPr>
            </w:pPr>
          </w:p>
        </w:tc>
        <w:tc>
          <w:tcPr>
            <w:tcW w:w="424" w:type="pct"/>
            <w:noWrap/>
            <w:hideMark/>
          </w:tcPr>
          <w:p w:rsidR="005E6C93" w:rsidRPr="00666AAB" w:rsidRDefault="005E6C93" w:rsidP="00AC22B7">
            <w:pPr>
              <w:rPr>
                <w:rFonts w:ascii="Times New Roman" w:eastAsia="Times New Roman" w:hAnsi="Times New Roman" w:cs="Times New Roman"/>
                <w:sz w:val="16"/>
                <w:szCs w:val="16"/>
                <w:lang w:eastAsia="en-IN"/>
              </w:rPr>
            </w:pPr>
          </w:p>
        </w:tc>
        <w:tc>
          <w:tcPr>
            <w:tcW w:w="424" w:type="pct"/>
            <w:noWrap/>
            <w:hideMark/>
          </w:tcPr>
          <w:p w:rsidR="005E6C93" w:rsidRPr="00666AAB" w:rsidRDefault="005E6C93" w:rsidP="00AC22B7">
            <w:pPr>
              <w:rPr>
                <w:rFonts w:ascii="Times New Roman" w:eastAsia="Times New Roman" w:hAnsi="Times New Roman" w:cs="Times New Roman"/>
                <w:sz w:val="16"/>
                <w:szCs w:val="16"/>
                <w:lang w:eastAsia="en-IN"/>
              </w:rPr>
            </w:pPr>
          </w:p>
        </w:tc>
        <w:tc>
          <w:tcPr>
            <w:tcW w:w="456" w:type="pct"/>
            <w:noWrap/>
            <w:hideMark/>
          </w:tcPr>
          <w:p w:rsidR="005E6C93" w:rsidRPr="00666AAB" w:rsidRDefault="005E6C93" w:rsidP="00AC22B7">
            <w:pPr>
              <w:rPr>
                <w:rFonts w:ascii="Times New Roman" w:eastAsia="Times New Roman" w:hAnsi="Times New Roman" w:cs="Times New Roman"/>
                <w:sz w:val="16"/>
                <w:szCs w:val="16"/>
                <w:lang w:eastAsia="en-IN"/>
              </w:rPr>
            </w:pPr>
          </w:p>
        </w:tc>
        <w:tc>
          <w:tcPr>
            <w:tcW w:w="454" w:type="pct"/>
            <w:noWrap/>
            <w:hideMark/>
          </w:tcPr>
          <w:p w:rsidR="005E6C93" w:rsidRPr="00666AAB" w:rsidRDefault="005E6C93" w:rsidP="00AC22B7">
            <w:pPr>
              <w:rPr>
                <w:rFonts w:ascii="Times New Roman" w:eastAsia="Times New Roman" w:hAnsi="Times New Roman" w:cs="Times New Roman"/>
                <w:sz w:val="16"/>
                <w:szCs w:val="16"/>
                <w:lang w:eastAsia="en-IN"/>
              </w:rPr>
            </w:pP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w:t>
            </w:r>
          </w:p>
        </w:tc>
        <w:tc>
          <w:tcPr>
            <w:tcW w:w="1334" w:type="pct"/>
            <w:hideMark/>
          </w:tcPr>
          <w:p w:rsidR="005E6C93" w:rsidRPr="00666AAB" w:rsidRDefault="005E6C93" w:rsidP="00AC22B7">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National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43,944</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7.35%</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1,85,542</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76,489</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17.91%</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7.38%</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w:t>
            </w:r>
          </w:p>
        </w:tc>
        <w:tc>
          <w:tcPr>
            <w:tcW w:w="1334" w:type="pct"/>
            <w:hideMark/>
          </w:tcPr>
          <w:p w:rsidR="005E6C93" w:rsidRPr="00666AAB" w:rsidRDefault="005E6C93" w:rsidP="00AC22B7">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The New India Assurance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3,68,564</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60,395</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26.08%</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4.27%</w:t>
            </w:r>
          </w:p>
        </w:tc>
        <w:tc>
          <w:tcPr>
            <w:tcW w:w="424" w:type="pct"/>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4,40,605</w:t>
            </w:r>
          </w:p>
        </w:tc>
        <w:tc>
          <w:tcPr>
            <w:tcW w:w="424" w:type="pct"/>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86,521</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20.07%</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3.94%</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3</w:t>
            </w:r>
          </w:p>
        </w:tc>
        <w:tc>
          <w:tcPr>
            <w:tcW w:w="1334" w:type="pct"/>
            <w:hideMark/>
          </w:tcPr>
          <w:p w:rsidR="005E6C93" w:rsidRPr="00666AAB" w:rsidRDefault="005E6C93" w:rsidP="00AC22B7">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The Oriental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6,118</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1.02%</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1,651</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0.20%</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4</w:t>
            </w:r>
          </w:p>
        </w:tc>
        <w:tc>
          <w:tcPr>
            <w:tcW w:w="1334" w:type="pct"/>
            <w:hideMark/>
          </w:tcPr>
          <w:p w:rsidR="005E6C93" w:rsidRPr="00666AAB" w:rsidRDefault="005E6C93" w:rsidP="00AC22B7">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United India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70,139</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37,942</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8.93%</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4.83%</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1,14,663</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32,425</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11.42%</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3.23%</w:t>
            </w:r>
          </w:p>
        </w:tc>
      </w:tr>
      <w:tr w:rsidR="005E6C93" w:rsidRPr="00666AAB" w:rsidTr="00AC22B7">
        <w:trPr>
          <w:trHeight w:val="290"/>
        </w:trPr>
        <w:tc>
          <w:tcPr>
            <w:tcW w:w="186" w:type="pct"/>
            <w:noWrap/>
            <w:hideMark/>
          </w:tcPr>
          <w:p w:rsidR="005E6C93" w:rsidRPr="00666AAB" w:rsidRDefault="005E6C93" w:rsidP="00AC22B7">
            <w:pPr>
              <w:jc w:val="right"/>
              <w:rPr>
                <w:rFonts w:ascii="Arial" w:eastAsia="Times New Roman" w:hAnsi="Arial" w:cs="Arial"/>
                <w:b/>
                <w:bCs/>
                <w:color w:val="000000"/>
                <w:sz w:val="16"/>
                <w:szCs w:val="16"/>
                <w:lang w:eastAsia="en-IN"/>
              </w:rPr>
            </w:pPr>
          </w:p>
        </w:tc>
        <w:tc>
          <w:tcPr>
            <w:tcW w:w="1334" w:type="pct"/>
            <w:noWrap/>
            <w:hideMark/>
          </w:tcPr>
          <w:p w:rsidR="005E6C93" w:rsidRPr="00666AAB" w:rsidRDefault="005E6C93" w:rsidP="00AC22B7">
            <w:pPr>
              <w:rPr>
                <w:rFonts w:ascii="Times New Roman" w:eastAsia="Times New Roman" w:hAnsi="Times New Roman" w:cs="Times New Roman"/>
                <w:sz w:val="16"/>
                <w:szCs w:val="16"/>
                <w:lang w:eastAsia="en-IN"/>
              </w:rPr>
            </w:pPr>
          </w:p>
        </w:tc>
        <w:tc>
          <w:tcPr>
            <w:tcW w:w="424" w:type="pct"/>
            <w:noWrap/>
            <w:vAlign w:val="center"/>
            <w:hideMark/>
          </w:tcPr>
          <w:p w:rsidR="005E6C93" w:rsidRPr="00666AAB" w:rsidRDefault="005E6C93" w:rsidP="00AC22B7">
            <w:pPr>
              <w:jc w:val="center"/>
              <w:rPr>
                <w:rFonts w:ascii="Times New Roman" w:eastAsia="Times New Roman" w:hAnsi="Times New Roman" w:cs="Times New Roman"/>
                <w:sz w:val="16"/>
                <w:szCs w:val="16"/>
                <w:lang w:eastAsia="en-IN"/>
              </w:rPr>
            </w:pPr>
          </w:p>
        </w:tc>
        <w:tc>
          <w:tcPr>
            <w:tcW w:w="386" w:type="pct"/>
            <w:noWrap/>
            <w:vAlign w:val="center"/>
            <w:hideMark/>
          </w:tcPr>
          <w:p w:rsidR="005E6C93" w:rsidRPr="00666AAB" w:rsidRDefault="005E6C93" w:rsidP="00AC22B7">
            <w:pPr>
              <w:jc w:val="center"/>
              <w:rPr>
                <w:rFonts w:ascii="Times New Roman" w:eastAsia="Times New Roman" w:hAnsi="Times New Roman" w:cs="Times New Roman"/>
                <w:sz w:val="16"/>
                <w:szCs w:val="16"/>
                <w:lang w:eastAsia="en-IN"/>
              </w:rPr>
            </w:pPr>
          </w:p>
        </w:tc>
        <w:tc>
          <w:tcPr>
            <w:tcW w:w="514" w:type="pct"/>
            <w:noWrap/>
            <w:vAlign w:val="center"/>
            <w:hideMark/>
          </w:tcPr>
          <w:p w:rsidR="005E6C93" w:rsidRPr="00666AAB" w:rsidRDefault="005E6C93" w:rsidP="00AC22B7">
            <w:pPr>
              <w:jc w:val="center"/>
              <w:rPr>
                <w:rFonts w:ascii="Times New Roman" w:eastAsia="Times New Roman" w:hAnsi="Times New Roman" w:cs="Times New Roman"/>
                <w:sz w:val="16"/>
                <w:szCs w:val="16"/>
                <w:lang w:eastAsia="en-IN"/>
              </w:rPr>
            </w:pPr>
          </w:p>
        </w:tc>
        <w:tc>
          <w:tcPr>
            <w:tcW w:w="398" w:type="pct"/>
            <w:noWrap/>
            <w:vAlign w:val="center"/>
            <w:hideMark/>
          </w:tcPr>
          <w:p w:rsidR="005E6C93" w:rsidRPr="00666AAB" w:rsidRDefault="005E6C93" w:rsidP="00AC22B7">
            <w:pPr>
              <w:jc w:val="center"/>
              <w:rPr>
                <w:rFonts w:ascii="Times New Roman" w:eastAsia="Times New Roman" w:hAnsi="Times New Roman" w:cs="Times New Roman"/>
                <w:sz w:val="16"/>
                <w:szCs w:val="16"/>
                <w:lang w:eastAsia="en-IN"/>
              </w:rPr>
            </w:pPr>
          </w:p>
        </w:tc>
        <w:tc>
          <w:tcPr>
            <w:tcW w:w="424" w:type="pct"/>
            <w:noWrap/>
            <w:vAlign w:val="center"/>
            <w:hideMark/>
          </w:tcPr>
          <w:p w:rsidR="005E6C93" w:rsidRPr="00666AAB" w:rsidRDefault="005E6C93" w:rsidP="00AC22B7">
            <w:pPr>
              <w:jc w:val="center"/>
              <w:rPr>
                <w:rFonts w:ascii="Times New Roman" w:eastAsia="Times New Roman" w:hAnsi="Times New Roman" w:cs="Times New Roman"/>
                <w:sz w:val="16"/>
                <w:szCs w:val="16"/>
                <w:lang w:eastAsia="en-IN"/>
              </w:rPr>
            </w:pPr>
          </w:p>
        </w:tc>
        <w:tc>
          <w:tcPr>
            <w:tcW w:w="424" w:type="pct"/>
            <w:noWrap/>
            <w:vAlign w:val="center"/>
            <w:hideMark/>
          </w:tcPr>
          <w:p w:rsidR="005E6C93" w:rsidRPr="00666AAB" w:rsidRDefault="005E6C93" w:rsidP="00AC22B7">
            <w:pPr>
              <w:jc w:val="center"/>
              <w:rPr>
                <w:rFonts w:ascii="Times New Roman" w:eastAsia="Times New Roman" w:hAnsi="Times New Roman" w:cs="Times New Roman"/>
                <w:sz w:val="16"/>
                <w:szCs w:val="16"/>
                <w:lang w:eastAsia="en-IN"/>
              </w:rPr>
            </w:pPr>
          </w:p>
        </w:tc>
        <w:tc>
          <w:tcPr>
            <w:tcW w:w="456" w:type="pct"/>
            <w:noWrap/>
            <w:vAlign w:val="center"/>
            <w:hideMark/>
          </w:tcPr>
          <w:p w:rsidR="005E6C93" w:rsidRPr="00666AAB" w:rsidRDefault="005E6C93" w:rsidP="00AC22B7">
            <w:pPr>
              <w:jc w:val="center"/>
              <w:rPr>
                <w:rFonts w:ascii="Times New Roman" w:eastAsia="Times New Roman" w:hAnsi="Times New Roman" w:cs="Times New Roman"/>
                <w:sz w:val="16"/>
                <w:szCs w:val="16"/>
                <w:lang w:eastAsia="en-IN"/>
              </w:rPr>
            </w:pPr>
          </w:p>
        </w:tc>
        <w:tc>
          <w:tcPr>
            <w:tcW w:w="454" w:type="pct"/>
            <w:noWrap/>
            <w:vAlign w:val="center"/>
            <w:hideMark/>
          </w:tcPr>
          <w:p w:rsidR="005E6C93" w:rsidRPr="00666AAB" w:rsidRDefault="005E6C93" w:rsidP="00AC22B7">
            <w:pPr>
              <w:jc w:val="center"/>
              <w:rPr>
                <w:rFonts w:ascii="Times New Roman" w:eastAsia="Times New Roman" w:hAnsi="Times New Roman" w:cs="Times New Roman"/>
                <w:sz w:val="16"/>
                <w:szCs w:val="16"/>
                <w:lang w:eastAsia="en-IN"/>
              </w:rPr>
            </w:pP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5</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Acko General Insurance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1,885</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2,284</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17.67%</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21.40%</w:t>
            </w:r>
          </w:p>
        </w:tc>
        <w:tc>
          <w:tcPr>
            <w:tcW w:w="424" w:type="pct"/>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7,428</w:t>
            </w:r>
          </w:p>
        </w:tc>
        <w:tc>
          <w:tcPr>
            <w:tcW w:w="424" w:type="pct"/>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14,427</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14.09%</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27.37%</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6</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Bajaj Allianz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30,350</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29,508</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14.35%</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13.95%</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36,697</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27,372</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9.94%</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7.42%</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7</w:t>
            </w:r>
          </w:p>
        </w:tc>
        <w:tc>
          <w:tcPr>
            <w:tcW w:w="1334" w:type="pct"/>
            <w:noWrap/>
            <w:hideMark/>
          </w:tcPr>
          <w:p w:rsidR="005E6C93" w:rsidRPr="00666AAB" w:rsidRDefault="005E6C93" w:rsidP="00AC22B7">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 xml:space="preserve">Bharati AXA General Insurance Co. Ltd. </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826</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1,910</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8</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Cholamandalam MS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2,772</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8,655</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5.56%</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17.36%</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2,533</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17,622</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2.91%</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20.25%</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9</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Future Generali India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1,485</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5,002</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3.25%</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10.95%</w:t>
            </w:r>
          </w:p>
        </w:tc>
        <w:tc>
          <w:tcPr>
            <w:tcW w:w="424" w:type="pct"/>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6,082</w:t>
            </w:r>
          </w:p>
        </w:tc>
        <w:tc>
          <w:tcPr>
            <w:tcW w:w="424" w:type="pct"/>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7,726</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8.54%</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10.85%</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10</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Go Digit General Insurance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280</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2,198</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3.51%</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27.49%</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4,682</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132</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21.03%</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0.59%</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11</w:t>
            </w:r>
          </w:p>
        </w:tc>
        <w:tc>
          <w:tcPr>
            <w:tcW w:w="1334" w:type="pct"/>
            <w:noWrap/>
            <w:hideMark/>
          </w:tcPr>
          <w:p w:rsidR="005E6C93" w:rsidRPr="00666AAB" w:rsidRDefault="005E6C93" w:rsidP="00AC22B7">
            <w:pPr>
              <w:rPr>
                <w:rFonts w:ascii="Arial" w:eastAsia="Times New Roman" w:hAnsi="Arial" w:cs="Arial"/>
                <w:color w:val="333333"/>
                <w:sz w:val="16"/>
                <w:szCs w:val="16"/>
                <w:lang w:eastAsia="en-IN"/>
              </w:rPr>
            </w:pPr>
            <w:r w:rsidRPr="00666AAB">
              <w:rPr>
                <w:rFonts w:ascii="Arial" w:eastAsia="Times New Roman" w:hAnsi="Arial" w:cs="Arial"/>
                <w:color w:val="333333"/>
                <w:sz w:val="16"/>
                <w:szCs w:val="16"/>
                <w:lang w:eastAsia="en-IN"/>
              </w:rPr>
              <w:t>HDFC ERGO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42,546</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54,373</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11.27%</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14.40%</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88,394</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67,611</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15.83%</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12.11%</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12</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ICICI Lombard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32,648</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46,633</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12.81%</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18.30%</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69,970</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82,009</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13.69%</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16.04%</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13</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IFFCO Tokio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7,727</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15,260</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4.26%</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8.41%</w:t>
            </w:r>
          </w:p>
        </w:tc>
        <w:tc>
          <w:tcPr>
            <w:tcW w:w="424" w:type="pct"/>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1,105</w:t>
            </w:r>
          </w:p>
        </w:tc>
        <w:tc>
          <w:tcPr>
            <w:tcW w:w="424" w:type="pct"/>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21,868</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0.48%</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9.47%</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14</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Kotak Mahindra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762</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1,564</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8.83%</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18.13%</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1,707</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2,749</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9.47%</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15.26%</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15</w:t>
            </w:r>
          </w:p>
        </w:tc>
        <w:tc>
          <w:tcPr>
            <w:tcW w:w="1334" w:type="pct"/>
            <w:noWrap/>
            <w:hideMark/>
          </w:tcPr>
          <w:p w:rsidR="005E6C93" w:rsidRPr="00666AAB" w:rsidRDefault="005E6C93" w:rsidP="00AC22B7">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Kshema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16</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Liberty General Insurance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160</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3,451</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0.72%</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15.55%</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5,723</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4,618</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17.99%</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14.52%</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lastRenderedPageBreak/>
              <w:t>17</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Magma HDI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360</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279</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10.26%</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7.94%</w:t>
            </w:r>
          </w:p>
        </w:tc>
        <w:tc>
          <w:tcPr>
            <w:tcW w:w="424" w:type="pct"/>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1,695</w:t>
            </w:r>
          </w:p>
        </w:tc>
        <w:tc>
          <w:tcPr>
            <w:tcW w:w="424" w:type="pct"/>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1,266</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17.04%</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12.73%</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18</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Navi General Insurance Limited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206</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112</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18.44%</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10.02%</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40</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848</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2.20%</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46.52%</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19</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Raheja QBE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60</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1.50%</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8.84%</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110</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215</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5.76%</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11.26%</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20</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Reliance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26,225</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22,831</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15.57%</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13.55%</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15,678</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26,473</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10.02%</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16.92%</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21</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Royal Sundaram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6,804</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3,166</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18.42%</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8.57%</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7,777</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3,421</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15.72%</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6.92%</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22</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SBI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27,619</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8,159</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25.56%</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7.55%</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46,953</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14,485</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22.24%</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6.86%</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23</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Shriram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95.02%</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41.37%</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32.24%</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24</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Tata AIG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8,453</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12,386</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12.37%</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18.12%</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13,942</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23,945</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9.57%</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16.44%</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25</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Universal Sompo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12,415</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12,742</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26.47%</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27.16%</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15,570</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13,664</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24.71%</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21.68%</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26</w:t>
            </w:r>
          </w:p>
        </w:tc>
        <w:tc>
          <w:tcPr>
            <w:tcW w:w="1334" w:type="pct"/>
            <w:noWrap/>
            <w:hideMark/>
          </w:tcPr>
          <w:p w:rsidR="005E6C93" w:rsidRPr="00666AAB" w:rsidRDefault="005E6C93" w:rsidP="00AC22B7">
            <w:pPr>
              <w:rPr>
                <w:rFonts w:ascii="Arial" w:eastAsia="Times New Roman" w:hAnsi="Arial" w:cs="Arial"/>
                <w:sz w:val="16"/>
                <w:szCs w:val="16"/>
                <w:lang w:eastAsia="en-IN"/>
              </w:rPr>
            </w:pPr>
            <w:r w:rsidRPr="00666AAB">
              <w:rPr>
                <w:rFonts w:ascii="Arial" w:eastAsia="Times New Roman" w:hAnsi="Arial" w:cs="Arial"/>
                <w:sz w:val="16"/>
                <w:szCs w:val="16"/>
                <w:lang w:eastAsia="en-IN"/>
              </w:rPr>
              <w:t>Zuno General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451</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207</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7.97%</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3.66%</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3,418</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710</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24.79%</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5.15%</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27</w:t>
            </w:r>
          </w:p>
        </w:tc>
        <w:tc>
          <w:tcPr>
            <w:tcW w:w="1334" w:type="pct"/>
            <w:hideMark/>
          </w:tcPr>
          <w:p w:rsidR="005E6C93" w:rsidRPr="00666AAB" w:rsidRDefault="005E6C93" w:rsidP="00AC22B7">
            <w:pPr>
              <w:rPr>
                <w:rFonts w:ascii="Arial" w:eastAsia="Times New Roman" w:hAnsi="Arial" w:cs="Arial"/>
                <w:color w:val="333333"/>
                <w:sz w:val="16"/>
                <w:szCs w:val="16"/>
                <w:lang w:eastAsia="en-IN"/>
              </w:rPr>
            </w:pPr>
            <w:r w:rsidRPr="00666AAB">
              <w:rPr>
                <w:rFonts w:ascii="Arial" w:eastAsia="Times New Roman" w:hAnsi="Arial" w:cs="Arial"/>
                <w:color w:val="333333"/>
                <w:sz w:val="16"/>
                <w:szCs w:val="16"/>
                <w:lang w:eastAsia="en-IN"/>
              </w:rPr>
              <w:t>Aditya Birla Health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7,576</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14.70%</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11,384</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20,602</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8.62%</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15.60%</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28</w:t>
            </w:r>
          </w:p>
        </w:tc>
        <w:tc>
          <w:tcPr>
            <w:tcW w:w="1334" w:type="pct"/>
            <w:hideMark/>
          </w:tcPr>
          <w:p w:rsidR="005E6C93" w:rsidRPr="00666AAB" w:rsidRDefault="005E6C93" w:rsidP="00AC22B7">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Care Health Insurance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44,434</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26,139</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21.85%</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12.85%</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37,257</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54,942</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11.23%</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16.56%</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29</w:t>
            </w:r>
          </w:p>
        </w:tc>
        <w:tc>
          <w:tcPr>
            <w:tcW w:w="1334" w:type="pct"/>
            <w:hideMark/>
          </w:tcPr>
          <w:p w:rsidR="005E6C93" w:rsidRPr="00666AAB" w:rsidRDefault="005E6C93" w:rsidP="00AC22B7">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Galaxy Health Insurance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30</w:t>
            </w:r>
          </w:p>
        </w:tc>
        <w:tc>
          <w:tcPr>
            <w:tcW w:w="1334" w:type="pct"/>
            <w:hideMark/>
          </w:tcPr>
          <w:p w:rsidR="005E6C93" w:rsidRPr="00666AAB" w:rsidRDefault="005E6C93" w:rsidP="00AC22B7">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ManipalCigna Health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8,608</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20,366</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12.83%</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30.34%</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20,460</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27,824</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18.01%</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24.49%</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31</w:t>
            </w:r>
          </w:p>
        </w:tc>
        <w:tc>
          <w:tcPr>
            <w:tcW w:w="1334" w:type="pct"/>
            <w:hideMark/>
          </w:tcPr>
          <w:p w:rsidR="005E6C93" w:rsidRPr="00666AAB" w:rsidRDefault="005E6C93" w:rsidP="00AC22B7">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Narayana Health Insurance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32</w:t>
            </w:r>
          </w:p>
        </w:tc>
        <w:tc>
          <w:tcPr>
            <w:tcW w:w="1334" w:type="pct"/>
            <w:hideMark/>
          </w:tcPr>
          <w:p w:rsidR="005E6C93" w:rsidRPr="00666AAB" w:rsidRDefault="005E6C93" w:rsidP="00AC22B7">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Niva Bupa Health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16,802</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10,917</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18.74%</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12.17%</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36,750</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22,918</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19.42%</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12.11%</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33</w:t>
            </w:r>
          </w:p>
        </w:tc>
        <w:tc>
          <w:tcPr>
            <w:tcW w:w="1334" w:type="pct"/>
            <w:hideMark/>
          </w:tcPr>
          <w:p w:rsidR="005E6C93" w:rsidRPr="00666AAB" w:rsidRDefault="005E6C93" w:rsidP="00AC22B7">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Reliance Health Insurance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58</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9.10%</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38.34%</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26</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10.46%</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25.39%</w:t>
            </w:r>
          </w:p>
        </w:tc>
      </w:tr>
      <w:tr w:rsidR="005E6C93" w:rsidRPr="00666AAB" w:rsidTr="00AC22B7">
        <w:trPr>
          <w:trHeight w:val="290"/>
        </w:trPr>
        <w:tc>
          <w:tcPr>
            <w:tcW w:w="186" w:type="pct"/>
            <w:noWrap/>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34</w:t>
            </w:r>
          </w:p>
        </w:tc>
        <w:tc>
          <w:tcPr>
            <w:tcW w:w="1334" w:type="pct"/>
            <w:hideMark/>
          </w:tcPr>
          <w:p w:rsidR="005E6C93" w:rsidRPr="00666AAB" w:rsidRDefault="005E6C93" w:rsidP="00AC22B7">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Star Health &amp; Allied  Insurance Co. Ltd.</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1,79,184</w:t>
            </w:r>
          </w:p>
        </w:tc>
        <w:tc>
          <w:tcPr>
            <w:tcW w:w="38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1,16,510</w:t>
            </w:r>
          </w:p>
        </w:tc>
        <w:tc>
          <w:tcPr>
            <w:tcW w:w="51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20.93%</w:t>
            </w:r>
          </w:p>
        </w:tc>
        <w:tc>
          <w:tcPr>
            <w:tcW w:w="398"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13.61%</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3,19,326</w:t>
            </w:r>
          </w:p>
        </w:tc>
        <w:tc>
          <w:tcPr>
            <w:tcW w:w="42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2,52,459</w:t>
            </w:r>
          </w:p>
        </w:tc>
        <w:tc>
          <w:tcPr>
            <w:tcW w:w="456"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21.24%</w:t>
            </w:r>
          </w:p>
        </w:tc>
        <w:tc>
          <w:tcPr>
            <w:tcW w:w="454" w:type="pct"/>
            <w:noWrap/>
            <w:vAlign w:val="center"/>
            <w:hideMark/>
          </w:tcPr>
          <w:p w:rsidR="005E6C93" w:rsidRPr="00666AAB" w:rsidRDefault="005E6C93" w:rsidP="00AC22B7">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16.80%</w:t>
            </w:r>
          </w:p>
        </w:tc>
      </w:tr>
      <w:tr w:rsidR="005E6C93" w:rsidRPr="00666AAB" w:rsidTr="00AC22B7">
        <w:trPr>
          <w:trHeight w:val="290"/>
        </w:trPr>
        <w:tc>
          <w:tcPr>
            <w:tcW w:w="186" w:type="pct"/>
            <w:noWrap/>
            <w:hideMark/>
          </w:tcPr>
          <w:p w:rsidR="005E6C93" w:rsidRPr="00666AAB" w:rsidRDefault="005E6C93" w:rsidP="00AC22B7">
            <w:pPr>
              <w:jc w:val="right"/>
              <w:rPr>
                <w:rFonts w:ascii="Arial" w:eastAsia="Times New Roman" w:hAnsi="Arial" w:cs="Arial"/>
                <w:b/>
                <w:bCs/>
                <w:color w:val="000000"/>
                <w:sz w:val="16"/>
                <w:szCs w:val="16"/>
                <w:lang w:eastAsia="en-IN"/>
              </w:rPr>
            </w:pPr>
          </w:p>
        </w:tc>
        <w:tc>
          <w:tcPr>
            <w:tcW w:w="1334" w:type="pct"/>
            <w:hideMark/>
          </w:tcPr>
          <w:p w:rsidR="005E6C93" w:rsidRPr="00666AAB" w:rsidRDefault="005E6C93" w:rsidP="00AC22B7">
            <w:pP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Grand Total</w:t>
            </w:r>
          </w:p>
        </w:tc>
        <w:tc>
          <w:tcPr>
            <w:tcW w:w="424" w:type="pct"/>
            <w:noWrap/>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8,91,727.16</w:t>
            </w:r>
          </w:p>
        </w:tc>
        <w:tc>
          <w:tcPr>
            <w:tcW w:w="386" w:type="pct"/>
            <w:noWrap/>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5,60,746.52</w:t>
            </w:r>
          </w:p>
        </w:tc>
        <w:tc>
          <w:tcPr>
            <w:tcW w:w="514" w:type="pct"/>
            <w:noWrap/>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14.16%</w:t>
            </w:r>
          </w:p>
        </w:tc>
        <w:tc>
          <w:tcPr>
            <w:tcW w:w="398" w:type="pct"/>
            <w:noWrap/>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8.90%</w:t>
            </w:r>
          </w:p>
        </w:tc>
        <w:tc>
          <w:tcPr>
            <w:tcW w:w="424" w:type="pct"/>
            <w:noWrap/>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14,95,509</w:t>
            </w:r>
          </w:p>
        </w:tc>
        <w:tc>
          <w:tcPr>
            <w:tcW w:w="424" w:type="pct"/>
            <w:noWrap/>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9,07,024</w:t>
            </w:r>
          </w:p>
        </w:tc>
        <w:tc>
          <w:tcPr>
            <w:tcW w:w="456" w:type="pct"/>
            <w:noWrap/>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15.03%</w:t>
            </w:r>
          </w:p>
        </w:tc>
        <w:tc>
          <w:tcPr>
            <w:tcW w:w="454" w:type="pct"/>
            <w:noWrap/>
            <w:vAlign w:val="center"/>
            <w:hideMark/>
          </w:tcPr>
          <w:p w:rsidR="005E6C93" w:rsidRPr="00666AAB" w:rsidRDefault="005E6C93" w:rsidP="00AC22B7">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9.12%</w:t>
            </w:r>
          </w:p>
        </w:tc>
      </w:tr>
    </w:tbl>
    <w:p w:rsidR="005E6C93" w:rsidRDefault="005E6C93">
      <w:pPr>
        <w:rPr>
          <w:b/>
          <w:bCs/>
        </w:rPr>
      </w:pPr>
    </w:p>
    <w:p w:rsidR="005E6C93" w:rsidRDefault="005E6C93" w:rsidP="00AC22B7">
      <w:pPr>
        <w:rPr>
          <w:b/>
          <w:bCs/>
        </w:rPr>
      </w:pPr>
    </w:p>
    <w:p w:rsidR="00AC22B7" w:rsidRDefault="00AC22B7" w:rsidP="00AC22B7">
      <w:pPr>
        <w:rPr>
          <w:b/>
          <w:bCs/>
        </w:rPr>
      </w:pPr>
    </w:p>
    <w:p w:rsidR="00AC22B7" w:rsidRDefault="00AC22B7" w:rsidP="00AC22B7">
      <w:pPr>
        <w:rPr>
          <w:b/>
          <w:bCs/>
        </w:rPr>
      </w:pPr>
    </w:p>
    <w:p w:rsidR="00AC22B7" w:rsidRDefault="00AC22B7" w:rsidP="00AC22B7">
      <w:pPr>
        <w:rPr>
          <w:b/>
          <w:bCs/>
        </w:rPr>
      </w:pPr>
    </w:p>
    <w:p w:rsidR="00AC22B7" w:rsidRDefault="00AC22B7" w:rsidP="00AC22B7">
      <w:pPr>
        <w:rPr>
          <w:b/>
          <w:bCs/>
        </w:rPr>
      </w:pPr>
    </w:p>
    <w:p w:rsidR="00AC22B7" w:rsidRDefault="00AC22B7" w:rsidP="00AC22B7">
      <w:pPr>
        <w:rPr>
          <w:b/>
          <w:bCs/>
        </w:rPr>
      </w:pPr>
    </w:p>
    <w:p w:rsidR="00AC22B7" w:rsidRPr="00AC22B7" w:rsidRDefault="00AC22B7" w:rsidP="00AC22B7">
      <w:pPr>
        <w:pStyle w:val="ListParagraph"/>
        <w:numPr>
          <w:ilvl w:val="0"/>
          <w:numId w:val="11"/>
        </w:numPr>
        <w:rPr>
          <w:b/>
          <w:bCs/>
        </w:rPr>
      </w:pPr>
      <w:r>
        <w:rPr>
          <w:b/>
          <w:bCs/>
        </w:rPr>
        <w:lastRenderedPageBreak/>
        <w:t>Insurer-wise, data pertaining to amount of claims repudiated and disallowed for COVID period i.e FY 2022-23,2023-24 &amp; 2021-22 is provided in table below:</w:t>
      </w:r>
    </w:p>
    <w:tbl>
      <w:tblPr>
        <w:tblStyle w:val="TableGrid"/>
        <w:tblW w:w="5000" w:type="pct"/>
        <w:tblLook w:val="04A0" w:firstRow="1" w:lastRow="0" w:firstColumn="1" w:lastColumn="0" w:noHBand="0" w:noVBand="1"/>
      </w:tblPr>
      <w:tblGrid>
        <w:gridCol w:w="456"/>
        <w:gridCol w:w="2929"/>
        <w:gridCol w:w="866"/>
        <w:gridCol w:w="866"/>
        <w:gridCol w:w="880"/>
        <w:gridCol w:w="909"/>
        <w:gridCol w:w="866"/>
        <w:gridCol w:w="866"/>
        <w:gridCol w:w="880"/>
        <w:gridCol w:w="909"/>
        <w:gridCol w:w="866"/>
        <w:gridCol w:w="866"/>
        <w:gridCol w:w="880"/>
        <w:gridCol w:w="909"/>
      </w:tblGrid>
      <w:tr w:rsidR="00A25DE4" w:rsidRPr="00666AAB" w:rsidTr="00A25DE4">
        <w:trPr>
          <w:trHeight w:val="290"/>
        </w:trPr>
        <w:tc>
          <w:tcPr>
            <w:tcW w:w="1213" w:type="pct"/>
            <w:gridSpan w:val="2"/>
            <w:vMerge w:val="restar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FY</w:t>
            </w:r>
          </w:p>
        </w:tc>
        <w:tc>
          <w:tcPr>
            <w:tcW w:w="1262" w:type="pct"/>
            <w:gridSpan w:val="4"/>
            <w:vMerge w:val="restar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2022-23</w:t>
            </w:r>
          </w:p>
        </w:tc>
        <w:tc>
          <w:tcPr>
            <w:tcW w:w="1262" w:type="pct"/>
            <w:gridSpan w:val="4"/>
            <w:vMerge w:val="restar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2023-24</w:t>
            </w:r>
          </w:p>
        </w:tc>
        <w:tc>
          <w:tcPr>
            <w:tcW w:w="1262" w:type="pct"/>
            <w:gridSpan w:val="4"/>
            <w:vMerge w:val="restar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2024-25</w:t>
            </w:r>
          </w:p>
        </w:tc>
      </w:tr>
      <w:tr w:rsidR="00A25DE4" w:rsidRPr="00666AAB" w:rsidTr="00A25DE4">
        <w:trPr>
          <w:trHeight w:val="290"/>
        </w:trPr>
        <w:tc>
          <w:tcPr>
            <w:tcW w:w="1213" w:type="pct"/>
            <w:gridSpan w:val="2"/>
            <w:vMerge/>
            <w:hideMark/>
          </w:tcPr>
          <w:p w:rsidR="00A25DE4" w:rsidRPr="00666AAB" w:rsidRDefault="00A25DE4" w:rsidP="00A25DE4">
            <w:pPr>
              <w:rPr>
                <w:rFonts w:ascii="Arial" w:eastAsia="Times New Roman" w:hAnsi="Arial" w:cs="Arial"/>
                <w:b/>
                <w:bCs/>
                <w:color w:val="000000"/>
                <w:sz w:val="16"/>
                <w:szCs w:val="16"/>
                <w:lang w:eastAsia="en-IN"/>
              </w:rPr>
            </w:pPr>
          </w:p>
        </w:tc>
        <w:tc>
          <w:tcPr>
            <w:tcW w:w="1262" w:type="pct"/>
            <w:gridSpan w:val="4"/>
            <w:vMerge/>
            <w:hideMark/>
          </w:tcPr>
          <w:p w:rsidR="00A25DE4" w:rsidRPr="00666AAB" w:rsidRDefault="00A25DE4" w:rsidP="00A25DE4">
            <w:pPr>
              <w:rPr>
                <w:rFonts w:ascii="Arial" w:eastAsia="Times New Roman" w:hAnsi="Arial" w:cs="Arial"/>
                <w:b/>
                <w:bCs/>
                <w:color w:val="000000"/>
                <w:sz w:val="16"/>
                <w:szCs w:val="16"/>
                <w:lang w:eastAsia="en-IN"/>
              </w:rPr>
            </w:pPr>
          </w:p>
        </w:tc>
        <w:tc>
          <w:tcPr>
            <w:tcW w:w="1262" w:type="pct"/>
            <w:gridSpan w:val="4"/>
            <w:vMerge/>
            <w:hideMark/>
          </w:tcPr>
          <w:p w:rsidR="00A25DE4" w:rsidRPr="00666AAB" w:rsidRDefault="00A25DE4" w:rsidP="00A25DE4">
            <w:pPr>
              <w:rPr>
                <w:rFonts w:ascii="Arial" w:eastAsia="Times New Roman" w:hAnsi="Arial" w:cs="Arial"/>
                <w:b/>
                <w:bCs/>
                <w:color w:val="000000"/>
                <w:sz w:val="16"/>
                <w:szCs w:val="16"/>
                <w:lang w:eastAsia="en-IN"/>
              </w:rPr>
            </w:pPr>
          </w:p>
        </w:tc>
        <w:tc>
          <w:tcPr>
            <w:tcW w:w="1262" w:type="pct"/>
            <w:gridSpan w:val="4"/>
            <w:vMerge/>
            <w:hideMark/>
          </w:tcPr>
          <w:p w:rsidR="00A25DE4" w:rsidRPr="00666AAB" w:rsidRDefault="00A25DE4" w:rsidP="00A25DE4">
            <w:pPr>
              <w:rPr>
                <w:rFonts w:ascii="Arial" w:eastAsia="Times New Roman" w:hAnsi="Arial" w:cs="Arial"/>
                <w:b/>
                <w:bCs/>
                <w:color w:val="000000"/>
                <w:sz w:val="16"/>
                <w:szCs w:val="16"/>
                <w:lang w:eastAsia="en-IN"/>
              </w:rPr>
            </w:pPr>
          </w:p>
        </w:tc>
      </w:tr>
      <w:tr w:rsidR="00A25DE4" w:rsidRPr="00666AAB" w:rsidTr="00A25DE4">
        <w:trPr>
          <w:trHeight w:val="290"/>
        </w:trPr>
        <w:tc>
          <w:tcPr>
            <w:tcW w:w="163" w:type="pct"/>
            <w:vMerge w:val="restar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Sno </w:t>
            </w:r>
          </w:p>
        </w:tc>
        <w:tc>
          <w:tcPr>
            <w:tcW w:w="1050" w:type="pct"/>
            <w:vMerge w:val="restar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Insurers</w:t>
            </w:r>
          </w:p>
        </w:tc>
        <w:tc>
          <w:tcPr>
            <w:tcW w:w="310" w:type="pct"/>
            <w:vMerge w:val="restar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disallowed as per terms and conditions of policy contract</w:t>
            </w:r>
          </w:p>
        </w:tc>
        <w:tc>
          <w:tcPr>
            <w:tcW w:w="310" w:type="pct"/>
            <w:vMerge w:val="restar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repudiated during the period</w:t>
            </w:r>
          </w:p>
        </w:tc>
        <w:tc>
          <w:tcPr>
            <w:tcW w:w="315" w:type="pct"/>
            <w:vMerge w:val="restar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Disallowed (%)</w:t>
            </w:r>
          </w:p>
        </w:tc>
        <w:tc>
          <w:tcPr>
            <w:tcW w:w="326" w:type="pct"/>
            <w:vMerge w:val="restar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Repudiated (%)</w:t>
            </w:r>
          </w:p>
        </w:tc>
        <w:tc>
          <w:tcPr>
            <w:tcW w:w="310" w:type="pct"/>
            <w:vMerge w:val="restar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disallowed as per terms and conditions of policy contract</w:t>
            </w:r>
          </w:p>
        </w:tc>
        <w:tc>
          <w:tcPr>
            <w:tcW w:w="310" w:type="pct"/>
            <w:vMerge w:val="restar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repudiated during the period</w:t>
            </w:r>
          </w:p>
        </w:tc>
        <w:tc>
          <w:tcPr>
            <w:tcW w:w="315" w:type="pct"/>
            <w:vMerge w:val="restar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Disallowed (%)</w:t>
            </w:r>
          </w:p>
        </w:tc>
        <w:tc>
          <w:tcPr>
            <w:tcW w:w="326" w:type="pct"/>
            <w:vMerge w:val="restar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Repudiated (%)</w:t>
            </w:r>
          </w:p>
        </w:tc>
        <w:tc>
          <w:tcPr>
            <w:tcW w:w="310" w:type="pct"/>
            <w:vMerge w:val="restar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disallowed as per terms and conditions of policy contract</w:t>
            </w:r>
          </w:p>
        </w:tc>
        <w:tc>
          <w:tcPr>
            <w:tcW w:w="310" w:type="pct"/>
            <w:vMerge w:val="restar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repudiated during the period</w:t>
            </w:r>
          </w:p>
        </w:tc>
        <w:tc>
          <w:tcPr>
            <w:tcW w:w="315" w:type="pct"/>
            <w:vMerge w:val="restar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Disallowed (%)</w:t>
            </w:r>
          </w:p>
        </w:tc>
        <w:tc>
          <w:tcPr>
            <w:tcW w:w="326" w:type="pct"/>
            <w:vMerge w:val="restar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Claims Repudiated (%)</w:t>
            </w:r>
          </w:p>
        </w:tc>
      </w:tr>
      <w:tr w:rsidR="00A25DE4" w:rsidRPr="00666AAB" w:rsidTr="00A25DE4">
        <w:trPr>
          <w:trHeight w:val="770"/>
        </w:trPr>
        <w:tc>
          <w:tcPr>
            <w:tcW w:w="163"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1050"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10"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10"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15"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26"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10"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10"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15"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26"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10"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10"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15"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26" w:type="pct"/>
            <w:vMerge/>
            <w:hideMark/>
          </w:tcPr>
          <w:p w:rsidR="00A25DE4" w:rsidRPr="00666AAB" w:rsidRDefault="00A25DE4" w:rsidP="00A25DE4">
            <w:pPr>
              <w:rPr>
                <w:rFonts w:ascii="Arial" w:eastAsia="Times New Roman" w:hAnsi="Arial" w:cs="Arial"/>
                <w:b/>
                <w:bCs/>
                <w:color w:val="000000"/>
                <w:sz w:val="16"/>
                <w:szCs w:val="16"/>
                <w:lang w:eastAsia="en-IN"/>
              </w:rPr>
            </w:pPr>
          </w:p>
        </w:tc>
      </w:tr>
      <w:tr w:rsidR="00A25DE4" w:rsidRPr="00666AAB" w:rsidTr="00A25DE4">
        <w:trPr>
          <w:trHeight w:val="290"/>
        </w:trPr>
        <w:tc>
          <w:tcPr>
            <w:tcW w:w="163"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1050"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10" w:type="pc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Amount </w:t>
            </w:r>
          </w:p>
        </w:tc>
        <w:tc>
          <w:tcPr>
            <w:tcW w:w="310" w:type="pc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Amount </w:t>
            </w:r>
          </w:p>
        </w:tc>
        <w:tc>
          <w:tcPr>
            <w:tcW w:w="315"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26" w:type="pc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Amount</w:t>
            </w:r>
          </w:p>
        </w:tc>
        <w:tc>
          <w:tcPr>
            <w:tcW w:w="310" w:type="pc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Amount </w:t>
            </w:r>
          </w:p>
        </w:tc>
        <w:tc>
          <w:tcPr>
            <w:tcW w:w="310" w:type="pc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Amount </w:t>
            </w:r>
          </w:p>
        </w:tc>
        <w:tc>
          <w:tcPr>
            <w:tcW w:w="315"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26" w:type="pc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Amount</w:t>
            </w:r>
          </w:p>
        </w:tc>
        <w:tc>
          <w:tcPr>
            <w:tcW w:w="310"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 Amount </w:t>
            </w:r>
          </w:p>
        </w:tc>
        <w:tc>
          <w:tcPr>
            <w:tcW w:w="310"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 Amount </w:t>
            </w:r>
          </w:p>
        </w:tc>
        <w:tc>
          <w:tcPr>
            <w:tcW w:w="315" w:type="pct"/>
            <w:vMerge/>
            <w:hideMark/>
          </w:tcPr>
          <w:p w:rsidR="00A25DE4" w:rsidRPr="00666AAB" w:rsidRDefault="00A25DE4" w:rsidP="00A25DE4">
            <w:pPr>
              <w:rPr>
                <w:rFonts w:ascii="Arial" w:eastAsia="Times New Roman" w:hAnsi="Arial" w:cs="Arial"/>
                <w:b/>
                <w:bCs/>
                <w:color w:val="000000"/>
                <w:sz w:val="16"/>
                <w:szCs w:val="16"/>
                <w:lang w:eastAsia="en-IN"/>
              </w:rPr>
            </w:pPr>
          </w:p>
        </w:tc>
        <w:tc>
          <w:tcPr>
            <w:tcW w:w="326" w:type="pct"/>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Amount</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p>
        </w:tc>
        <w:tc>
          <w:tcPr>
            <w:tcW w:w="1050" w:type="pct"/>
            <w:noWrap/>
            <w:hideMark/>
          </w:tcPr>
          <w:p w:rsidR="00A25DE4" w:rsidRPr="00666AAB" w:rsidRDefault="00A25DE4" w:rsidP="00A25DE4">
            <w:pPr>
              <w:rPr>
                <w:rFonts w:ascii="Times New Roman" w:eastAsia="Times New Roman" w:hAnsi="Times New Roman" w:cs="Times New Roman"/>
                <w:sz w:val="16"/>
                <w:szCs w:val="16"/>
                <w:lang w:eastAsia="en-IN"/>
              </w:rPr>
            </w:pPr>
          </w:p>
        </w:tc>
        <w:tc>
          <w:tcPr>
            <w:tcW w:w="310" w:type="pct"/>
            <w:noWrap/>
            <w:hideMark/>
          </w:tcPr>
          <w:p w:rsidR="00A25DE4" w:rsidRPr="00666AAB" w:rsidRDefault="00A25DE4" w:rsidP="00A25DE4">
            <w:pPr>
              <w:rPr>
                <w:rFonts w:ascii="Times New Roman" w:eastAsia="Times New Roman" w:hAnsi="Times New Roman" w:cs="Times New Roman"/>
                <w:sz w:val="16"/>
                <w:szCs w:val="16"/>
                <w:lang w:eastAsia="en-IN"/>
              </w:rPr>
            </w:pPr>
          </w:p>
        </w:tc>
        <w:tc>
          <w:tcPr>
            <w:tcW w:w="310" w:type="pct"/>
            <w:noWrap/>
            <w:hideMark/>
          </w:tcPr>
          <w:p w:rsidR="00A25DE4" w:rsidRPr="00666AAB" w:rsidRDefault="00A25DE4" w:rsidP="00A25DE4">
            <w:pPr>
              <w:rPr>
                <w:rFonts w:ascii="Times New Roman" w:eastAsia="Times New Roman" w:hAnsi="Times New Roman" w:cs="Times New Roman"/>
                <w:sz w:val="16"/>
                <w:szCs w:val="16"/>
                <w:lang w:eastAsia="en-IN"/>
              </w:rPr>
            </w:pPr>
          </w:p>
        </w:tc>
        <w:tc>
          <w:tcPr>
            <w:tcW w:w="315" w:type="pct"/>
            <w:noWrap/>
            <w:hideMark/>
          </w:tcPr>
          <w:p w:rsidR="00A25DE4" w:rsidRPr="00666AAB" w:rsidRDefault="00A25DE4" w:rsidP="00A25DE4">
            <w:pPr>
              <w:rPr>
                <w:rFonts w:ascii="Times New Roman" w:eastAsia="Times New Roman" w:hAnsi="Times New Roman" w:cs="Times New Roman"/>
                <w:sz w:val="16"/>
                <w:szCs w:val="16"/>
                <w:lang w:eastAsia="en-IN"/>
              </w:rPr>
            </w:pPr>
          </w:p>
        </w:tc>
        <w:tc>
          <w:tcPr>
            <w:tcW w:w="326" w:type="pct"/>
            <w:noWrap/>
            <w:hideMark/>
          </w:tcPr>
          <w:p w:rsidR="00A25DE4" w:rsidRPr="00666AAB" w:rsidRDefault="00A25DE4" w:rsidP="00A25DE4">
            <w:pPr>
              <w:rPr>
                <w:rFonts w:ascii="Times New Roman" w:eastAsia="Times New Roman" w:hAnsi="Times New Roman" w:cs="Times New Roman"/>
                <w:sz w:val="16"/>
                <w:szCs w:val="16"/>
                <w:lang w:eastAsia="en-IN"/>
              </w:rPr>
            </w:pPr>
          </w:p>
        </w:tc>
        <w:tc>
          <w:tcPr>
            <w:tcW w:w="310" w:type="pct"/>
            <w:noWrap/>
            <w:hideMark/>
          </w:tcPr>
          <w:p w:rsidR="00A25DE4" w:rsidRPr="00666AAB" w:rsidRDefault="00A25DE4" w:rsidP="00A25DE4">
            <w:pPr>
              <w:rPr>
                <w:rFonts w:ascii="Times New Roman" w:eastAsia="Times New Roman" w:hAnsi="Times New Roman" w:cs="Times New Roman"/>
                <w:sz w:val="16"/>
                <w:szCs w:val="16"/>
                <w:lang w:eastAsia="en-IN"/>
              </w:rPr>
            </w:pPr>
          </w:p>
        </w:tc>
        <w:tc>
          <w:tcPr>
            <w:tcW w:w="310" w:type="pct"/>
            <w:noWrap/>
            <w:hideMark/>
          </w:tcPr>
          <w:p w:rsidR="00A25DE4" w:rsidRPr="00666AAB" w:rsidRDefault="00A25DE4" w:rsidP="00A25DE4">
            <w:pPr>
              <w:rPr>
                <w:rFonts w:ascii="Times New Roman" w:eastAsia="Times New Roman" w:hAnsi="Times New Roman" w:cs="Times New Roman"/>
                <w:sz w:val="16"/>
                <w:szCs w:val="16"/>
                <w:lang w:eastAsia="en-IN"/>
              </w:rPr>
            </w:pPr>
          </w:p>
        </w:tc>
        <w:tc>
          <w:tcPr>
            <w:tcW w:w="315" w:type="pct"/>
            <w:noWrap/>
            <w:hideMark/>
          </w:tcPr>
          <w:p w:rsidR="00A25DE4" w:rsidRPr="00666AAB" w:rsidRDefault="00A25DE4" w:rsidP="00A25DE4">
            <w:pPr>
              <w:rPr>
                <w:rFonts w:ascii="Times New Roman" w:eastAsia="Times New Roman" w:hAnsi="Times New Roman" w:cs="Times New Roman"/>
                <w:sz w:val="16"/>
                <w:szCs w:val="16"/>
                <w:lang w:eastAsia="en-IN"/>
              </w:rPr>
            </w:pPr>
          </w:p>
        </w:tc>
        <w:tc>
          <w:tcPr>
            <w:tcW w:w="326" w:type="pct"/>
            <w:noWrap/>
            <w:hideMark/>
          </w:tcPr>
          <w:p w:rsidR="00A25DE4" w:rsidRPr="00666AAB" w:rsidRDefault="00A25DE4" w:rsidP="00A25DE4">
            <w:pPr>
              <w:rPr>
                <w:rFonts w:ascii="Times New Roman" w:eastAsia="Times New Roman" w:hAnsi="Times New Roman" w:cs="Times New Roman"/>
                <w:sz w:val="16"/>
                <w:szCs w:val="16"/>
                <w:lang w:eastAsia="en-IN"/>
              </w:rPr>
            </w:pPr>
          </w:p>
        </w:tc>
        <w:tc>
          <w:tcPr>
            <w:tcW w:w="310" w:type="pct"/>
            <w:noWrap/>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 </w:t>
            </w:r>
          </w:p>
        </w:tc>
        <w:tc>
          <w:tcPr>
            <w:tcW w:w="310" w:type="pct"/>
            <w:noWrap/>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 </w:t>
            </w:r>
          </w:p>
        </w:tc>
        <w:tc>
          <w:tcPr>
            <w:tcW w:w="315" w:type="pct"/>
            <w:noWrap/>
            <w:hideMark/>
          </w:tcPr>
          <w:p w:rsidR="00A25DE4" w:rsidRPr="00666AAB" w:rsidRDefault="00A25DE4" w:rsidP="00A25DE4">
            <w:pPr>
              <w:rPr>
                <w:rFonts w:ascii="Arial" w:eastAsia="Times New Roman" w:hAnsi="Arial" w:cs="Arial"/>
                <w:color w:val="000000"/>
                <w:sz w:val="16"/>
                <w:szCs w:val="16"/>
                <w:lang w:eastAsia="en-IN"/>
              </w:rPr>
            </w:pPr>
          </w:p>
        </w:tc>
        <w:tc>
          <w:tcPr>
            <w:tcW w:w="326" w:type="pct"/>
            <w:noWrap/>
            <w:hideMark/>
          </w:tcPr>
          <w:p w:rsidR="00A25DE4" w:rsidRPr="00666AAB" w:rsidRDefault="00A25DE4" w:rsidP="00A25DE4">
            <w:pPr>
              <w:rPr>
                <w:rFonts w:ascii="Times New Roman" w:eastAsia="Times New Roman" w:hAnsi="Times New Roman" w:cs="Times New Roman"/>
                <w:sz w:val="16"/>
                <w:szCs w:val="16"/>
                <w:lang w:eastAsia="en-IN"/>
              </w:rPr>
            </w:pP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w:t>
            </w:r>
          </w:p>
        </w:tc>
        <w:tc>
          <w:tcPr>
            <w:tcW w:w="1050" w:type="pct"/>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National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69,483</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8.65%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65,211</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8.15%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2,10,166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68,280</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19.69%</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6.40%</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w:t>
            </w:r>
          </w:p>
        </w:tc>
        <w:tc>
          <w:tcPr>
            <w:tcW w:w="1050" w:type="pct"/>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The New India Assurance Co. Ltd.</w:t>
            </w:r>
          </w:p>
        </w:tc>
        <w:tc>
          <w:tcPr>
            <w:tcW w:w="310" w:type="pct"/>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3,68,393</w:t>
            </w:r>
          </w:p>
        </w:tc>
        <w:tc>
          <w:tcPr>
            <w:tcW w:w="310" w:type="pct"/>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1,23,712</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16.17%</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5.43%</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4,86,399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2,17,405</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18.21%</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8.14%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5,13,972</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1,76,767</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18.89%</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6.50%</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3</w:t>
            </w:r>
          </w:p>
        </w:tc>
        <w:tc>
          <w:tcPr>
            <w:tcW w:w="1050" w:type="pct"/>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The Oriental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9,207</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0.96%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63,345</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6.32%</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33,823</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3.60%</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4</w:t>
            </w:r>
          </w:p>
        </w:tc>
        <w:tc>
          <w:tcPr>
            <w:tcW w:w="1050" w:type="pct"/>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United India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1,09,009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54,831</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11.19%</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5.63%</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1,34,215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61,346</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11.92%</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5.45%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1,00,658</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53,702</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10.08%</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5.38%</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5</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Acko General Insurance Ltd.</w:t>
            </w:r>
          </w:p>
        </w:tc>
        <w:tc>
          <w:tcPr>
            <w:tcW w:w="310" w:type="pct"/>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10,844</w:t>
            </w:r>
          </w:p>
        </w:tc>
        <w:tc>
          <w:tcPr>
            <w:tcW w:w="310" w:type="pct"/>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5,124</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16.81%</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7.94%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8,868</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16,634</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12.83%</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24.06%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8,693</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4,796</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13.24%</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7.31%</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6</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Bajaj Allianz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36,056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20,140</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11.56%</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6.45%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70,762</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33,247</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12.33%</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5.79%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77,437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41,326</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9.40%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5.02%</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7</w:t>
            </w:r>
          </w:p>
        </w:tc>
        <w:tc>
          <w:tcPr>
            <w:tcW w:w="1050" w:type="pct"/>
            <w:noWrap/>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 xml:space="preserve">Bharati AXA General Insurance Co. Ltd. </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8</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Cholamandalam MS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1,857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13,868</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3.05%</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22.78%</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1,990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12,973</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2.88%</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18.79%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2,159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15,889</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2.28%</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16.81%</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9</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Future Generali India Insurance Co. Ltd.</w:t>
            </w:r>
          </w:p>
        </w:tc>
        <w:tc>
          <w:tcPr>
            <w:tcW w:w="310" w:type="pct"/>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4,655</w:t>
            </w:r>
          </w:p>
        </w:tc>
        <w:tc>
          <w:tcPr>
            <w:tcW w:w="310" w:type="pct"/>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6,799</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6.98%</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10.20%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14,222</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5,964</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11.82%</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4.95%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57,903</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9,590</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23.20%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3.84%</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10</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Go Digit General Insurance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7,839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1,783</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13.48%</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3.07%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19,844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3,837</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14.53%</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2.81%</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22,701</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7,800</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13.67%</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4.70%</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11</w:t>
            </w:r>
          </w:p>
        </w:tc>
        <w:tc>
          <w:tcPr>
            <w:tcW w:w="1050" w:type="pct"/>
            <w:noWrap/>
            <w:hideMark/>
          </w:tcPr>
          <w:p w:rsidR="00A25DE4" w:rsidRPr="00666AAB" w:rsidRDefault="00A25DE4" w:rsidP="00A25DE4">
            <w:pPr>
              <w:rPr>
                <w:rFonts w:ascii="Arial" w:eastAsia="Times New Roman" w:hAnsi="Arial" w:cs="Arial"/>
                <w:color w:val="333333"/>
                <w:sz w:val="16"/>
                <w:szCs w:val="16"/>
                <w:lang w:eastAsia="en-IN"/>
              </w:rPr>
            </w:pPr>
            <w:r w:rsidRPr="00666AAB">
              <w:rPr>
                <w:rFonts w:ascii="Arial" w:eastAsia="Times New Roman" w:hAnsi="Arial" w:cs="Arial"/>
                <w:color w:val="333333"/>
                <w:sz w:val="16"/>
                <w:szCs w:val="16"/>
                <w:lang w:eastAsia="en-IN"/>
              </w:rPr>
              <w:t>HDFC ERGO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78,108</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49,998</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15.42%</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9.87%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46,863</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24,806</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9.55%</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5.06%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56,727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49,368</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10.04%</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8.74%</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12</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ICICI Lombard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78,341</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74,433</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14.79%</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14.06%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1,13,380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88,301</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16.76%</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13.05%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1,77,684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1,17,621</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19.38%</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12.83%</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13</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IFFCO Tokio General Insurance Co. Ltd.</w:t>
            </w:r>
          </w:p>
        </w:tc>
        <w:tc>
          <w:tcPr>
            <w:tcW w:w="310" w:type="pct"/>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8,439</w:t>
            </w:r>
          </w:p>
        </w:tc>
        <w:tc>
          <w:tcPr>
            <w:tcW w:w="310" w:type="pct"/>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31,747</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3.06%</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11.50%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14,066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49,274</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4.71%</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16.50%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17,584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31,224</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12.29%</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21.82%</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14</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Kotak Mahindra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2,055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3,294</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7.78%</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12.47%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2,245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10,043</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4.80%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21.49%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4,597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11,687</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7.62%</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19.36%</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15</w:t>
            </w:r>
          </w:p>
        </w:tc>
        <w:tc>
          <w:tcPr>
            <w:tcW w:w="1050" w:type="pct"/>
            <w:noWrap/>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Kshema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lastRenderedPageBreak/>
              <w:t>16</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Liberty General Insurance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382</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7,071</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1.25%</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23.12%</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669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3,361</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2.25%</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11.30%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6,807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5,262</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13.12%</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10.14%</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17</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Magma HDI General Insurance Co. Ltd.</w:t>
            </w:r>
          </w:p>
        </w:tc>
        <w:tc>
          <w:tcPr>
            <w:tcW w:w="310" w:type="pct"/>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2,173</w:t>
            </w:r>
          </w:p>
        </w:tc>
        <w:tc>
          <w:tcPr>
            <w:tcW w:w="310" w:type="pct"/>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2,027</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13.10%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12.22%</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6,887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6,227</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15.14%</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13.69%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13,348</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8,204</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17.89%</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10.99%</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18</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Navi General Insurance Limited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271</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1,552</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5.55%</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31.80%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256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2,142</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4.09%</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34.24%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617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1,245</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7.88%</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15.91%</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19</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Raheja QBE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71</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232</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5.22%</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16.96%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604</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8.65%</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22.96%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851</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-6.66%</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20.63%</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20</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Reliance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18,600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17,934</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12.40%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11.96%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23,734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34,803</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11.47%</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16.81%</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29,186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44,757</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11.70%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17.94%</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21</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Royal Sundaram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6,268</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3,777</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13.01%</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7.84%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4,556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3,516</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8.28%</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6.39%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15,624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5,150</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18.13%</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5.98%</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22</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SBI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46,291</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14,149</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23.24%</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7.10%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69,083</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33,526</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20.64%</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10.01%</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77,250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64,705</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18.54%</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15.53%</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23</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Shriram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26</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96.32%</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30</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11.45%</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48.90%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50</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68.61%</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24</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Tata AIG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12,010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29,357</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6.71%</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16.40%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17,045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31,949</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7.60%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14.24%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18,978</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36,159</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7.14%</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13.61%</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25</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Universal Sompo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14,143</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6,611</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27.97%</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13.07%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13,932</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2,598</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23.17%</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4.32%</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16,645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5,144</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16.07%</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4.97%</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26</w:t>
            </w:r>
          </w:p>
        </w:tc>
        <w:tc>
          <w:tcPr>
            <w:tcW w:w="1050" w:type="pct"/>
            <w:noWrap/>
            <w:hideMark/>
          </w:tcPr>
          <w:p w:rsidR="00A25DE4" w:rsidRPr="00666AAB" w:rsidRDefault="00A25DE4" w:rsidP="00A25DE4">
            <w:pPr>
              <w:rPr>
                <w:rFonts w:ascii="Arial" w:eastAsia="Times New Roman" w:hAnsi="Arial" w:cs="Arial"/>
                <w:sz w:val="16"/>
                <w:szCs w:val="16"/>
                <w:lang w:eastAsia="en-IN"/>
              </w:rPr>
            </w:pPr>
            <w:r w:rsidRPr="00666AAB">
              <w:rPr>
                <w:rFonts w:ascii="Arial" w:eastAsia="Times New Roman" w:hAnsi="Arial" w:cs="Arial"/>
                <w:sz w:val="16"/>
                <w:szCs w:val="16"/>
                <w:lang w:eastAsia="en-IN"/>
              </w:rPr>
              <w:t>Zuno General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3,842</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1,621</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26.44%</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11.16%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4,693</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3,254</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19.38%</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13.44%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5,410</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15.15%</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27</w:t>
            </w:r>
          </w:p>
        </w:tc>
        <w:tc>
          <w:tcPr>
            <w:tcW w:w="1050" w:type="pct"/>
            <w:hideMark/>
          </w:tcPr>
          <w:p w:rsidR="00A25DE4" w:rsidRPr="00666AAB" w:rsidRDefault="00A25DE4" w:rsidP="00A25DE4">
            <w:pPr>
              <w:rPr>
                <w:rFonts w:ascii="Arial" w:eastAsia="Times New Roman" w:hAnsi="Arial" w:cs="Arial"/>
                <w:color w:val="333333"/>
                <w:sz w:val="16"/>
                <w:szCs w:val="16"/>
                <w:lang w:eastAsia="en-IN"/>
              </w:rPr>
            </w:pPr>
            <w:r w:rsidRPr="00666AAB">
              <w:rPr>
                <w:rFonts w:ascii="Arial" w:eastAsia="Times New Roman" w:hAnsi="Arial" w:cs="Arial"/>
                <w:color w:val="333333"/>
                <w:sz w:val="16"/>
                <w:szCs w:val="16"/>
                <w:lang w:eastAsia="en-IN"/>
              </w:rPr>
              <w:t>Aditya Birla Health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17,838</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20,839</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10.45%</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12.21%</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30,025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29,295</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11.42%</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11.14%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17,476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36,812</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5.40%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11.37%</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28</w:t>
            </w:r>
          </w:p>
        </w:tc>
        <w:tc>
          <w:tcPr>
            <w:tcW w:w="1050" w:type="pct"/>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Care Health Insurance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31,745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50,065</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8.84%</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13.94%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61,641</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50,936</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13.02%</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10.76%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75,008</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39,983</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11.97%</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6.38%</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29</w:t>
            </w:r>
          </w:p>
        </w:tc>
        <w:tc>
          <w:tcPr>
            <w:tcW w:w="1050" w:type="pct"/>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Galaxy Health Insurance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0.78%</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22.74%</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30</w:t>
            </w:r>
          </w:p>
        </w:tc>
        <w:tc>
          <w:tcPr>
            <w:tcW w:w="1050" w:type="pct"/>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ManipalCigna Health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24,983</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25,146</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20.26%</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20.39%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37,628</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32,172</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22.80%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19.50%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27,422</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27,267</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15.75%</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15.66%</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31</w:t>
            </w:r>
          </w:p>
        </w:tc>
        <w:tc>
          <w:tcPr>
            <w:tcW w:w="1050" w:type="pct"/>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Narayana Health Insurance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32</w:t>
            </w:r>
          </w:p>
        </w:tc>
        <w:tc>
          <w:tcPr>
            <w:tcW w:w="1050" w:type="pct"/>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Niva Bupa Health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37,594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29,127</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16.44%</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12.74%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49,319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40,941</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14.09%</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11.69%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39,503</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58,045</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8.92%</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13.11%</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33</w:t>
            </w:r>
          </w:p>
        </w:tc>
        <w:tc>
          <w:tcPr>
            <w:tcW w:w="1050" w:type="pct"/>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Reliance Health Insurance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4</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6.52%</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16.29%</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2.17%</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14.41%</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9.11%</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0.00%</w:t>
            </w:r>
          </w:p>
        </w:tc>
      </w:tr>
      <w:tr w:rsidR="00A25DE4" w:rsidRPr="00666AAB" w:rsidTr="00A25DE4">
        <w:trPr>
          <w:trHeight w:val="290"/>
        </w:trPr>
        <w:tc>
          <w:tcPr>
            <w:tcW w:w="163"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34</w:t>
            </w:r>
          </w:p>
        </w:tc>
        <w:tc>
          <w:tcPr>
            <w:tcW w:w="1050" w:type="pct"/>
            <w:hideMark/>
          </w:tcPr>
          <w:p w:rsidR="00A25DE4" w:rsidRPr="00666AAB" w:rsidRDefault="00A25DE4" w:rsidP="00A25DE4">
            <w:pP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Star Health &amp; Allied  Insurance Co. Ltd.</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3,53,646</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2,36,812</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25.04%</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16.77%</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2,77,485</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1,65,979</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19.96%</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11.94%</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2,64,230</w:t>
            </w:r>
          </w:p>
        </w:tc>
        <w:tc>
          <w:tcPr>
            <w:tcW w:w="310"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1,80,311</w:t>
            </w:r>
          </w:p>
        </w:tc>
        <w:tc>
          <w:tcPr>
            <w:tcW w:w="315"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16.80%</w:t>
            </w:r>
          </w:p>
        </w:tc>
        <w:tc>
          <w:tcPr>
            <w:tcW w:w="326" w:type="pct"/>
            <w:noWrap/>
            <w:vAlign w:val="center"/>
            <w:hideMark/>
          </w:tcPr>
          <w:p w:rsidR="00A25DE4" w:rsidRPr="00666AAB" w:rsidRDefault="00A25DE4" w:rsidP="00A25DE4">
            <w:pPr>
              <w:jc w:val="center"/>
              <w:rPr>
                <w:rFonts w:ascii="Arial" w:eastAsia="Times New Roman" w:hAnsi="Arial" w:cs="Arial"/>
                <w:color w:val="000000"/>
                <w:sz w:val="16"/>
                <w:szCs w:val="16"/>
                <w:lang w:eastAsia="en-IN"/>
              </w:rPr>
            </w:pPr>
            <w:r w:rsidRPr="00666AAB">
              <w:rPr>
                <w:rFonts w:ascii="Arial" w:eastAsia="Times New Roman" w:hAnsi="Arial" w:cs="Arial"/>
                <w:color w:val="000000"/>
                <w:sz w:val="16"/>
                <w:szCs w:val="16"/>
                <w:lang w:eastAsia="en-IN"/>
              </w:rPr>
              <w:t>11.46%</w:t>
            </w:r>
          </w:p>
        </w:tc>
      </w:tr>
      <w:tr w:rsidR="00A25DE4" w:rsidRPr="00666AAB" w:rsidTr="00A25DE4">
        <w:trPr>
          <w:trHeight w:val="290"/>
        </w:trPr>
        <w:tc>
          <w:tcPr>
            <w:tcW w:w="163" w:type="pct"/>
            <w:noWrap/>
            <w:hideMark/>
          </w:tcPr>
          <w:p w:rsidR="00A25DE4" w:rsidRPr="00666AAB" w:rsidRDefault="00A25DE4" w:rsidP="00A25DE4">
            <w:pPr>
              <w:jc w:val="right"/>
              <w:rPr>
                <w:rFonts w:ascii="Arial" w:eastAsia="Times New Roman" w:hAnsi="Arial" w:cs="Arial"/>
                <w:b/>
                <w:bCs/>
                <w:color w:val="000000"/>
                <w:sz w:val="16"/>
                <w:szCs w:val="16"/>
                <w:lang w:eastAsia="en-IN"/>
              </w:rPr>
            </w:pPr>
          </w:p>
        </w:tc>
        <w:tc>
          <w:tcPr>
            <w:tcW w:w="1050" w:type="pct"/>
            <w:hideMark/>
          </w:tcPr>
          <w:p w:rsidR="00A25DE4" w:rsidRPr="00666AAB" w:rsidRDefault="00A25DE4" w:rsidP="00A25DE4">
            <w:pP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Grand Total</w:t>
            </w:r>
          </w:p>
        </w:tc>
        <w:tc>
          <w:tcPr>
            <w:tcW w:w="310" w:type="pc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12,75,455</w:t>
            </w:r>
          </w:p>
        </w:tc>
        <w:tc>
          <w:tcPr>
            <w:tcW w:w="310" w:type="pc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9,10,769</w:t>
            </w:r>
          </w:p>
        </w:tc>
        <w:tc>
          <w:tcPr>
            <w:tcW w:w="315" w:type="pc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12.88%</w:t>
            </w:r>
          </w:p>
        </w:tc>
        <w:tc>
          <w:tcPr>
            <w:tcW w:w="326" w:type="pc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9.20%</w:t>
            </w:r>
          </w:p>
        </w:tc>
        <w:tc>
          <w:tcPr>
            <w:tcW w:w="310" w:type="pc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15,10,042</w:t>
            </w:r>
          </w:p>
        </w:tc>
        <w:tc>
          <w:tcPr>
            <w:tcW w:w="310" w:type="pc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10,93,718</w:t>
            </w:r>
          </w:p>
        </w:tc>
        <w:tc>
          <w:tcPr>
            <w:tcW w:w="315" w:type="pc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12.89%</w:t>
            </w:r>
          </w:p>
        </w:tc>
        <w:tc>
          <w:tcPr>
            <w:tcW w:w="326" w:type="pc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9.34%</w:t>
            </w:r>
          </w:p>
        </w:tc>
        <w:tc>
          <w:tcPr>
            <w:tcW w:w="310"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 18,52,102 </w:t>
            </w:r>
          </w:p>
        </w:tc>
        <w:tc>
          <w:tcPr>
            <w:tcW w:w="310" w:type="pct"/>
            <w:noWrap/>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 xml:space="preserve"> 11,41,242 </w:t>
            </w:r>
          </w:p>
        </w:tc>
        <w:tc>
          <w:tcPr>
            <w:tcW w:w="315" w:type="pc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13.98%</w:t>
            </w:r>
          </w:p>
        </w:tc>
        <w:tc>
          <w:tcPr>
            <w:tcW w:w="326" w:type="pct"/>
            <w:noWrap/>
            <w:vAlign w:val="center"/>
            <w:hideMark/>
          </w:tcPr>
          <w:p w:rsidR="00A25DE4" w:rsidRPr="00666AAB" w:rsidRDefault="00A25DE4" w:rsidP="00A25DE4">
            <w:pPr>
              <w:jc w:val="center"/>
              <w:rPr>
                <w:rFonts w:ascii="Arial" w:eastAsia="Times New Roman" w:hAnsi="Arial" w:cs="Arial"/>
                <w:b/>
                <w:bCs/>
                <w:color w:val="000000"/>
                <w:sz w:val="16"/>
                <w:szCs w:val="16"/>
                <w:lang w:eastAsia="en-IN"/>
              </w:rPr>
            </w:pPr>
            <w:r w:rsidRPr="00666AAB">
              <w:rPr>
                <w:rFonts w:ascii="Arial" w:eastAsia="Times New Roman" w:hAnsi="Arial" w:cs="Arial"/>
                <w:b/>
                <w:bCs/>
                <w:color w:val="000000"/>
                <w:sz w:val="16"/>
                <w:szCs w:val="16"/>
                <w:lang w:eastAsia="en-IN"/>
              </w:rPr>
              <w:t>8.61%</w:t>
            </w:r>
          </w:p>
        </w:tc>
      </w:tr>
    </w:tbl>
    <w:p w:rsidR="00A25DE4" w:rsidRDefault="00A25DE4">
      <w:pPr>
        <w:sectPr w:rsidR="00A25DE4" w:rsidSect="00A25DE4">
          <w:pgSz w:w="16838" w:h="11906" w:orient="landscape"/>
          <w:pgMar w:top="1440" w:right="1440" w:bottom="1440" w:left="1440" w:header="709" w:footer="709" w:gutter="0"/>
          <w:cols w:space="708"/>
          <w:docGrid w:linePitch="360"/>
        </w:sectPr>
      </w:pPr>
    </w:p>
    <w:p w:rsidR="002E43C0" w:rsidRPr="002E43C0" w:rsidRDefault="00E72295" w:rsidP="00AC22B7">
      <w:pPr>
        <w:pStyle w:val="ListParagraph"/>
        <w:numPr>
          <w:ilvl w:val="0"/>
          <w:numId w:val="11"/>
        </w:numPr>
        <w:rPr>
          <w:b/>
          <w:bCs/>
        </w:rPr>
      </w:pPr>
      <w:r>
        <w:rPr>
          <w:b/>
          <w:bCs/>
        </w:rPr>
        <w:lastRenderedPageBreak/>
        <w:t xml:space="preserve">Insurer-wise </w:t>
      </w:r>
      <w:r w:rsidR="00185839">
        <w:rPr>
          <w:b/>
          <w:bCs/>
        </w:rPr>
        <w:t xml:space="preserve">complaints data pertaining to claims repudiation </w:t>
      </w:r>
      <w:r>
        <w:rPr>
          <w:b/>
          <w:bCs/>
        </w:rPr>
        <w:t xml:space="preserve"> for last 5 years</w:t>
      </w:r>
      <w:r w:rsidR="002E43C0" w:rsidRPr="002E43C0">
        <w:rPr>
          <w:b/>
          <w:bCs/>
        </w:rPr>
        <w:t>:</w:t>
      </w:r>
      <w:r w:rsidR="002E43C0" w:rsidRPr="002E43C0">
        <w:rPr>
          <w:b/>
          <w:bCs/>
        </w:rPr>
        <w:br/>
      </w:r>
    </w:p>
    <w:tbl>
      <w:tblPr>
        <w:tblStyle w:val="TableGrid"/>
        <w:tblW w:w="5000" w:type="pct"/>
        <w:tblLook w:val="04A0" w:firstRow="1" w:lastRow="0" w:firstColumn="1" w:lastColumn="0" w:noHBand="0" w:noVBand="1"/>
      </w:tblPr>
      <w:tblGrid>
        <w:gridCol w:w="3901"/>
        <w:gridCol w:w="814"/>
        <w:gridCol w:w="814"/>
        <w:gridCol w:w="814"/>
        <w:gridCol w:w="814"/>
        <w:gridCol w:w="814"/>
        <w:gridCol w:w="1045"/>
      </w:tblGrid>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Company</w:t>
            </w:r>
          </w:p>
        </w:tc>
        <w:tc>
          <w:tcPr>
            <w:tcW w:w="451" w:type="pct"/>
            <w:noWrap/>
            <w:hideMark/>
          </w:tcPr>
          <w:p w:rsidR="002E43C0" w:rsidRPr="00A25DE4" w:rsidRDefault="002E43C0" w:rsidP="00AC22B7">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FY 20-21</w:t>
            </w:r>
          </w:p>
        </w:tc>
        <w:tc>
          <w:tcPr>
            <w:tcW w:w="451" w:type="pct"/>
            <w:noWrap/>
            <w:hideMark/>
          </w:tcPr>
          <w:p w:rsidR="002E43C0" w:rsidRPr="00A25DE4" w:rsidRDefault="002E43C0" w:rsidP="00AC22B7">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FY 21-22</w:t>
            </w:r>
          </w:p>
        </w:tc>
        <w:tc>
          <w:tcPr>
            <w:tcW w:w="451" w:type="pct"/>
            <w:noWrap/>
            <w:hideMark/>
          </w:tcPr>
          <w:p w:rsidR="002E43C0" w:rsidRPr="00A25DE4" w:rsidRDefault="002E43C0" w:rsidP="00AC22B7">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FY 22-23</w:t>
            </w:r>
          </w:p>
        </w:tc>
        <w:tc>
          <w:tcPr>
            <w:tcW w:w="451" w:type="pct"/>
            <w:noWrap/>
            <w:hideMark/>
          </w:tcPr>
          <w:p w:rsidR="002E43C0" w:rsidRPr="00A25DE4" w:rsidRDefault="002E43C0" w:rsidP="00AC22B7">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FY 23-24</w:t>
            </w:r>
          </w:p>
        </w:tc>
        <w:tc>
          <w:tcPr>
            <w:tcW w:w="451" w:type="pct"/>
            <w:noWrap/>
            <w:hideMark/>
          </w:tcPr>
          <w:p w:rsidR="002E43C0" w:rsidRPr="00A25DE4" w:rsidRDefault="002E43C0" w:rsidP="00AC22B7">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FY 24-25</w:t>
            </w:r>
          </w:p>
        </w:tc>
        <w:tc>
          <w:tcPr>
            <w:tcW w:w="580" w:type="pct"/>
            <w:noWrap/>
            <w:hideMark/>
          </w:tcPr>
          <w:p w:rsidR="002E43C0" w:rsidRPr="00A25DE4" w:rsidRDefault="002E43C0" w:rsidP="00AC22B7">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Grand Total</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Star Health And Allied Insurance Company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497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803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2647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4394</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4572</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12913</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Care Health Insurance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171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408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1064</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1506</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2670</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5819</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HDFC Ergo General Insurance Company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370</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707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859</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1058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1425</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4419</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Niva Bupa Health Insurance Company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211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276</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531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1119</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1863</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4000</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xml:space="preserve">National Insurance Company Limited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296</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648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670</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765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862</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3241</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Aditya Birla Health Insurance Co.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80</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153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308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810</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1179</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2530</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The New India Assurance Co.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280</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312</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358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633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760</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2343</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ICICI Lombard General Insurance Company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75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161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355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519</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973</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2083</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United India Insurance Company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513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362</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262</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317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348</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1802</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The Oriental Insurance Company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147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208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241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356</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489</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1441</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Reliance General Insurance Co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146</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189</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148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338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484</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1305</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TATA AIG General Insurance Company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84</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206</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385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380</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1088</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IFFCO TOKIO General Insurance Co.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77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131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125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227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318</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878</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Bajaj General Insurance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64</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132</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224</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366</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873</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ManipalCigna Health Insurance Company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82</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102</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266</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355</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838</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Cholamandalam MS General Insurance Company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108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126</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125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177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223</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759</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SBI General Insurance Co.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29</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80</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379</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573</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Generali Central Insurance Company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130</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124</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121</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485</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Universal Sompo General Insurance Company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220</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62</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49</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405</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Navi General Insurance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195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124</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375</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Go Digit General Insurance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44</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64</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104</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148</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368</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Acko General Insurance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12</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93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119</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267</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Royal Sundaram General Insurance Co.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34</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46</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87</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253</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Liberty General Insurance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54</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39</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75</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228</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Zurich Kotak General Insurance Company (India)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127</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213</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Magma General Insurance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10</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81</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129</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Zuno General Insurance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9</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77</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116</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Bharti AXA General Insurance Company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16</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40</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Raheja QBE General Insurance Company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16</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39</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Export Credit Guarantee Corporation of India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14</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32</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Apollo Munich Health Insurance Co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32</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Life Insurance Corporation of India</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7</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28</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Reliance Health Insurance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17</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24</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Shriram General Insurance Co.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Bajaj Life Insurance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Agriculture Insurance Company of India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PNB MetLife India Insurance Company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ICICI Prudential Life Insurance Company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SBI Life Insurance Co.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Birla SunLife Insurance Company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lastRenderedPageBreak/>
              <w:t>HDFC Life Insurance</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Aviva Life Insurance Company India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Axis Max Life Insurance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Tata AIA Life Insurance Company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Pramerica Life Insurance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Acko Life Insurance Ltd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L And T General Insurance Company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Star Union Dai-ichi Life Insurance Company Limited</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451"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 </w:t>
            </w:r>
          </w:p>
        </w:tc>
        <w:tc>
          <w:tcPr>
            <w:tcW w:w="580" w:type="pct"/>
            <w:noWrap/>
            <w:hideMark/>
          </w:tcPr>
          <w:p w:rsidR="002E43C0" w:rsidRPr="00A25DE4" w:rsidRDefault="002E43C0" w:rsidP="00AC22B7">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w:t>
            </w:r>
          </w:p>
        </w:tc>
      </w:tr>
      <w:tr w:rsidR="002E43C0" w:rsidRPr="00A25DE4" w:rsidTr="00185839">
        <w:trPr>
          <w:trHeight w:val="290"/>
        </w:trPr>
        <w:tc>
          <w:tcPr>
            <w:tcW w:w="2163" w:type="pct"/>
            <w:noWrap/>
            <w:hideMark/>
          </w:tcPr>
          <w:p w:rsidR="002E43C0" w:rsidRPr="00A25DE4" w:rsidRDefault="002E43C0" w:rsidP="00AC22B7">
            <w:pP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Grand Total</w:t>
            </w:r>
          </w:p>
        </w:tc>
        <w:tc>
          <w:tcPr>
            <w:tcW w:w="451" w:type="pct"/>
            <w:noWrap/>
            <w:hideMark/>
          </w:tcPr>
          <w:p w:rsidR="002E43C0" w:rsidRPr="00A25DE4" w:rsidRDefault="002E43C0" w:rsidP="00AC22B7">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3369</w:t>
            </w:r>
          </w:p>
        </w:tc>
        <w:tc>
          <w:tcPr>
            <w:tcW w:w="451" w:type="pct"/>
            <w:noWrap/>
            <w:hideMark/>
          </w:tcPr>
          <w:p w:rsidR="002E43C0" w:rsidRPr="00A25DE4" w:rsidRDefault="002E43C0" w:rsidP="00AC22B7">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5360</w:t>
            </w:r>
          </w:p>
        </w:tc>
        <w:tc>
          <w:tcPr>
            <w:tcW w:w="451" w:type="pct"/>
            <w:noWrap/>
            <w:hideMark/>
          </w:tcPr>
          <w:p w:rsidR="002E43C0" w:rsidRPr="00A25DE4" w:rsidRDefault="002E43C0" w:rsidP="00AC22B7">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8648</w:t>
            </w:r>
          </w:p>
        </w:tc>
        <w:tc>
          <w:tcPr>
            <w:tcW w:w="451" w:type="pct"/>
            <w:noWrap/>
            <w:hideMark/>
          </w:tcPr>
          <w:p w:rsidR="002E43C0" w:rsidRPr="00A25DE4" w:rsidRDefault="002E43C0" w:rsidP="00AC22B7">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13903</w:t>
            </w:r>
          </w:p>
        </w:tc>
        <w:tc>
          <w:tcPr>
            <w:tcW w:w="451" w:type="pct"/>
            <w:noWrap/>
            <w:hideMark/>
          </w:tcPr>
          <w:p w:rsidR="002E43C0" w:rsidRPr="00A25DE4" w:rsidRDefault="002E43C0" w:rsidP="00AC22B7">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18689</w:t>
            </w:r>
          </w:p>
        </w:tc>
        <w:tc>
          <w:tcPr>
            <w:tcW w:w="580" w:type="pct"/>
            <w:noWrap/>
            <w:hideMark/>
          </w:tcPr>
          <w:p w:rsidR="002E43C0" w:rsidRPr="00A25DE4" w:rsidRDefault="002E43C0" w:rsidP="00AC22B7">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49969</w:t>
            </w:r>
          </w:p>
        </w:tc>
      </w:tr>
    </w:tbl>
    <w:p w:rsidR="00A25DE4" w:rsidRDefault="00A25DE4" w:rsidP="00185839"/>
    <w:p w:rsidR="00185839" w:rsidRDefault="00185839" w:rsidP="00185839"/>
    <w:p w:rsidR="00185839" w:rsidRDefault="00185839" w:rsidP="00185839"/>
    <w:p w:rsidR="00185839" w:rsidRDefault="00185839" w:rsidP="00185839">
      <w:pPr>
        <w:pStyle w:val="ListParagraph"/>
        <w:numPr>
          <w:ilvl w:val="0"/>
          <w:numId w:val="11"/>
        </w:numPr>
      </w:pPr>
      <w:r>
        <w:rPr>
          <w:b/>
          <w:bCs/>
        </w:rPr>
        <w:t xml:space="preserve">Complaint description wise complaints data pertaining to claims </w:t>
      </w:r>
      <w:r>
        <w:rPr>
          <w:b/>
          <w:bCs/>
        </w:rPr>
        <w:t>repudiation for last 5 years</w:t>
      </w:r>
      <w:r w:rsidRPr="002E43C0">
        <w:rPr>
          <w:b/>
          <w:bCs/>
        </w:rPr>
        <w:t>:</w:t>
      </w:r>
    </w:p>
    <w:tbl>
      <w:tblPr>
        <w:tblStyle w:val="TableGrid"/>
        <w:tblW w:w="0" w:type="auto"/>
        <w:tblLook w:val="04A0" w:firstRow="1" w:lastRow="0" w:firstColumn="1" w:lastColumn="0" w:noHBand="0" w:noVBand="1"/>
      </w:tblPr>
      <w:tblGrid>
        <w:gridCol w:w="2830"/>
        <w:gridCol w:w="993"/>
        <w:gridCol w:w="992"/>
        <w:gridCol w:w="992"/>
        <w:gridCol w:w="992"/>
        <w:gridCol w:w="1009"/>
        <w:gridCol w:w="1208"/>
      </w:tblGrid>
      <w:tr w:rsidR="00E72295" w:rsidTr="00E72295">
        <w:tc>
          <w:tcPr>
            <w:tcW w:w="2830" w:type="dxa"/>
          </w:tcPr>
          <w:p w:rsidR="00E72295" w:rsidRPr="00A25DE4" w:rsidRDefault="00E72295" w:rsidP="00E72295">
            <w:pPr>
              <w:rPr>
                <w:rFonts w:ascii="Calibri" w:eastAsia="Times New Roman" w:hAnsi="Calibri" w:cs="Calibri"/>
                <w:b/>
                <w:bCs/>
                <w:color w:val="000000"/>
                <w:sz w:val="18"/>
                <w:szCs w:val="18"/>
                <w:lang w:eastAsia="en-IN"/>
              </w:rPr>
            </w:pPr>
            <w:r>
              <w:rPr>
                <w:rFonts w:ascii="Calibri" w:eastAsia="Times New Roman" w:hAnsi="Calibri" w:cs="Calibri"/>
                <w:b/>
                <w:bCs/>
                <w:color w:val="000000"/>
                <w:sz w:val="18"/>
                <w:szCs w:val="18"/>
                <w:lang w:eastAsia="en-IN"/>
              </w:rPr>
              <w:t xml:space="preserve">Complaint </w:t>
            </w:r>
            <w:r w:rsidR="00185839">
              <w:rPr>
                <w:rFonts w:ascii="Calibri" w:eastAsia="Times New Roman" w:hAnsi="Calibri" w:cs="Calibri"/>
                <w:b/>
                <w:bCs/>
                <w:color w:val="000000"/>
                <w:sz w:val="18"/>
                <w:szCs w:val="18"/>
                <w:lang w:eastAsia="en-IN"/>
              </w:rPr>
              <w:t>description</w:t>
            </w:r>
          </w:p>
        </w:tc>
        <w:tc>
          <w:tcPr>
            <w:tcW w:w="993" w:type="dxa"/>
          </w:tcPr>
          <w:p w:rsidR="00E72295" w:rsidRPr="00A25DE4" w:rsidRDefault="00E72295" w:rsidP="00E72295">
            <w:pP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FY 20-21</w:t>
            </w:r>
          </w:p>
        </w:tc>
        <w:tc>
          <w:tcPr>
            <w:tcW w:w="992" w:type="dxa"/>
          </w:tcPr>
          <w:p w:rsidR="00E72295" w:rsidRPr="00A25DE4" w:rsidRDefault="00E72295" w:rsidP="00E72295">
            <w:pP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FY 21-22</w:t>
            </w:r>
          </w:p>
        </w:tc>
        <w:tc>
          <w:tcPr>
            <w:tcW w:w="992" w:type="dxa"/>
          </w:tcPr>
          <w:p w:rsidR="00E72295" w:rsidRPr="00A25DE4" w:rsidRDefault="00E72295" w:rsidP="00E72295">
            <w:pP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FY 22-23</w:t>
            </w:r>
          </w:p>
        </w:tc>
        <w:tc>
          <w:tcPr>
            <w:tcW w:w="992" w:type="dxa"/>
          </w:tcPr>
          <w:p w:rsidR="00E72295" w:rsidRPr="00A25DE4" w:rsidRDefault="00E72295" w:rsidP="00E72295">
            <w:pP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FY 23-24</w:t>
            </w:r>
          </w:p>
        </w:tc>
        <w:tc>
          <w:tcPr>
            <w:tcW w:w="1009" w:type="dxa"/>
          </w:tcPr>
          <w:p w:rsidR="00E72295" w:rsidRPr="00A25DE4" w:rsidRDefault="00E72295" w:rsidP="00E72295">
            <w:pP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FY 24-25</w:t>
            </w:r>
          </w:p>
        </w:tc>
        <w:tc>
          <w:tcPr>
            <w:tcW w:w="1208" w:type="dxa"/>
          </w:tcPr>
          <w:p w:rsidR="00E72295" w:rsidRPr="00A25DE4" w:rsidRDefault="00E72295" w:rsidP="00E72295">
            <w:pP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Grand Total</w:t>
            </w:r>
          </w:p>
        </w:tc>
      </w:tr>
      <w:tr w:rsidR="00E72295" w:rsidTr="00E72295">
        <w:tc>
          <w:tcPr>
            <w:tcW w:w="2830" w:type="dxa"/>
          </w:tcPr>
          <w:p w:rsidR="00E72295" w:rsidRPr="00A25DE4" w:rsidRDefault="00E72295" w:rsidP="00185839">
            <w:pPr>
              <w:jc w:val="both"/>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Claim repudiated without giving reasons</w:t>
            </w:r>
          </w:p>
        </w:tc>
        <w:tc>
          <w:tcPr>
            <w:tcW w:w="993"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1187</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2112</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5567</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9555</w:t>
            </w:r>
          </w:p>
        </w:tc>
        <w:tc>
          <w:tcPr>
            <w:tcW w:w="1009"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13549</w:t>
            </w:r>
          </w:p>
        </w:tc>
        <w:tc>
          <w:tcPr>
            <w:tcW w:w="1208"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31970</w:t>
            </w:r>
          </w:p>
        </w:tc>
      </w:tr>
      <w:tr w:rsidR="00E72295" w:rsidTr="00E72295">
        <w:tc>
          <w:tcPr>
            <w:tcW w:w="2830" w:type="dxa"/>
          </w:tcPr>
          <w:p w:rsidR="00E72295" w:rsidRPr="00A25DE4" w:rsidRDefault="00E72295" w:rsidP="00185839">
            <w:pPr>
              <w:jc w:val="both"/>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Insurer repudiated the claim due to alleged breach of policy condition  / warranty.</w:t>
            </w:r>
          </w:p>
        </w:tc>
        <w:tc>
          <w:tcPr>
            <w:tcW w:w="993"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1432</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1742</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1403</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1782</w:t>
            </w:r>
          </w:p>
        </w:tc>
        <w:tc>
          <w:tcPr>
            <w:tcW w:w="1009"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1724</w:t>
            </w:r>
          </w:p>
        </w:tc>
        <w:tc>
          <w:tcPr>
            <w:tcW w:w="1208"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8083</w:t>
            </w:r>
          </w:p>
        </w:tc>
      </w:tr>
      <w:tr w:rsidR="00E72295" w:rsidTr="00E72295">
        <w:tc>
          <w:tcPr>
            <w:tcW w:w="2830" w:type="dxa"/>
          </w:tcPr>
          <w:p w:rsidR="00E72295" w:rsidRPr="00A25DE4" w:rsidRDefault="00E72295" w:rsidP="00185839">
            <w:pPr>
              <w:jc w:val="both"/>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Insurer repudiated claim due to "pre-existing disease exclusion"</w:t>
            </w:r>
          </w:p>
        </w:tc>
        <w:tc>
          <w:tcPr>
            <w:tcW w:w="993"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519</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507</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497</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979</w:t>
            </w:r>
          </w:p>
        </w:tc>
        <w:tc>
          <w:tcPr>
            <w:tcW w:w="1009"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1316</w:t>
            </w:r>
          </w:p>
        </w:tc>
        <w:tc>
          <w:tcPr>
            <w:tcW w:w="1208"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3818</w:t>
            </w:r>
          </w:p>
        </w:tc>
      </w:tr>
      <w:tr w:rsidR="00E72295" w:rsidTr="00E72295">
        <w:tc>
          <w:tcPr>
            <w:tcW w:w="2830" w:type="dxa"/>
          </w:tcPr>
          <w:p w:rsidR="00E72295" w:rsidRPr="00A25DE4" w:rsidRDefault="00E72295" w:rsidP="00185839">
            <w:pPr>
              <w:jc w:val="both"/>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Insurer repudiated claim due to alleged fraud.</w:t>
            </w:r>
          </w:p>
        </w:tc>
        <w:tc>
          <w:tcPr>
            <w:tcW w:w="993"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81</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666</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870</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676</w:t>
            </w:r>
          </w:p>
        </w:tc>
        <w:tc>
          <w:tcPr>
            <w:tcW w:w="1009"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1197</w:t>
            </w:r>
          </w:p>
        </w:tc>
        <w:tc>
          <w:tcPr>
            <w:tcW w:w="1208"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3490</w:t>
            </w:r>
          </w:p>
        </w:tc>
      </w:tr>
      <w:tr w:rsidR="00E72295" w:rsidTr="00E72295">
        <w:tc>
          <w:tcPr>
            <w:tcW w:w="2830" w:type="dxa"/>
          </w:tcPr>
          <w:p w:rsidR="00E72295" w:rsidRPr="00A25DE4" w:rsidRDefault="00E72295" w:rsidP="00185839">
            <w:pPr>
              <w:jc w:val="both"/>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Insurer repudiated claim due to delay in submission of claim documents by the Insured.</w:t>
            </w:r>
          </w:p>
        </w:tc>
        <w:tc>
          <w:tcPr>
            <w:tcW w:w="993"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93</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181</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140</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461</w:t>
            </w:r>
          </w:p>
        </w:tc>
        <w:tc>
          <w:tcPr>
            <w:tcW w:w="1009"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471</w:t>
            </w:r>
          </w:p>
        </w:tc>
        <w:tc>
          <w:tcPr>
            <w:tcW w:w="1208"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1346</w:t>
            </w:r>
          </w:p>
        </w:tc>
      </w:tr>
      <w:tr w:rsidR="00E72295" w:rsidTr="00E72295">
        <w:tc>
          <w:tcPr>
            <w:tcW w:w="2830" w:type="dxa"/>
          </w:tcPr>
          <w:p w:rsidR="00E72295" w:rsidRPr="00A25DE4" w:rsidRDefault="00E72295" w:rsidP="00185839">
            <w:pPr>
              <w:jc w:val="both"/>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Insurer repudiated claim due to delay in intimation of claim by Insured.</w:t>
            </w:r>
          </w:p>
        </w:tc>
        <w:tc>
          <w:tcPr>
            <w:tcW w:w="993"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17</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84</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76</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269</w:t>
            </w:r>
          </w:p>
        </w:tc>
        <w:tc>
          <w:tcPr>
            <w:tcW w:w="1009"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192</w:t>
            </w:r>
          </w:p>
        </w:tc>
        <w:tc>
          <w:tcPr>
            <w:tcW w:w="1208"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638</w:t>
            </w:r>
          </w:p>
        </w:tc>
      </w:tr>
      <w:tr w:rsidR="00E72295" w:rsidTr="00E72295">
        <w:tc>
          <w:tcPr>
            <w:tcW w:w="2830" w:type="dxa"/>
          </w:tcPr>
          <w:p w:rsidR="00E72295" w:rsidRPr="00A25DE4" w:rsidRDefault="00E72295" w:rsidP="00185839">
            <w:pPr>
              <w:jc w:val="both"/>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Insurer repudiated claim due to alleged carelessness of Insured.</w:t>
            </w:r>
          </w:p>
        </w:tc>
        <w:tc>
          <w:tcPr>
            <w:tcW w:w="993"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27</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44</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68</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126</w:t>
            </w:r>
          </w:p>
        </w:tc>
        <w:tc>
          <w:tcPr>
            <w:tcW w:w="1009"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148</w:t>
            </w:r>
          </w:p>
        </w:tc>
        <w:tc>
          <w:tcPr>
            <w:tcW w:w="1208"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413</w:t>
            </w:r>
          </w:p>
        </w:tc>
      </w:tr>
      <w:tr w:rsidR="00E72295" w:rsidTr="00E72295">
        <w:tc>
          <w:tcPr>
            <w:tcW w:w="2830" w:type="dxa"/>
          </w:tcPr>
          <w:p w:rsidR="00E72295" w:rsidRPr="00A25DE4" w:rsidRDefault="00E72295" w:rsidP="00185839">
            <w:pPr>
              <w:jc w:val="both"/>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Insurer repudiated claim due to dispute on premium paid.</w:t>
            </w:r>
          </w:p>
        </w:tc>
        <w:tc>
          <w:tcPr>
            <w:tcW w:w="993"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10</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13</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16</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47</w:t>
            </w:r>
          </w:p>
        </w:tc>
        <w:tc>
          <w:tcPr>
            <w:tcW w:w="1009"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79</w:t>
            </w:r>
          </w:p>
        </w:tc>
        <w:tc>
          <w:tcPr>
            <w:tcW w:w="1208"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165</w:t>
            </w:r>
          </w:p>
        </w:tc>
      </w:tr>
      <w:tr w:rsidR="00E72295" w:rsidTr="00E72295">
        <w:tc>
          <w:tcPr>
            <w:tcW w:w="2830" w:type="dxa"/>
          </w:tcPr>
          <w:p w:rsidR="00E72295" w:rsidRPr="00A25DE4" w:rsidRDefault="00E72295" w:rsidP="00185839">
            <w:pPr>
              <w:jc w:val="both"/>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Repudiation of Claim</w:t>
            </w:r>
          </w:p>
        </w:tc>
        <w:tc>
          <w:tcPr>
            <w:tcW w:w="993"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3</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11</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11</w:t>
            </w:r>
          </w:p>
        </w:tc>
        <w:tc>
          <w:tcPr>
            <w:tcW w:w="992"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8</w:t>
            </w:r>
          </w:p>
        </w:tc>
        <w:tc>
          <w:tcPr>
            <w:tcW w:w="1009"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13</w:t>
            </w:r>
          </w:p>
        </w:tc>
        <w:tc>
          <w:tcPr>
            <w:tcW w:w="1208" w:type="dxa"/>
          </w:tcPr>
          <w:p w:rsidR="00E72295" w:rsidRPr="00A25DE4" w:rsidRDefault="00E72295" w:rsidP="00E72295">
            <w:pPr>
              <w:jc w:val="center"/>
              <w:rPr>
                <w:rFonts w:ascii="Calibri" w:eastAsia="Times New Roman" w:hAnsi="Calibri" w:cs="Calibri"/>
                <w:color w:val="000000"/>
                <w:sz w:val="18"/>
                <w:szCs w:val="18"/>
                <w:lang w:eastAsia="en-IN"/>
              </w:rPr>
            </w:pPr>
            <w:r w:rsidRPr="00A25DE4">
              <w:rPr>
                <w:rFonts w:ascii="Calibri" w:eastAsia="Times New Roman" w:hAnsi="Calibri" w:cs="Calibri"/>
                <w:color w:val="000000"/>
                <w:sz w:val="18"/>
                <w:szCs w:val="18"/>
                <w:lang w:eastAsia="en-IN"/>
              </w:rPr>
              <w:t>46</w:t>
            </w:r>
          </w:p>
        </w:tc>
      </w:tr>
      <w:tr w:rsidR="00E72295" w:rsidTr="00E72295">
        <w:tc>
          <w:tcPr>
            <w:tcW w:w="2830" w:type="dxa"/>
          </w:tcPr>
          <w:p w:rsidR="00E72295" w:rsidRPr="00A25DE4" w:rsidRDefault="00E72295" w:rsidP="00E72295">
            <w:pP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Grand Total</w:t>
            </w:r>
          </w:p>
        </w:tc>
        <w:tc>
          <w:tcPr>
            <w:tcW w:w="993" w:type="dxa"/>
          </w:tcPr>
          <w:p w:rsidR="00E72295" w:rsidRPr="00A25DE4" w:rsidRDefault="00E72295" w:rsidP="00E72295">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3369</w:t>
            </w:r>
          </w:p>
        </w:tc>
        <w:tc>
          <w:tcPr>
            <w:tcW w:w="992" w:type="dxa"/>
          </w:tcPr>
          <w:p w:rsidR="00E72295" w:rsidRPr="00A25DE4" w:rsidRDefault="00E72295" w:rsidP="00E72295">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5360</w:t>
            </w:r>
          </w:p>
        </w:tc>
        <w:tc>
          <w:tcPr>
            <w:tcW w:w="992" w:type="dxa"/>
          </w:tcPr>
          <w:p w:rsidR="00E72295" w:rsidRPr="00A25DE4" w:rsidRDefault="00E72295" w:rsidP="00E72295">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8648</w:t>
            </w:r>
          </w:p>
        </w:tc>
        <w:tc>
          <w:tcPr>
            <w:tcW w:w="992" w:type="dxa"/>
          </w:tcPr>
          <w:p w:rsidR="00E72295" w:rsidRPr="00A25DE4" w:rsidRDefault="00E72295" w:rsidP="00E72295">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13903</w:t>
            </w:r>
          </w:p>
        </w:tc>
        <w:tc>
          <w:tcPr>
            <w:tcW w:w="1009" w:type="dxa"/>
          </w:tcPr>
          <w:p w:rsidR="00E72295" w:rsidRPr="00A25DE4" w:rsidRDefault="00E72295" w:rsidP="00E72295">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18689</w:t>
            </w:r>
          </w:p>
        </w:tc>
        <w:tc>
          <w:tcPr>
            <w:tcW w:w="1208" w:type="dxa"/>
          </w:tcPr>
          <w:p w:rsidR="00E72295" w:rsidRPr="00A25DE4" w:rsidRDefault="00E72295" w:rsidP="00E72295">
            <w:pPr>
              <w:jc w:val="center"/>
              <w:rPr>
                <w:rFonts w:ascii="Calibri" w:eastAsia="Times New Roman" w:hAnsi="Calibri" w:cs="Calibri"/>
                <w:b/>
                <w:bCs/>
                <w:color w:val="000000"/>
                <w:sz w:val="18"/>
                <w:szCs w:val="18"/>
                <w:lang w:eastAsia="en-IN"/>
              </w:rPr>
            </w:pPr>
            <w:r w:rsidRPr="00A25DE4">
              <w:rPr>
                <w:rFonts w:ascii="Calibri" w:eastAsia="Times New Roman" w:hAnsi="Calibri" w:cs="Calibri"/>
                <w:b/>
                <w:bCs/>
                <w:color w:val="000000"/>
                <w:sz w:val="18"/>
                <w:szCs w:val="18"/>
                <w:lang w:eastAsia="en-IN"/>
              </w:rPr>
              <w:t>49969</w:t>
            </w:r>
          </w:p>
        </w:tc>
      </w:tr>
    </w:tbl>
    <w:p w:rsidR="00E72295" w:rsidRDefault="00E72295"/>
    <w:sectPr w:rsidR="00E72295" w:rsidSect="00666AAB">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33C8" w:rsidRDefault="005B33C8" w:rsidP="005E6C93">
      <w:pPr>
        <w:spacing w:after="0" w:line="240" w:lineRule="auto"/>
      </w:pPr>
      <w:r>
        <w:separator/>
      </w:r>
    </w:p>
  </w:endnote>
  <w:endnote w:type="continuationSeparator" w:id="0">
    <w:p w:rsidR="005B33C8" w:rsidRDefault="005B33C8" w:rsidP="005E6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33C8" w:rsidRDefault="005B33C8" w:rsidP="005E6C93">
      <w:pPr>
        <w:spacing w:after="0" w:line="240" w:lineRule="auto"/>
      </w:pPr>
      <w:r>
        <w:separator/>
      </w:r>
    </w:p>
  </w:footnote>
  <w:footnote w:type="continuationSeparator" w:id="0">
    <w:p w:rsidR="005B33C8" w:rsidRDefault="005B33C8" w:rsidP="005E6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F3273"/>
    <w:multiLevelType w:val="hybridMultilevel"/>
    <w:tmpl w:val="0E30B116"/>
    <w:lvl w:ilvl="0" w:tplc="D436D21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DA081B"/>
    <w:multiLevelType w:val="hybridMultilevel"/>
    <w:tmpl w:val="6DDE5550"/>
    <w:lvl w:ilvl="0" w:tplc="40090019">
      <w:start w:val="1"/>
      <w:numFmt w:val="lowerLetter"/>
      <w:lvlText w:val="%1."/>
      <w:lvlJc w:val="left"/>
      <w:pPr>
        <w:ind w:left="720" w:hanging="360"/>
      </w:pPr>
      <w:rPr>
        <w:rFonts w:cs="Times New Roman" w:hint="default"/>
        <w:b w:val="0"/>
        <w:bCs/>
        <w:color w:val="333333"/>
      </w:rPr>
    </w:lvl>
    <w:lvl w:ilvl="1" w:tplc="40090019">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 w15:restartNumberingAfterBreak="0">
    <w:nsid w:val="21A26CAE"/>
    <w:multiLevelType w:val="hybridMultilevel"/>
    <w:tmpl w:val="318AEF5C"/>
    <w:lvl w:ilvl="0" w:tplc="4009000D">
      <w:start w:val="1"/>
      <w:numFmt w:val="bullet"/>
      <w:lvlText w:val=""/>
      <w:lvlJc w:val="left"/>
      <w:pPr>
        <w:ind w:left="4398" w:hanging="720"/>
      </w:pPr>
      <w:rPr>
        <w:rFonts w:ascii="Wingdings" w:hAnsi="Wingdings" w:hint="default"/>
      </w:rPr>
    </w:lvl>
    <w:lvl w:ilvl="1" w:tplc="40090019" w:tentative="1">
      <w:start w:val="1"/>
      <w:numFmt w:val="lowerLetter"/>
      <w:lvlText w:val="%2."/>
      <w:lvlJc w:val="left"/>
      <w:pPr>
        <w:ind w:left="4758" w:hanging="360"/>
      </w:pPr>
      <w:rPr>
        <w:rFonts w:cs="Times New Roman"/>
      </w:rPr>
    </w:lvl>
    <w:lvl w:ilvl="2" w:tplc="4009001B" w:tentative="1">
      <w:start w:val="1"/>
      <w:numFmt w:val="lowerRoman"/>
      <w:lvlText w:val="%3."/>
      <w:lvlJc w:val="right"/>
      <w:pPr>
        <w:ind w:left="5478" w:hanging="180"/>
      </w:pPr>
      <w:rPr>
        <w:rFonts w:cs="Times New Roman"/>
      </w:rPr>
    </w:lvl>
    <w:lvl w:ilvl="3" w:tplc="4009000F" w:tentative="1">
      <w:start w:val="1"/>
      <w:numFmt w:val="decimal"/>
      <w:lvlText w:val="%4."/>
      <w:lvlJc w:val="left"/>
      <w:pPr>
        <w:ind w:left="6198" w:hanging="360"/>
      </w:pPr>
      <w:rPr>
        <w:rFonts w:cs="Times New Roman"/>
      </w:rPr>
    </w:lvl>
    <w:lvl w:ilvl="4" w:tplc="40090019" w:tentative="1">
      <w:start w:val="1"/>
      <w:numFmt w:val="lowerLetter"/>
      <w:lvlText w:val="%5."/>
      <w:lvlJc w:val="left"/>
      <w:pPr>
        <w:ind w:left="6918" w:hanging="360"/>
      </w:pPr>
      <w:rPr>
        <w:rFonts w:cs="Times New Roman"/>
      </w:rPr>
    </w:lvl>
    <w:lvl w:ilvl="5" w:tplc="4009001B" w:tentative="1">
      <w:start w:val="1"/>
      <w:numFmt w:val="lowerRoman"/>
      <w:lvlText w:val="%6."/>
      <w:lvlJc w:val="right"/>
      <w:pPr>
        <w:ind w:left="7638" w:hanging="180"/>
      </w:pPr>
      <w:rPr>
        <w:rFonts w:cs="Times New Roman"/>
      </w:rPr>
    </w:lvl>
    <w:lvl w:ilvl="6" w:tplc="4009000F" w:tentative="1">
      <w:start w:val="1"/>
      <w:numFmt w:val="decimal"/>
      <w:lvlText w:val="%7."/>
      <w:lvlJc w:val="left"/>
      <w:pPr>
        <w:ind w:left="8358" w:hanging="360"/>
      </w:pPr>
      <w:rPr>
        <w:rFonts w:cs="Times New Roman"/>
      </w:rPr>
    </w:lvl>
    <w:lvl w:ilvl="7" w:tplc="40090019" w:tentative="1">
      <w:start w:val="1"/>
      <w:numFmt w:val="lowerLetter"/>
      <w:lvlText w:val="%8."/>
      <w:lvlJc w:val="left"/>
      <w:pPr>
        <w:ind w:left="9078" w:hanging="360"/>
      </w:pPr>
      <w:rPr>
        <w:rFonts w:cs="Times New Roman"/>
      </w:rPr>
    </w:lvl>
    <w:lvl w:ilvl="8" w:tplc="4009001B" w:tentative="1">
      <w:start w:val="1"/>
      <w:numFmt w:val="lowerRoman"/>
      <w:lvlText w:val="%9."/>
      <w:lvlJc w:val="right"/>
      <w:pPr>
        <w:ind w:left="9798" w:hanging="180"/>
      </w:pPr>
      <w:rPr>
        <w:rFonts w:cs="Times New Roman"/>
      </w:rPr>
    </w:lvl>
  </w:abstractNum>
  <w:abstractNum w:abstractNumId="3" w15:restartNumberingAfterBreak="0">
    <w:nsid w:val="2BE10BDD"/>
    <w:multiLevelType w:val="hybridMultilevel"/>
    <w:tmpl w:val="C2A27BB4"/>
    <w:lvl w:ilvl="0" w:tplc="9B50F9B2">
      <w:start w:val="1"/>
      <w:numFmt w:val="decimal"/>
      <w:lvlText w:val="%1."/>
      <w:lvlJc w:val="left"/>
      <w:pPr>
        <w:ind w:left="360" w:hanging="360"/>
      </w:pPr>
      <w:rPr>
        <w:rFonts w:cs="Times New Roman" w:hint="default"/>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abstractNum w:abstractNumId="4" w15:restartNumberingAfterBreak="0">
    <w:nsid w:val="3B8B00BA"/>
    <w:multiLevelType w:val="hybridMultilevel"/>
    <w:tmpl w:val="0366CCA6"/>
    <w:lvl w:ilvl="0" w:tplc="FB00B63E">
      <w:start w:val="1"/>
      <w:numFmt w:val="lowerRoman"/>
      <w:lvlText w:val="%1."/>
      <w:lvlJc w:val="left"/>
      <w:pPr>
        <w:ind w:left="3392" w:hanging="360"/>
      </w:pPr>
      <w:rPr>
        <w:rFonts w:cs="Times New Roman" w:hint="default"/>
        <w:b w:val="0"/>
        <w:bCs/>
      </w:rPr>
    </w:lvl>
    <w:lvl w:ilvl="1" w:tplc="40090019">
      <w:start w:val="1"/>
      <w:numFmt w:val="lowerLetter"/>
      <w:lvlText w:val="%2."/>
      <w:lvlJc w:val="left"/>
      <w:pPr>
        <w:ind w:left="4112" w:hanging="360"/>
      </w:pPr>
      <w:rPr>
        <w:rFonts w:cs="Times New Roman"/>
      </w:rPr>
    </w:lvl>
    <w:lvl w:ilvl="2" w:tplc="4009001B" w:tentative="1">
      <w:start w:val="1"/>
      <w:numFmt w:val="lowerRoman"/>
      <w:lvlText w:val="%3."/>
      <w:lvlJc w:val="right"/>
      <w:pPr>
        <w:ind w:left="4832" w:hanging="180"/>
      </w:pPr>
      <w:rPr>
        <w:rFonts w:cs="Times New Roman"/>
      </w:rPr>
    </w:lvl>
    <w:lvl w:ilvl="3" w:tplc="4009000F" w:tentative="1">
      <w:start w:val="1"/>
      <w:numFmt w:val="decimal"/>
      <w:lvlText w:val="%4."/>
      <w:lvlJc w:val="left"/>
      <w:pPr>
        <w:ind w:left="5552" w:hanging="360"/>
      </w:pPr>
      <w:rPr>
        <w:rFonts w:cs="Times New Roman"/>
      </w:rPr>
    </w:lvl>
    <w:lvl w:ilvl="4" w:tplc="40090019" w:tentative="1">
      <w:start w:val="1"/>
      <w:numFmt w:val="lowerLetter"/>
      <w:lvlText w:val="%5."/>
      <w:lvlJc w:val="left"/>
      <w:pPr>
        <w:ind w:left="6272" w:hanging="360"/>
      </w:pPr>
      <w:rPr>
        <w:rFonts w:cs="Times New Roman"/>
      </w:rPr>
    </w:lvl>
    <w:lvl w:ilvl="5" w:tplc="4009001B" w:tentative="1">
      <w:start w:val="1"/>
      <w:numFmt w:val="lowerRoman"/>
      <w:lvlText w:val="%6."/>
      <w:lvlJc w:val="right"/>
      <w:pPr>
        <w:ind w:left="6992" w:hanging="180"/>
      </w:pPr>
      <w:rPr>
        <w:rFonts w:cs="Times New Roman"/>
      </w:rPr>
    </w:lvl>
    <w:lvl w:ilvl="6" w:tplc="4009000F" w:tentative="1">
      <w:start w:val="1"/>
      <w:numFmt w:val="decimal"/>
      <w:lvlText w:val="%7."/>
      <w:lvlJc w:val="left"/>
      <w:pPr>
        <w:ind w:left="7712" w:hanging="360"/>
      </w:pPr>
      <w:rPr>
        <w:rFonts w:cs="Times New Roman"/>
      </w:rPr>
    </w:lvl>
    <w:lvl w:ilvl="7" w:tplc="40090019" w:tentative="1">
      <w:start w:val="1"/>
      <w:numFmt w:val="lowerLetter"/>
      <w:lvlText w:val="%8."/>
      <w:lvlJc w:val="left"/>
      <w:pPr>
        <w:ind w:left="8432" w:hanging="360"/>
      </w:pPr>
      <w:rPr>
        <w:rFonts w:cs="Times New Roman"/>
      </w:rPr>
    </w:lvl>
    <w:lvl w:ilvl="8" w:tplc="4009001B" w:tentative="1">
      <w:start w:val="1"/>
      <w:numFmt w:val="lowerRoman"/>
      <w:lvlText w:val="%9."/>
      <w:lvlJc w:val="right"/>
      <w:pPr>
        <w:ind w:left="9152" w:hanging="180"/>
      </w:pPr>
      <w:rPr>
        <w:rFonts w:cs="Times New Roman"/>
      </w:rPr>
    </w:lvl>
  </w:abstractNum>
  <w:abstractNum w:abstractNumId="5" w15:restartNumberingAfterBreak="0">
    <w:nsid w:val="3BE1577C"/>
    <w:multiLevelType w:val="hybridMultilevel"/>
    <w:tmpl w:val="A0E8542C"/>
    <w:lvl w:ilvl="0" w:tplc="94BA33EA">
      <w:start w:val="1"/>
      <w:numFmt w:val="upperRoman"/>
      <w:lvlText w:val="%1."/>
      <w:lvlJc w:val="left"/>
      <w:pPr>
        <w:ind w:left="1003"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9C69AD"/>
    <w:multiLevelType w:val="hybridMultilevel"/>
    <w:tmpl w:val="FC6C4118"/>
    <w:lvl w:ilvl="0" w:tplc="4009000F">
      <w:start w:val="1"/>
      <w:numFmt w:val="decimal"/>
      <w:lvlText w:val="%1."/>
      <w:lvlJc w:val="left"/>
      <w:pPr>
        <w:ind w:left="501" w:hanging="360"/>
      </w:pPr>
      <w:rPr>
        <w:rFonts w:cs="Times New Roman"/>
      </w:rPr>
    </w:lvl>
    <w:lvl w:ilvl="1" w:tplc="92D6A256">
      <w:start w:val="1"/>
      <w:numFmt w:val="lowerRoman"/>
      <w:lvlText w:val="%2."/>
      <w:lvlJc w:val="left"/>
      <w:pPr>
        <w:ind w:left="1581" w:hanging="720"/>
      </w:pPr>
      <w:rPr>
        <w:rFonts w:cs="Times New Roman" w:hint="default"/>
      </w:rPr>
    </w:lvl>
    <w:lvl w:ilvl="2" w:tplc="4009001B" w:tentative="1">
      <w:start w:val="1"/>
      <w:numFmt w:val="lowerRoman"/>
      <w:lvlText w:val="%3."/>
      <w:lvlJc w:val="right"/>
      <w:pPr>
        <w:ind w:left="1941" w:hanging="180"/>
      </w:pPr>
      <w:rPr>
        <w:rFonts w:cs="Times New Roman"/>
      </w:rPr>
    </w:lvl>
    <w:lvl w:ilvl="3" w:tplc="4009000F" w:tentative="1">
      <w:start w:val="1"/>
      <w:numFmt w:val="decimal"/>
      <w:lvlText w:val="%4."/>
      <w:lvlJc w:val="left"/>
      <w:pPr>
        <w:ind w:left="2661" w:hanging="360"/>
      </w:pPr>
      <w:rPr>
        <w:rFonts w:cs="Times New Roman"/>
      </w:rPr>
    </w:lvl>
    <w:lvl w:ilvl="4" w:tplc="40090019" w:tentative="1">
      <w:start w:val="1"/>
      <w:numFmt w:val="lowerLetter"/>
      <w:lvlText w:val="%5."/>
      <w:lvlJc w:val="left"/>
      <w:pPr>
        <w:ind w:left="3381" w:hanging="360"/>
      </w:pPr>
      <w:rPr>
        <w:rFonts w:cs="Times New Roman"/>
      </w:rPr>
    </w:lvl>
    <w:lvl w:ilvl="5" w:tplc="4009001B" w:tentative="1">
      <w:start w:val="1"/>
      <w:numFmt w:val="lowerRoman"/>
      <w:lvlText w:val="%6."/>
      <w:lvlJc w:val="right"/>
      <w:pPr>
        <w:ind w:left="4101" w:hanging="180"/>
      </w:pPr>
      <w:rPr>
        <w:rFonts w:cs="Times New Roman"/>
      </w:rPr>
    </w:lvl>
    <w:lvl w:ilvl="6" w:tplc="4009000F" w:tentative="1">
      <w:start w:val="1"/>
      <w:numFmt w:val="decimal"/>
      <w:lvlText w:val="%7."/>
      <w:lvlJc w:val="left"/>
      <w:pPr>
        <w:ind w:left="4821" w:hanging="360"/>
      </w:pPr>
      <w:rPr>
        <w:rFonts w:cs="Times New Roman"/>
      </w:rPr>
    </w:lvl>
    <w:lvl w:ilvl="7" w:tplc="40090019" w:tentative="1">
      <w:start w:val="1"/>
      <w:numFmt w:val="lowerLetter"/>
      <w:lvlText w:val="%8."/>
      <w:lvlJc w:val="left"/>
      <w:pPr>
        <w:ind w:left="5541" w:hanging="360"/>
      </w:pPr>
      <w:rPr>
        <w:rFonts w:cs="Times New Roman"/>
      </w:rPr>
    </w:lvl>
    <w:lvl w:ilvl="8" w:tplc="4009001B" w:tentative="1">
      <w:start w:val="1"/>
      <w:numFmt w:val="lowerRoman"/>
      <w:lvlText w:val="%9."/>
      <w:lvlJc w:val="right"/>
      <w:pPr>
        <w:ind w:left="6261" w:hanging="180"/>
      </w:pPr>
      <w:rPr>
        <w:rFonts w:cs="Times New Roman"/>
      </w:rPr>
    </w:lvl>
  </w:abstractNum>
  <w:abstractNum w:abstractNumId="7" w15:restartNumberingAfterBreak="0">
    <w:nsid w:val="4EC47B8A"/>
    <w:multiLevelType w:val="hybridMultilevel"/>
    <w:tmpl w:val="7DC6AEF6"/>
    <w:lvl w:ilvl="0" w:tplc="FB00B63E">
      <w:start w:val="1"/>
      <w:numFmt w:val="lowerRoman"/>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8" w15:restartNumberingAfterBreak="0">
    <w:nsid w:val="5CE04479"/>
    <w:multiLevelType w:val="hybridMultilevel"/>
    <w:tmpl w:val="4E6A9CBA"/>
    <w:lvl w:ilvl="0" w:tplc="4009001B">
      <w:start w:val="1"/>
      <w:numFmt w:val="lowerRoman"/>
      <w:lvlText w:val="%1."/>
      <w:lvlJc w:val="right"/>
      <w:pPr>
        <w:ind w:left="928" w:hanging="360"/>
      </w:pPr>
      <w:rPr>
        <w:rFonts w:cs="Times New Roman"/>
      </w:rPr>
    </w:lvl>
    <w:lvl w:ilvl="1" w:tplc="40090019" w:tentative="1">
      <w:start w:val="1"/>
      <w:numFmt w:val="lowerLetter"/>
      <w:lvlText w:val="%2."/>
      <w:lvlJc w:val="left"/>
      <w:pPr>
        <w:ind w:left="1648" w:hanging="360"/>
      </w:pPr>
      <w:rPr>
        <w:rFonts w:cs="Times New Roman"/>
      </w:rPr>
    </w:lvl>
    <w:lvl w:ilvl="2" w:tplc="4009001B" w:tentative="1">
      <w:start w:val="1"/>
      <w:numFmt w:val="lowerRoman"/>
      <w:lvlText w:val="%3."/>
      <w:lvlJc w:val="right"/>
      <w:pPr>
        <w:ind w:left="2368" w:hanging="180"/>
      </w:pPr>
      <w:rPr>
        <w:rFonts w:cs="Times New Roman"/>
      </w:rPr>
    </w:lvl>
    <w:lvl w:ilvl="3" w:tplc="4009000F" w:tentative="1">
      <w:start w:val="1"/>
      <w:numFmt w:val="decimal"/>
      <w:lvlText w:val="%4."/>
      <w:lvlJc w:val="left"/>
      <w:pPr>
        <w:ind w:left="3088" w:hanging="360"/>
      </w:pPr>
      <w:rPr>
        <w:rFonts w:cs="Times New Roman"/>
      </w:rPr>
    </w:lvl>
    <w:lvl w:ilvl="4" w:tplc="40090019" w:tentative="1">
      <w:start w:val="1"/>
      <w:numFmt w:val="lowerLetter"/>
      <w:lvlText w:val="%5."/>
      <w:lvlJc w:val="left"/>
      <w:pPr>
        <w:ind w:left="3808" w:hanging="360"/>
      </w:pPr>
      <w:rPr>
        <w:rFonts w:cs="Times New Roman"/>
      </w:rPr>
    </w:lvl>
    <w:lvl w:ilvl="5" w:tplc="4009001B" w:tentative="1">
      <w:start w:val="1"/>
      <w:numFmt w:val="lowerRoman"/>
      <w:lvlText w:val="%6."/>
      <w:lvlJc w:val="right"/>
      <w:pPr>
        <w:ind w:left="4528" w:hanging="180"/>
      </w:pPr>
      <w:rPr>
        <w:rFonts w:cs="Times New Roman"/>
      </w:rPr>
    </w:lvl>
    <w:lvl w:ilvl="6" w:tplc="4009000F" w:tentative="1">
      <w:start w:val="1"/>
      <w:numFmt w:val="decimal"/>
      <w:lvlText w:val="%7."/>
      <w:lvlJc w:val="left"/>
      <w:pPr>
        <w:ind w:left="5248" w:hanging="360"/>
      </w:pPr>
      <w:rPr>
        <w:rFonts w:cs="Times New Roman"/>
      </w:rPr>
    </w:lvl>
    <w:lvl w:ilvl="7" w:tplc="40090019" w:tentative="1">
      <w:start w:val="1"/>
      <w:numFmt w:val="lowerLetter"/>
      <w:lvlText w:val="%8."/>
      <w:lvlJc w:val="left"/>
      <w:pPr>
        <w:ind w:left="5968" w:hanging="360"/>
      </w:pPr>
      <w:rPr>
        <w:rFonts w:cs="Times New Roman"/>
      </w:rPr>
    </w:lvl>
    <w:lvl w:ilvl="8" w:tplc="4009001B" w:tentative="1">
      <w:start w:val="1"/>
      <w:numFmt w:val="lowerRoman"/>
      <w:lvlText w:val="%9."/>
      <w:lvlJc w:val="right"/>
      <w:pPr>
        <w:ind w:left="6688" w:hanging="180"/>
      </w:pPr>
      <w:rPr>
        <w:rFonts w:cs="Times New Roman"/>
      </w:rPr>
    </w:lvl>
  </w:abstractNum>
  <w:abstractNum w:abstractNumId="9" w15:restartNumberingAfterBreak="0">
    <w:nsid w:val="63980F48"/>
    <w:multiLevelType w:val="hybridMultilevel"/>
    <w:tmpl w:val="D820C6FE"/>
    <w:lvl w:ilvl="0" w:tplc="FB00B63E">
      <w:start w:val="1"/>
      <w:numFmt w:val="lowerRoman"/>
      <w:lvlText w:val="%1."/>
      <w:lvlJc w:val="left"/>
      <w:pPr>
        <w:ind w:left="1146" w:hanging="360"/>
      </w:pPr>
      <w:rPr>
        <w:rFonts w:cs="Times New Roman" w:hint="default"/>
      </w:rPr>
    </w:lvl>
    <w:lvl w:ilvl="1" w:tplc="40090019" w:tentative="1">
      <w:start w:val="1"/>
      <w:numFmt w:val="lowerLetter"/>
      <w:lvlText w:val="%2."/>
      <w:lvlJc w:val="left"/>
      <w:pPr>
        <w:ind w:left="1866" w:hanging="360"/>
      </w:pPr>
      <w:rPr>
        <w:rFonts w:cs="Times New Roman"/>
      </w:rPr>
    </w:lvl>
    <w:lvl w:ilvl="2" w:tplc="4009001B" w:tentative="1">
      <w:start w:val="1"/>
      <w:numFmt w:val="lowerRoman"/>
      <w:lvlText w:val="%3."/>
      <w:lvlJc w:val="right"/>
      <w:pPr>
        <w:ind w:left="2586" w:hanging="180"/>
      </w:pPr>
      <w:rPr>
        <w:rFonts w:cs="Times New Roman"/>
      </w:rPr>
    </w:lvl>
    <w:lvl w:ilvl="3" w:tplc="4009000F" w:tentative="1">
      <w:start w:val="1"/>
      <w:numFmt w:val="decimal"/>
      <w:lvlText w:val="%4."/>
      <w:lvlJc w:val="left"/>
      <w:pPr>
        <w:ind w:left="3306" w:hanging="360"/>
      </w:pPr>
      <w:rPr>
        <w:rFonts w:cs="Times New Roman"/>
      </w:rPr>
    </w:lvl>
    <w:lvl w:ilvl="4" w:tplc="40090019" w:tentative="1">
      <w:start w:val="1"/>
      <w:numFmt w:val="lowerLetter"/>
      <w:lvlText w:val="%5."/>
      <w:lvlJc w:val="left"/>
      <w:pPr>
        <w:ind w:left="4026" w:hanging="360"/>
      </w:pPr>
      <w:rPr>
        <w:rFonts w:cs="Times New Roman"/>
      </w:rPr>
    </w:lvl>
    <w:lvl w:ilvl="5" w:tplc="4009001B" w:tentative="1">
      <w:start w:val="1"/>
      <w:numFmt w:val="lowerRoman"/>
      <w:lvlText w:val="%6."/>
      <w:lvlJc w:val="right"/>
      <w:pPr>
        <w:ind w:left="4746" w:hanging="180"/>
      </w:pPr>
      <w:rPr>
        <w:rFonts w:cs="Times New Roman"/>
      </w:rPr>
    </w:lvl>
    <w:lvl w:ilvl="6" w:tplc="4009000F" w:tentative="1">
      <w:start w:val="1"/>
      <w:numFmt w:val="decimal"/>
      <w:lvlText w:val="%7."/>
      <w:lvlJc w:val="left"/>
      <w:pPr>
        <w:ind w:left="5466" w:hanging="360"/>
      </w:pPr>
      <w:rPr>
        <w:rFonts w:cs="Times New Roman"/>
      </w:rPr>
    </w:lvl>
    <w:lvl w:ilvl="7" w:tplc="40090019" w:tentative="1">
      <w:start w:val="1"/>
      <w:numFmt w:val="lowerLetter"/>
      <w:lvlText w:val="%8."/>
      <w:lvlJc w:val="left"/>
      <w:pPr>
        <w:ind w:left="6186" w:hanging="360"/>
      </w:pPr>
      <w:rPr>
        <w:rFonts w:cs="Times New Roman"/>
      </w:rPr>
    </w:lvl>
    <w:lvl w:ilvl="8" w:tplc="4009001B" w:tentative="1">
      <w:start w:val="1"/>
      <w:numFmt w:val="lowerRoman"/>
      <w:lvlText w:val="%9."/>
      <w:lvlJc w:val="right"/>
      <w:pPr>
        <w:ind w:left="6906" w:hanging="180"/>
      </w:pPr>
      <w:rPr>
        <w:rFonts w:cs="Times New Roman"/>
      </w:rPr>
    </w:lvl>
  </w:abstractNum>
  <w:abstractNum w:abstractNumId="10" w15:restartNumberingAfterBreak="0">
    <w:nsid w:val="67F03D44"/>
    <w:multiLevelType w:val="hybridMultilevel"/>
    <w:tmpl w:val="258CBBD4"/>
    <w:lvl w:ilvl="0" w:tplc="A40ABF86">
      <w:start w:val="1"/>
      <w:numFmt w:val="lowerLetter"/>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1" w15:restartNumberingAfterBreak="0">
    <w:nsid w:val="72EB002D"/>
    <w:multiLevelType w:val="hybridMultilevel"/>
    <w:tmpl w:val="3520814A"/>
    <w:lvl w:ilvl="0" w:tplc="74B81614">
      <w:start w:val="1"/>
      <w:numFmt w:val="decimal"/>
      <w:lvlText w:val="%1."/>
      <w:lvlJc w:val="left"/>
      <w:pPr>
        <w:ind w:left="720" w:hanging="360"/>
      </w:pPr>
      <w:rPr>
        <w:rFonts w:cs="Times New Roman" w:hint="default"/>
        <w:b w:val="0"/>
        <w:bCs w:val="0"/>
        <w:i w:val="0"/>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num w:numId="1">
    <w:abstractNumId w:val="10"/>
  </w:num>
  <w:num w:numId="2">
    <w:abstractNumId w:val="6"/>
  </w:num>
  <w:num w:numId="3">
    <w:abstractNumId w:val="4"/>
  </w:num>
  <w:num w:numId="4">
    <w:abstractNumId w:val="8"/>
  </w:num>
  <w:num w:numId="5">
    <w:abstractNumId w:val="2"/>
  </w:num>
  <w:num w:numId="6">
    <w:abstractNumId w:val="9"/>
  </w:num>
  <w:num w:numId="7">
    <w:abstractNumId w:val="7"/>
  </w:num>
  <w:num w:numId="8">
    <w:abstractNumId w:val="1"/>
  </w:num>
  <w:num w:numId="9">
    <w:abstractNumId w:val="3"/>
  </w:num>
  <w:num w:numId="10">
    <w:abstractNumId w:val="11"/>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AAB"/>
    <w:rsid w:val="000A1699"/>
    <w:rsid w:val="000B272E"/>
    <w:rsid w:val="00185839"/>
    <w:rsid w:val="002B1816"/>
    <w:rsid w:val="002E43C0"/>
    <w:rsid w:val="005B33C8"/>
    <w:rsid w:val="005E6C93"/>
    <w:rsid w:val="00666AAB"/>
    <w:rsid w:val="008B14B5"/>
    <w:rsid w:val="00946BE3"/>
    <w:rsid w:val="00A138F6"/>
    <w:rsid w:val="00A25DE4"/>
    <w:rsid w:val="00AC22B7"/>
    <w:rsid w:val="00C67455"/>
    <w:rsid w:val="00CA4CA0"/>
    <w:rsid w:val="00E72295"/>
    <w:rsid w:val="00FC36F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BE79E"/>
  <w15:chartTrackingRefBased/>
  <w15:docId w15:val="{6AD1FFF3-1601-40E4-A414-EBB43760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66AAB"/>
    <w:rPr>
      <w:color w:val="0563C1"/>
      <w:u w:val="single"/>
    </w:rPr>
  </w:style>
  <w:style w:type="character" w:styleId="FollowedHyperlink">
    <w:name w:val="FollowedHyperlink"/>
    <w:basedOn w:val="DefaultParagraphFont"/>
    <w:uiPriority w:val="99"/>
    <w:semiHidden/>
    <w:unhideWhenUsed/>
    <w:rsid w:val="00666AAB"/>
    <w:rPr>
      <w:color w:val="954F72"/>
      <w:u w:val="single"/>
    </w:rPr>
  </w:style>
  <w:style w:type="paragraph" w:customStyle="1" w:styleId="msonormal0">
    <w:name w:val="msonormal"/>
    <w:basedOn w:val="Normal"/>
    <w:rsid w:val="00666AA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67">
    <w:name w:val="xl67"/>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18"/>
      <w:szCs w:val="18"/>
      <w:lang w:eastAsia="en-IN"/>
    </w:rPr>
  </w:style>
  <w:style w:type="paragraph" w:customStyle="1" w:styleId="xl68">
    <w:name w:val="xl68"/>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sz w:val="18"/>
      <w:szCs w:val="18"/>
      <w:lang w:eastAsia="en-IN"/>
    </w:rPr>
  </w:style>
  <w:style w:type="paragraph" w:customStyle="1" w:styleId="xl69">
    <w:name w:val="xl69"/>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color w:val="000000"/>
      <w:sz w:val="18"/>
      <w:szCs w:val="18"/>
      <w:lang w:eastAsia="en-IN"/>
    </w:rPr>
  </w:style>
  <w:style w:type="paragraph" w:customStyle="1" w:styleId="xl70">
    <w:name w:val="xl70"/>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333333"/>
      <w:sz w:val="18"/>
      <w:szCs w:val="18"/>
      <w:lang w:eastAsia="en-IN"/>
    </w:rPr>
  </w:style>
  <w:style w:type="paragraph" w:customStyle="1" w:styleId="xl71">
    <w:name w:val="xl71"/>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color w:val="000000"/>
      <w:sz w:val="18"/>
      <w:szCs w:val="18"/>
      <w:lang w:eastAsia="en-IN"/>
    </w:rPr>
  </w:style>
  <w:style w:type="paragraph" w:customStyle="1" w:styleId="xl72">
    <w:name w:val="xl72"/>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sz w:val="18"/>
      <w:szCs w:val="18"/>
      <w:lang w:eastAsia="en-IN"/>
    </w:rPr>
  </w:style>
  <w:style w:type="paragraph" w:customStyle="1" w:styleId="xl73">
    <w:name w:val="xl73"/>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b/>
      <w:bCs/>
      <w:color w:val="000000"/>
      <w:sz w:val="18"/>
      <w:szCs w:val="18"/>
      <w:lang w:eastAsia="en-IN"/>
    </w:rPr>
  </w:style>
  <w:style w:type="paragraph" w:customStyle="1" w:styleId="xl74">
    <w:name w:val="xl74"/>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color w:val="000000"/>
      <w:sz w:val="18"/>
      <w:szCs w:val="18"/>
      <w:lang w:eastAsia="en-IN"/>
    </w:rPr>
  </w:style>
  <w:style w:type="paragraph" w:customStyle="1" w:styleId="xl75">
    <w:name w:val="xl75"/>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8"/>
      <w:szCs w:val="18"/>
      <w:lang w:eastAsia="en-IN"/>
    </w:rPr>
  </w:style>
  <w:style w:type="paragraph" w:customStyle="1" w:styleId="xl76">
    <w:name w:val="xl76"/>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eastAsia="en-IN"/>
    </w:rPr>
  </w:style>
  <w:style w:type="paragraph" w:customStyle="1" w:styleId="xl77">
    <w:name w:val="xl77"/>
    <w:basedOn w:val="Normal"/>
    <w:rsid w:val="00666AA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n-IN"/>
    </w:rPr>
  </w:style>
  <w:style w:type="paragraph" w:customStyle="1" w:styleId="xl78">
    <w:name w:val="xl78"/>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18"/>
      <w:szCs w:val="18"/>
      <w:lang w:eastAsia="en-IN"/>
    </w:rPr>
  </w:style>
  <w:style w:type="paragraph" w:customStyle="1" w:styleId="xl79">
    <w:name w:val="xl79"/>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color w:val="000000"/>
      <w:sz w:val="18"/>
      <w:szCs w:val="18"/>
      <w:lang w:eastAsia="en-IN"/>
    </w:rPr>
  </w:style>
  <w:style w:type="paragraph" w:customStyle="1" w:styleId="xl80">
    <w:name w:val="xl80"/>
    <w:basedOn w:val="Normal"/>
    <w:rsid w:val="00666AAB"/>
    <w:pPr>
      <w:spacing w:before="100" w:beforeAutospacing="1" w:after="100" w:afterAutospacing="1" w:line="240" w:lineRule="auto"/>
    </w:pPr>
    <w:rPr>
      <w:rFonts w:ascii="Arial" w:eastAsia="Times New Roman" w:hAnsi="Arial" w:cs="Arial"/>
      <w:sz w:val="18"/>
      <w:szCs w:val="18"/>
      <w:lang w:eastAsia="en-IN"/>
    </w:rPr>
  </w:style>
  <w:style w:type="paragraph" w:customStyle="1" w:styleId="xl81">
    <w:name w:val="xl81"/>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18"/>
      <w:szCs w:val="18"/>
      <w:lang w:eastAsia="en-IN"/>
    </w:rPr>
  </w:style>
  <w:style w:type="paragraph" w:customStyle="1" w:styleId="xl82">
    <w:name w:val="xl82"/>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sz w:val="18"/>
      <w:szCs w:val="18"/>
      <w:lang w:eastAsia="en-IN"/>
    </w:rPr>
  </w:style>
  <w:style w:type="paragraph" w:customStyle="1" w:styleId="xl83">
    <w:name w:val="xl83"/>
    <w:basedOn w:val="Normal"/>
    <w:rsid w:val="00666AA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18"/>
      <w:szCs w:val="18"/>
      <w:lang w:eastAsia="en-IN"/>
    </w:rPr>
  </w:style>
  <w:style w:type="paragraph" w:customStyle="1" w:styleId="xl84">
    <w:name w:val="xl84"/>
    <w:basedOn w:val="Normal"/>
    <w:rsid w:val="00666AA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18"/>
      <w:szCs w:val="18"/>
      <w:lang w:eastAsia="en-IN"/>
    </w:rPr>
  </w:style>
  <w:style w:type="paragraph" w:customStyle="1" w:styleId="xl85">
    <w:name w:val="xl85"/>
    <w:basedOn w:val="Normal"/>
    <w:rsid w:val="00666AAB"/>
    <w:pPr>
      <w:pBdr>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color w:val="000000"/>
      <w:sz w:val="18"/>
      <w:szCs w:val="18"/>
      <w:lang w:eastAsia="en-IN"/>
    </w:rPr>
  </w:style>
  <w:style w:type="paragraph" w:customStyle="1" w:styleId="xl86">
    <w:name w:val="xl86"/>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color w:val="000000"/>
      <w:sz w:val="18"/>
      <w:szCs w:val="18"/>
      <w:lang w:eastAsia="en-IN"/>
    </w:rPr>
  </w:style>
  <w:style w:type="paragraph" w:customStyle="1" w:styleId="xl87">
    <w:name w:val="xl87"/>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b/>
      <w:bCs/>
      <w:color w:val="000000"/>
      <w:sz w:val="18"/>
      <w:szCs w:val="18"/>
      <w:lang w:eastAsia="en-IN"/>
    </w:rPr>
  </w:style>
  <w:style w:type="paragraph" w:customStyle="1" w:styleId="xl88">
    <w:name w:val="xl88"/>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b/>
      <w:bCs/>
      <w:color w:val="000000"/>
      <w:sz w:val="18"/>
      <w:szCs w:val="18"/>
      <w:lang w:eastAsia="en-IN"/>
    </w:rPr>
  </w:style>
  <w:style w:type="paragraph" w:customStyle="1" w:styleId="xl89">
    <w:name w:val="xl89"/>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sz w:val="18"/>
      <w:szCs w:val="18"/>
      <w:lang w:eastAsia="en-IN"/>
    </w:rPr>
  </w:style>
  <w:style w:type="paragraph" w:customStyle="1" w:styleId="xl90">
    <w:name w:val="xl90"/>
    <w:basedOn w:val="Normal"/>
    <w:rsid w:val="00666AA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color w:val="000000"/>
      <w:sz w:val="18"/>
      <w:szCs w:val="18"/>
      <w:lang w:eastAsia="en-IN"/>
    </w:rPr>
  </w:style>
  <w:style w:type="paragraph" w:customStyle="1" w:styleId="xl91">
    <w:name w:val="xl91"/>
    <w:basedOn w:val="Normal"/>
    <w:rsid w:val="00666AAB"/>
    <w:pPr>
      <w:pBdr>
        <w:top w:val="single" w:sz="4" w:space="0" w:color="auto"/>
      </w:pBdr>
      <w:spacing w:before="100" w:beforeAutospacing="1" w:after="100" w:afterAutospacing="1" w:line="240" w:lineRule="auto"/>
      <w:jc w:val="center"/>
      <w:textAlignment w:val="center"/>
    </w:pPr>
    <w:rPr>
      <w:rFonts w:ascii="Arial" w:eastAsia="Times New Roman" w:hAnsi="Arial" w:cs="Arial"/>
      <w:b/>
      <w:bCs/>
      <w:sz w:val="18"/>
      <w:szCs w:val="18"/>
      <w:lang w:eastAsia="en-IN"/>
    </w:rPr>
  </w:style>
  <w:style w:type="paragraph" w:customStyle="1" w:styleId="xl92">
    <w:name w:val="xl92"/>
    <w:basedOn w:val="Normal"/>
    <w:rsid w:val="00666AAB"/>
    <w:pPr>
      <w:pBdr>
        <w:top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8"/>
      <w:szCs w:val="18"/>
      <w:lang w:eastAsia="en-IN"/>
    </w:rPr>
  </w:style>
  <w:style w:type="paragraph" w:customStyle="1" w:styleId="xl93">
    <w:name w:val="xl93"/>
    <w:basedOn w:val="Normal"/>
    <w:rsid w:val="00666AAB"/>
    <w:pPr>
      <w:spacing w:before="100" w:beforeAutospacing="1" w:after="100" w:afterAutospacing="1" w:line="240" w:lineRule="auto"/>
      <w:jc w:val="center"/>
      <w:textAlignment w:val="center"/>
    </w:pPr>
    <w:rPr>
      <w:rFonts w:ascii="Arial" w:eastAsia="Times New Roman" w:hAnsi="Arial" w:cs="Arial"/>
      <w:b/>
      <w:bCs/>
      <w:sz w:val="18"/>
      <w:szCs w:val="18"/>
      <w:lang w:eastAsia="en-IN"/>
    </w:rPr>
  </w:style>
  <w:style w:type="paragraph" w:customStyle="1" w:styleId="xl94">
    <w:name w:val="xl94"/>
    <w:basedOn w:val="Normal"/>
    <w:rsid w:val="00666AAB"/>
    <w:pPr>
      <w:pBdr>
        <w:bottom w:val="single" w:sz="4" w:space="0" w:color="auto"/>
      </w:pBdr>
      <w:spacing w:before="100" w:beforeAutospacing="1" w:after="100" w:afterAutospacing="1" w:line="240" w:lineRule="auto"/>
      <w:jc w:val="center"/>
      <w:textAlignment w:val="center"/>
    </w:pPr>
    <w:rPr>
      <w:rFonts w:ascii="Arial" w:eastAsia="Times New Roman" w:hAnsi="Arial" w:cs="Arial"/>
      <w:b/>
      <w:bCs/>
      <w:sz w:val="18"/>
      <w:szCs w:val="18"/>
      <w:lang w:eastAsia="en-IN"/>
    </w:rPr>
  </w:style>
  <w:style w:type="paragraph" w:customStyle="1" w:styleId="xl95">
    <w:name w:val="xl95"/>
    <w:basedOn w:val="Normal"/>
    <w:rsid w:val="00666AAB"/>
    <w:pPr>
      <w:pBdr>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8"/>
      <w:szCs w:val="18"/>
      <w:lang w:eastAsia="en-IN"/>
    </w:rPr>
  </w:style>
  <w:style w:type="paragraph" w:customStyle="1" w:styleId="xl96">
    <w:name w:val="xl96"/>
    <w:basedOn w:val="Normal"/>
    <w:rsid w:val="00666AA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18"/>
      <w:szCs w:val="18"/>
      <w:lang w:eastAsia="en-IN"/>
    </w:rPr>
  </w:style>
  <w:style w:type="paragraph" w:customStyle="1" w:styleId="xl97">
    <w:name w:val="xl97"/>
    <w:basedOn w:val="Normal"/>
    <w:rsid w:val="00666AA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n-IN"/>
    </w:rPr>
  </w:style>
  <w:style w:type="paragraph" w:customStyle="1" w:styleId="xl98">
    <w:name w:val="xl98"/>
    <w:basedOn w:val="Normal"/>
    <w:rsid w:val="00666AA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b/>
      <w:bCs/>
      <w:sz w:val="18"/>
      <w:szCs w:val="18"/>
      <w:lang w:eastAsia="en-IN"/>
    </w:rPr>
  </w:style>
  <w:style w:type="paragraph" w:customStyle="1" w:styleId="xl99">
    <w:name w:val="xl99"/>
    <w:basedOn w:val="Normal"/>
    <w:rsid w:val="00666AAB"/>
    <w:pPr>
      <w:spacing w:before="100" w:beforeAutospacing="1" w:after="100" w:afterAutospacing="1" w:line="240" w:lineRule="auto"/>
    </w:pPr>
    <w:rPr>
      <w:rFonts w:ascii="Arial" w:eastAsia="Times New Roman" w:hAnsi="Arial" w:cs="Arial"/>
      <w:sz w:val="18"/>
      <w:szCs w:val="18"/>
      <w:lang w:eastAsia="en-IN"/>
    </w:rPr>
  </w:style>
  <w:style w:type="paragraph" w:customStyle="1" w:styleId="xl100">
    <w:name w:val="xl100"/>
    <w:basedOn w:val="Normal"/>
    <w:rsid w:val="00666AA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sz w:val="18"/>
      <w:szCs w:val="18"/>
      <w:lang w:eastAsia="en-IN"/>
    </w:rPr>
  </w:style>
  <w:style w:type="paragraph" w:customStyle="1" w:styleId="xl101">
    <w:name w:val="xl101"/>
    <w:basedOn w:val="Normal"/>
    <w:rsid w:val="00666AA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sz w:val="18"/>
      <w:szCs w:val="18"/>
      <w:lang w:eastAsia="en-IN"/>
    </w:rPr>
  </w:style>
  <w:style w:type="paragraph" w:customStyle="1" w:styleId="xl102">
    <w:name w:val="xl102"/>
    <w:basedOn w:val="Normal"/>
    <w:rsid w:val="00666AA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color w:val="333333"/>
      <w:sz w:val="18"/>
      <w:szCs w:val="18"/>
      <w:lang w:eastAsia="en-IN"/>
    </w:rPr>
  </w:style>
  <w:style w:type="paragraph" w:customStyle="1" w:styleId="xl103">
    <w:name w:val="xl103"/>
    <w:basedOn w:val="Normal"/>
    <w:rsid w:val="00666AA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sz w:val="18"/>
      <w:szCs w:val="18"/>
      <w:lang w:eastAsia="en-IN"/>
    </w:rPr>
  </w:style>
  <w:style w:type="paragraph" w:customStyle="1" w:styleId="xl104">
    <w:name w:val="xl104"/>
    <w:basedOn w:val="Normal"/>
    <w:rsid w:val="00666AA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color w:val="000000"/>
      <w:sz w:val="18"/>
      <w:szCs w:val="18"/>
      <w:lang w:eastAsia="en-IN"/>
    </w:rPr>
  </w:style>
  <w:style w:type="paragraph" w:customStyle="1" w:styleId="xl105">
    <w:name w:val="xl105"/>
    <w:basedOn w:val="Normal"/>
    <w:rsid w:val="00666AA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b/>
      <w:bCs/>
      <w:sz w:val="18"/>
      <w:szCs w:val="18"/>
      <w:lang w:eastAsia="en-IN"/>
    </w:rPr>
  </w:style>
  <w:style w:type="paragraph" w:customStyle="1" w:styleId="xl106">
    <w:name w:val="xl106"/>
    <w:basedOn w:val="Normal"/>
    <w:rsid w:val="00666AA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sz w:val="18"/>
      <w:szCs w:val="18"/>
      <w:lang w:eastAsia="en-IN"/>
    </w:rPr>
  </w:style>
  <w:style w:type="paragraph" w:customStyle="1" w:styleId="xl107">
    <w:name w:val="xl107"/>
    <w:basedOn w:val="Normal"/>
    <w:rsid w:val="00666AA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w:eastAsia="Times New Roman" w:hAnsi="Arial" w:cs="Arial"/>
      <w:b/>
      <w:bCs/>
      <w:sz w:val="18"/>
      <w:szCs w:val="18"/>
      <w:lang w:eastAsia="en-IN"/>
    </w:rPr>
  </w:style>
  <w:style w:type="paragraph" w:customStyle="1" w:styleId="xl108">
    <w:name w:val="xl108"/>
    <w:basedOn w:val="Normal"/>
    <w:rsid w:val="00666AAB"/>
    <w:pPr>
      <w:pBdr>
        <w:right w:val="single" w:sz="4" w:space="0" w:color="auto"/>
      </w:pBdr>
      <w:spacing w:before="100" w:beforeAutospacing="1" w:after="100" w:afterAutospacing="1" w:line="240" w:lineRule="auto"/>
      <w:jc w:val="center"/>
      <w:textAlignment w:val="center"/>
    </w:pPr>
    <w:rPr>
      <w:rFonts w:ascii="Arial" w:eastAsia="Times New Roman" w:hAnsi="Arial" w:cs="Arial"/>
      <w:b/>
      <w:bCs/>
      <w:sz w:val="18"/>
      <w:szCs w:val="18"/>
      <w:lang w:eastAsia="en-IN"/>
    </w:rPr>
  </w:style>
  <w:style w:type="paragraph" w:customStyle="1" w:styleId="xl109">
    <w:name w:val="xl109"/>
    <w:basedOn w:val="Normal"/>
    <w:rsid w:val="00666AA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8"/>
      <w:szCs w:val="18"/>
      <w:lang w:eastAsia="en-IN"/>
    </w:rPr>
  </w:style>
  <w:style w:type="paragraph" w:customStyle="1" w:styleId="xl110">
    <w:name w:val="xl110"/>
    <w:basedOn w:val="Normal"/>
    <w:rsid w:val="00666AA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8"/>
      <w:szCs w:val="18"/>
      <w:lang w:eastAsia="en-IN"/>
    </w:rPr>
  </w:style>
  <w:style w:type="table" w:styleId="TableGrid">
    <w:name w:val="Table Grid"/>
    <w:basedOn w:val="TableNormal"/>
    <w:uiPriority w:val="39"/>
    <w:rsid w:val="00666A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locked/>
    <w:rsid w:val="00666AAB"/>
    <w:rPr>
      <w:rFonts w:ascii="Times New Roman" w:eastAsiaTheme="minorEastAsia" w:hAnsi="Times New Roman" w:cs="Times New Roman"/>
      <w:lang w:bidi="ar-SA"/>
    </w:rPr>
  </w:style>
  <w:style w:type="paragraph" w:styleId="NoSpacing">
    <w:name w:val="No Spacing"/>
    <w:link w:val="NoSpacingChar"/>
    <w:uiPriority w:val="1"/>
    <w:qFormat/>
    <w:rsid w:val="00666AAB"/>
    <w:pPr>
      <w:spacing w:after="0" w:line="240" w:lineRule="auto"/>
    </w:pPr>
    <w:rPr>
      <w:rFonts w:ascii="Times New Roman" w:eastAsiaTheme="minorEastAsia" w:hAnsi="Times New Roman" w:cs="Times New Roman"/>
      <w:lang w:bidi="ar-SA"/>
    </w:rPr>
  </w:style>
  <w:style w:type="character" w:customStyle="1" w:styleId="ListParagraphChar">
    <w:name w:val="List Paragraph Char"/>
    <w:aliases w:val="List Paragraph Char Char Char,List Paragraph1 Char,b1 Char,Number_1 Char,SGLText List Paragraph Char,new Char,List Paragraph11 Char,List Paragraph2 Char,Colorful List - Accent 11 Char,Normal Sentence Char,ListPar1 Char,list1 Char"/>
    <w:link w:val="ListParagraph"/>
    <w:uiPriority w:val="34"/>
    <w:qFormat/>
    <w:locked/>
    <w:rsid w:val="00666AAB"/>
    <w:rPr>
      <w:rFonts w:ascii="Calibri" w:eastAsia="Times New Roman" w:hAnsi="Calibri"/>
    </w:rPr>
  </w:style>
  <w:style w:type="paragraph" w:styleId="ListParagraph">
    <w:name w:val="List Paragraph"/>
    <w:aliases w:val="List Paragraph Char Char,List Paragraph1,b1,Number_1,SGLText List Paragraph,new,List Paragraph11,List Paragraph2,Colorful List - Accent 11,Normal Sentence,ListPar1,Figure_name,list1,*Body 1,b-heading 1/heading 2,b14,b-heading,BD,Report P"/>
    <w:basedOn w:val="Normal"/>
    <w:link w:val="ListParagraphChar"/>
    <w:uiPriority w:val="34"/>
    <w:qFormat/>
    <w:rsid w:val="00666AAB"/>
    <w:pPr>
      <w:spacing w:after="200" w:line="276" w:lineRule="auto"/>
      <w:ind w:left="720"/>
      <w:contextualSpacing/>
    </w:pPr>
    <w:rPr>
      <w:rFonts w:ascii="Calibri" w:eastAsia="Times New Roman" w:hAnsi="Calibri" w:cstheme="minorBidi"/>
    </w:rPr>
  </w:style>
  <w:style w:type="paragraph" w:styleId="NormalWeb">
    <w:name w:val="Normal (Web)"/>
    <w:basedOn w:val="Normal"/>
    <w:uiPriority w:val="99"/>
    <w:unhideWhenUsed/>
    <w:rsid w:val="00666AA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5E6C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6C93"/>
    <w:rPr>
      <w:rFonts w:cs="Mangal"/>
    </w:rPr>
  </w:style>
  <w:style w:type="paragraph" w:styleId="Footer">
    <w:name w:val="footer"/>
    <w:basedOn w:val="Normal"/>
    <w:link w:val="FooterChar"/>
    <w:uiPriority w:val="99"/>
    <w:unhideWhenUsed/>
    <w:rsid w:val="005E6C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6C93"/>
    <w:rPr>
      <w:rFonts w:cs="Mangal"/>
    </w:rPr>
  </w:style>
  <w:style w:type="paragraph" w:styleId="BalloonText">
    <w:name w:val="Balloon Text"/>
    <w:basedOn w:val="Normal"/>
    <w:link w:val="BalloonTextChar"/>
    <w:uiPriority w:val="99"/>
    <w:semiHidden/>
    <w:unhideWhenUsed/>
    <w:rsid w:val="00FC36F1"/>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FC36F1"/>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63075">
      <w:bodyDiv w:val="1"/>
      <w:marLeft w:val="0"/>
      <w:marRight w:val="0"/>
      <w:marTop w:val="0"/>
      <w:marBottom w:val="0"/>
      <w:divBdr>
        <w:top w:val="none" w:sz="0" w:space="0" w:color="auto"/>
        <w:left w:val="none" w:sz="0" w:space="0" w:color="auto"/>
        <w:bottom w:val="none" w:sz="0" w:space="0" w:color="auto"/>
        <w:right w:val="none" w:sz="0" w:space="0" w:color="auto"/>
      </w:divBdr>
    </w:div>
    <w:div w:id="223950208">
      <w:bodyDiv w:val="1"/>
      <w:marLeft w:val="0"/>
      <w:marRight w:val="0"/>
      <w:marTop w:val="0"/>
      <w:marBottom w:val="0"/>
      <w:divBdr>
        <w:top w:val="none" w:sz="0" w:space="0" w:color="auto"/>
        <w:left w:val="none" w:sz="0" w:space="0" w:color="auto"/>
        <w:bottom w:val="none" w:sz="0" w:space="0" w:color="auto"/>
        <w:right w:val="none" w:sz="0" w:space="0" w:color="auto"/>
      </w:divBdr>
    </w:div>
    <w:div w:id="289870634">
      <w:bodyDiv w:val="1"/>
      <w:marLeft w:val="0"/>
      <w:marRight w:val="0"/>
      <w:marTop w:val="0"/>
      <w:marBottom w:val="0"/>
      <w:divBdr>
        <w:top w:val="none" w:sz="0" w:space="0" w:color="auto"/>
        <w:left w:val="none" w:sz="0" w:space="0" w:color="auto"/>
        <w:bottom w:val="none" w:sz="0" w:space="0" w:color="auto"/>
        <w:right w:val="none" w:sz="0" w:space="0" w:color="auto"/>
      </w:divBdr>
    </w:div>
    <w:div w:id="439879703">
      <w:bodyDiv w:val="1"/>
      <w:marLeft w:val="0"/>
      <w:marRight w:val="0"/>
      <w:marTop w:val="0"/>
      <w:marBottom w:val="0"/>
      <w:divBdr>
        <w:top w:val="none" w:sz="0" w:space="0" w:color="auto"/>
        <w:left w:val="none" w:sz="0" w:space="0" w:color="auto"/>
        <w:bottom w:val="none" w:sz="0" w:space="0" w:color="auto"/>
        <w:right w:val="none" w:sz="0" w:space="0" w:color="auto"/>
      </w:divBdr>
    </w:div>
    <w:div w:id="487089956">
      <w:bodyDiv w:val="1"/>
      <w:marLeft w:val="0"/>
      <w:marRight w:val="0"/>
      <w:marTop w:val="0"/>
      <w:marBottom w:val="0"/>
      <w:divBdr>
        <w:top w:val="none" w:sz="0" w:space="0" w:color="auto"/>
        <w:left w:val="none" w:sz="0" w:space="0" w:color="auto"/>
        <w:bottom w:val="none" w:sz="0" w:space="0" w:color="auto"/>
        <w:right w:val="none" w:sz="0" w:space="0" w:color="auto"/>
      </w:divBdr>
    </w:div>
    <w:div w:id="82223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imabharosa.irdai.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3343</Words>
  <Characters>19056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Sudeep Chandra</dc:creator>
  <cp:keywords/>
  <dc:description/>
  <cp:lastModifiedBy>GRajeshwar</cp:lastModifiedBy>
  <cp:revision>3</cp:revision>
  <cp:lastPrinted>2026-03-14T09:42:00Z</cp:lastPrinted>
  <dcterms:created xsi:type="dcterms:W3CDTF">2026-03-14T09:10:00Z</dcterms:created>
  <dcterms:modified xsi:type="dcterms:W3CDTF">2026-03-14T09:44:00Z</dcterms:modified>
</cp:coreProperties>
</file>