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Controlled Benchmark Program – Research Conclusions</w:t>
      </w:r>
    </w:p>
    <w:p>
      <w:r>
        <w:br/>
        <w:t>The controlled benchmark campaign investigated threshold-based intervention policies for near-critical inventory systems under stochastic disruptions.</w:t>
        <w:br/>
        <w:br/>
        <w:t>Main findings:</w:t>
        <w:br/>
        <w:br/>
        <w:t>• Optimal thresholds increase as systems approach the near-critical regime.</w:t>
        <w:br/>
        <w:t>• Physical criticality alone does not determine intervention value.</w:t>
        <w:br/>
        <w:t>• Economic criticality, represented by K_fail/K_prevent, is equally important.</w:t>
        <w:br/>
        <w:t>• Preventive intervention provides limited value when collapse costs are low.</w:t>
        <w:br/>
        <w:t>• An empirical economic boundary was observed near K_fail/K_prevent ≈ 40.</w:t>
        <w:br/>
        <w:t>• Above this boundary, preventive threshold policies generate material benefits across a majority of scenarios.</w:t>
        <w:br/>
        <w:t>• The results support a two-dimensional criticality framework combining physical and economic criticality.</w:t>
        <w:br/>
        <w:br/>
        <w:t>Research implication:</w:t>
        <w:br/>
        <w:br/>
        <w:t>The value of preventive control emerges from the interaction between stability margin (delta) and collapse-cost ratio. These findings provide a bridge between near-critical system theory and industrial supply-chain decision making.</w:t>
        <w:br/>
        <w:br/>
        <w:t>Recommended next stage:</w:t>
        <w:br/>
        <w:br/>
        <w:t>1. Small network validation (supplier → warehouse → customer).</w:t>
        <w:br/>
        <w:t>2. Multi-node supply network.</w:t>
        <w:br/>
        <w:t>3. Large-scale supply chain digital twin.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