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ns3="urn:schemas-microsoft-com:vml" xmlns:ns4="urn:schemas-microsoft-com:office:office" xmlns:ns5="urn:schemas-microsoft-com:office:word" xmlns:w="http://schemas.openxmlformats.org/wordprocessingml/2006/main" ns1:Ignorable="w14 w15 wp14">
  <w:body>
    <w:p ns2:paraId="33C74042">
      <w:pPr>
        <w:pStyle w:val="2"/>
        <w:keepNext w:val="0"/>
        <w:keepLines w:val="0"/>
        <w:widowControl/>
        <w:suppressLineNumbers w:val="0"/>
        <w:shd w:val="clear" w:fill="FDFCFE"/>
        <w:spacing w:before="0" w:beforeAutospacing="0" w:after="240" w:afterAutospacing="0" w:line="360" w:lineRule="auto"/>
        <w:ind w:left="0" w:right="0" w:firstLine="0"/>
        <w:jc w:val="center"/>
        <w:rPr>
          <w:rFonts w:ascii="Segoe UI" w:hAnsi="Segoe UI" w:eastAsia="Segoe UI" w:cs="Segoe UI"/>
          <w:b/>
          <w:bCs/>
          <w:i w:val="0"/>
          <w:iCs w:val="0"/>
          <w:caps w:val="0"/>
          <w:spacing w:val="0"/>
          <w:sz w:val="45"/>
          <w:szCs w:val="45"/>
        </w:rPr>
      </w:pPr>
      <w:r>
        <w:rPr>
          <w:rFonts w:ascii="Times New Roman" w:hAnsi="Times New Roman" w:eastAsia="Times New Roman" w:cs="Times New Roman"/>
          <w:sz w:val="32"/>
          <w:szCs w:val="32"/>
          <w:b/>
        </w:rPr>
        <w:t>Reliability-Based Threshold Control for Near-Critical Capacity-Constrained Systems: Corrected First-Passage Dynamics and Hazard Characterization</w:t>
      </w:r>
    </w:p>
    <w:p ns2:paraId="7F6848A4">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Abstract</w:t>
      </w:r>
    </w:p>
    <w:p ns2:paraId="27FBED0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Near-critical capacity-constrained systems operate close to their stability limits and are vulnerable to collapse after sequences of random replenishment disruptions. Although such failures are operational rather than physical, they create reliability-management challenges analogous to condition-based maintenance: intervention decisions must balance preventive costs against failure consequences. This paper develops a unified reliability framework for disruption-driven collapse in a stochastic inventory system with Poisson demand and random capacity interruptions. Collapse is modeled as a first-passage event. We show that the classical inverse-Gaussian diffusion approximation systematically overstates first-passage variance in the near-critical regime, and introduce an empirical correction for the inverse-Gaussian shape parameter that reduces mean absolute shape-parameter error from 36.0% to 5.0% across 42 calibrated design points. We then characterize the reliability hazard structure and show that decreasing-failure-rate behavior emerges through survivorship selection, making age-based intervention ineffective in key regimes. Building on these results, we formulate an average-cost Markov decision process and compute optimal condition-based threshold policies. Numerical experiments show cost reductions of up to 22% over the age-based optimum, stable thresholds under capacity variation, and regret below 6% under 30% demand-rate misspecification.</w:t>
      </w:r>
    </w:p>
    <w:p ns2:paraId="3D6AA56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Keywords: inventory systems; disruption management; Markov decision process; threshold policy; condition-based maintenance; first-passage reliability; diffusion approximation</w:t>
      </w:r>
    </w:p>
    <w:p ns2:paraId="02556E91">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37" ns4:spt="1" style="height:1.5pt;width:432pt;" fillcolor="#A0A0A0" filled="t" stroked="f" coordsize="21600,21600" ns4:hr="t" ns4:hrstd="t" ns4:hralign="center">
            <ns3:path/>
            <ns3:fill on="t" focussize="0,0"/>
            <ns3:stroke on="f"/>
            <ns3:imagedata ns4:title=""/>
            <ns4:lock ns3:ext="edit"/>
            <ns5:wrap type="none"/>
            <ns5:anchorlock/>
          </ns3:rect>
        </w:pict>
      </w:r>
    </w:p>
    <w:p ns2:paraId="5FC739A1">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1. Introduction</w:t>
      </w:r>
    </w:p>
    <w:p>
      <w:pPr>
        <w:pStyle w:val="10"/>
        <w:spacing w:line="480" w:lineRule="auto" w:before="0" w:after="0"/>
      </w:pPr>
      <w:r>
        <w:rPr>
          <w:rFonts w:ascii="Times New Roman" w:hAnsi="Times New Roman" w:eastAsia="Times New Roman" w:cs="Times New Roman"/>
          <w:sz w:val="24"/>
          <w:szCs w:val="24"/>
        </w:rPr>
        <w:t>Modern engineered systems increasingly operate under persistent uncertainty, tight capacity limits, and disruption risk. Supply chains exposed to replenishment interruptions, semiconductor production systems affected by capacity losses, logistics infrastructures subject to transportation disruptions, and service systems experiencing intermittent availability all face a common reliability problem: operational collapse can occur when stochastic demand and random capacity interruptions deplete the available buffer. The 2021-2022 semiconductor shortage illustrates the issue. Inventory buffers calibrated for ordinary demand variability proved insufficient when replenishment was interrupted by compounding disruptions, including pandemic-related capacity losses, the February 2021 Texas freeze, and the March 2021 Renesas plant fire (Hosseini et al., 2019; Snyder et al., 2016). A contrasting case is the Suez Canal blockage, where a single large disruption propagated through downstream inventories (Tomlin, 2006). These events differ in frequency and amplitude, but both require reliability models that connect disruption dynamics to collapse risk and intervention timing.</w:t>
      </w:r>
    </w:p>
    <w:p>
      <w:pPr>
        <w:pStyle w:val="10"/>
        <w:spacing w:line="480" w:lineRule="auto" w:before="0" w:after="0"/>
      </w:pPr>
      <w:r>
        <w:t>From a reliability perspective, the central challenge is that failure need not arise from physical deterioration alone. Traditional reliability and maintenance models often focus on wear, degradation, fatigue, or component aging. In many operational systems, however, the failure mechanism is resource depletion: the system collapses when the cumulative effect of demand variability and capacity disruptions drives the buffer below a critical level. Such failures are operational rather than physical, but they create the same decision problem faced in condition-based maintenance: when should the system be reset or replenished to avoid costly failure without excessive preventive intervention?</w:t>
      </w:r>
    </w:p>
    <w:p>
      <w:pPr>
        <w:pStyle w:val="10"/>
        <w:spacing w:line="480" w:lineRule="auto" w:before="0" w:after="0"/>
      </w:pPr>
      <w:r>
        <w:t>We study this problem through a discrete-time capacity-constrained inventory model. During operational periods, the system receives replenishment of capacity C; during disruptive periods, replenishment is unavailable. Demand follows a Poisson distribution with rate λ, and disruptions occur independently with probability p per period. The stability margin δ = (1-p)C - λ governs the long-run drift of the buffer. The near-critical regime, defined by small positive δ, is operationally important because the system is stable in expectation but remains vulnerable to finite-time collapse. This is precisely the regime in which reliability assessment and intervention timing are most consequential.</w:t>
      </w:r>
    </w:p>
    <w:p>
      <w:pPr>
        <w:pStyle w:val="10"/>
        <w:spacing w:line="480" w:lineRule="auto" w:before="0" w:after="0"/>
      </w:pPr>
      <w:r>
        <w:rPr>
          <w:rFonts w:ascii="Times New Roman" w:hAnsi="Times New Roman" w:eastAsia="Times New Roman" w:cs="Times New Roman"/>
          <w:sz w:val="24"/>
          <w:szCs w:val="24"/>
        </w:rPr>
        <w:t>The time to collapse is naturally modeled as a first-passage time. Classical diffusion theory connects boundary-crossing times of Brownian motion to the inverse-Gaussian distribution (Asmussen, 2003; Chhikara &amp; Folks, 1989; Folks &amp; Chhikara, 1978; Harrison, 1985; Jørgensen, 1982; Seshadri, 1999; Whitt, 2002). However, direct application of the classical parameterization can be misleading in near-critical capacity-constrained systems. The marginal variance p(1-p)C^2 + λ correctly describes one-period flow variability, but it overstates the effective path-level dispersion of collapse times because early unfavorable trajectories are absorbed while surviving trajectories become selected toward higher-buffer states. This survivorship effect alters both the first-passage distribution and the resulting hazard structure.</w:t>
      </w:r>
    </w:p>
    <w:p>
      <w:pPr>
        <w:pStyle w:val="10"/>
        <w:spacing w:line="480" w:lineRule="auto" w:before="0" w:after="0"/>
      </w:pPr>
      <w:r>
        <w:rPr>
          <w:rFonts w:ascii="Times New Roman" w:hAnsi="Times New Roman" w:eastAsia="Times New Roman" w:cs="Times New Roman"/>
          <w:sz w:val="24"/>
          <w:szCs w:val="24"/>
        </w:rPr>
        <w:t>The intervention problem is equally important. Recent maintenance and reliability research emphasizes condition-based maintenance, predictive intervention, and threshold policies (Alaswad &amp; Xiang, 2017; Borrero &amp; Akhavan-Tabatabaei, 2013; Dieulle et al., 2003; Grall et al., 2002a; Grall et al., 2002b; Hao et al., 2025; Jardine et al., 2006; Kivanç et al., 2025; Kyriakidis &amp; Dimitrakos, 2006; Luo et al., 2024; Luo et al., 2025; Sun &amp; Vatn, 2024; van der Duyn Schouten &amp; Vanneste, 1995; Wang, 2002; Yao et al., 2005; Zhang et al., 2024). Recent Reliability Engineering &amp; System Safety studies address dynamic-environment CBM (Luo et al., 2024), finite-horizon multi-component CBM with economic dependence (Zhang et al., 2024), condition-based inspections and maintenance delays (Sun &amp; Vatn, 2024), scalable two-threshold CBM for multi-component systems (Kivanç et al., 2025), queueing systems with standby equipment and condition monitoring (Luo et al., 2025), and joint operation-maintenance control under hybrid continuous-discrete loads (Hao et al., 2025). Existing buffer-and-maintenance models typically specify deterioration exogenously, for example through a Markov degradation process or an assumed hazard structure. In contrast, the present model treats the reliability hazard as endogenous: collapse risk emerges from the inventory recursion itself. The observable state variable is not a physical degradation index but the current buffer level, which directly measures proximity to operational failure.</w:t>
      </w:r>
    </w:p>
    <w:p>
      <w:pPr>
        <w:pStyle w:val="4"/>
        <w:spacing w:line="480" w:lineRule="auto" w:before="180" w:after="60"/>
        <w:keepNext/>
      </w:pPr>
      <w:r>
        <w:rPr>
          <w:rFonts w:ascii="Times New Roman" w:hAnsi="Times New Roman" w:eastAsia="Times New Roman" w:cs="Times New Roman"/>
          <w:sz w:val="24"/>
          <w:szCs w:val="24"/>
          <w:b/>
        </w:rPr>
        <w:t>1.1 Positioning relative to recent reliability and maintenance research</w:t>
      </w:r>
    </w:p>
    <w:p>
      <w:pPr>
        <w:pStyle w:val="10"/>
        <w:spacing w:line="480" w:lineRule="auto" w:before="0" w:after="0"/>
      </w:pPr>
      <w:r>
        <w:rPr>
          <w:rFonts w:ascii="Times New Roman" w:hAnsi="Times New Roman" w:eastAsia="Times New Roman" w:cs="Times New Roman"/>
          <w:sz w:val="24"/>
          <w:szCs w:val="24"/>
        </w:rPr>
        <w:t>This paper positions near-critical inventory collapse as a reliability-control problem within the current condition-based maintenance literature. Recent work in this area has developed three neighboring streams. The first stream studies intervention timing for deteriorating or multi-component systems, including dynamic environments, finite-horizon economic dependence, inspection delays, and scalable threshold structures (Kivanç et al., 2025; Luo et al., 2024; Sun &amp; Vatn, 2024; Zhang et al., 2024). The second stream integrates maintenance with operational system behavior, including queueing systems and joint operation-maintenance decisions under hybrid loading (Hao et al., 2025; Luo et al., 2025). The third stream develops degradation, remaining-useful-life, and failure-time models that account for hard failures, population variation, compound degradation with jumps, and multi-stage failure mechanisms (Cao et al., 2025; Guo et al., 2025; Zhou et al., 2025).</w:t>
      </w:r>
    </w:p>
    <w:p>
      <w:pPr>
        <w:pStyle w:val="10"/>
        <w:spacing w:line="480" w:lineRule="auto" w:before="0" w:after="0"/>
      </w:pPr>
      <w:r>
        <w:t>The present paper differs from these streams in the failure mechanism it models. Rather than assuming an exogenous degradation process and optimizing maintenance around that process, we study a system in which operational failure is generated endogenously by stochastic resource depletion. Collapse occurs when the inventory buffer reaches a critical boundary. The monitored condition variable is therefore the buffer state itself, not a latent wear state or a physical degradation signal. This distinction turns a supply-disruption problem into a reliability-control problem: first-passage analysis characterizes collapse risk, while the MDP translates the observable state into an intervention threshold.</w:t>
      </w:r>
    </w:p>
    <w:p>
      <w:pPr>
        <w:pStyle w:val="10"/>
        <w:spacing w:line="480" w:lineRule="auto" w:before="0" w:after="0"/>
      </w:pPr>
      <w:r>
        <w:rPr>
          <w:rFonts w:ascii="Times New Roman" w:hAnsi="Times New Roman" w:eastAsia="Times New Roman" w:cs="Times New Roman"/>
          <w:sz w:val="24"/>
          <w:szCs w:val="24"/>
        </w:rPr>
        <w:t>This framing also clarifies the paper's contribution relative to recent state-of-the-art reviews. Aven et al. (2025) identify reliability modeling as a continuing frontier in operations research, and Arts et al. (2025) emphasize that modern maintenance optimization increasingly connects reliability, inventory, logistics, and decision support. The proposed framework sits at that interface: it uses first-passage reliability theory to quantify disruption-driven collapse and derives a condition-based threshold rule for operational intervention.</w:t>
      </w:r>
    </w:p>
    <w:p>
      <w:pPr>
        <w:pStyle w:val="10"/>
        <w:spacing w:line="480" w:lineRule="auto" w:before="0" w:after="0"/>
      </w:pPr>
      <w:r>
        <w:t>This framing also clarifies the role of the inverse-Gaussian approximation. The IG model is not used as an end in itself. It is used to understand collapse-time behavior, quantify the limits of classical diffusion-based parameterization, and explain why age-based intervention can be ineffective when the empirical hazard is decreasing. The operational output is a condition-based threshold policy derived from an average-cost Markov decision process.</w:t>
      </w:r>
    </w:p>
    <w:p>
      <w:pPr>
        <w:pStyle w:val="4"/>
        <w:spacing w:line="480" w:lineRule="auto" w:before="180" w:after="60"/>
        <w:keepNext/>
      </w:pPr>
      <w:r>
        <w:rPr>
          <w:rFonts w:ascii="Times New Roman" w:hAnsi="Times New Roman" w:eastAsia="Times New Roman" w:cs="Times New Roman"/>
          <w:sz w:val="24"/>
          <w:szCs w:val="24"/>
          <w:b/>
        </w:rPr>
        <w:t>1.2 Contributions</w:t>
      </w:r>
    </w:p>
    <w:p>
      <w:pPr>
        <w:pStyle w:val="10"/>
        <w:spacing w:line="480" w:lineRule="auto" w:before="0" w:after="0"/>
      </w:pPr>
      <w:r>
        <w:t>This paper makes five contributions.</w:t>
      </w:r>
    </w:p>
    <w:p>
      <w:pPr>
        <w:pStyle w:val="10"/>
        <w:spacing w:line="480" w:lineRule="auto" w:before="0" w:after="0"/>
      </w:pPr>
      <w:r>
        <w:t>(i) We formulate near-critical capacity-constrained inventory systems as reliability systems whose failures arise from stochastic first-passage collapse rather than physical degradation. This provides a unified model for disruption-driven operational failure and condition-based intervention.</w:t>
      </w:r>
    </w:p>
    <w:p>
      <w:pPr>
        <w:pStyle w:val="10"/>
        <w:spacing w:line="480" w:lineRule="auto" w:before="0" w:after="0"/>
      </w:pPr>
      <w:r>
        <w:rPr>
          <w:rFonts w:ascii="Times New Roman" w:hAnsi="Times New Roman" w:eastAsia="Times New Roman" w:cs="Times New Roman"/>
          <w:sz w:val="24"/>
          <w:szCs w:val="24"/>
        </w:rPr>
        <w:t>(ii) We develop a corrected inverse-Gaussian approximation for collapse-time distributions. The correction β(p, δ) = 0.247715 · p^(-(0.392927 + 0.0111267δ)) is calibrated on 42 simulation design points within the validity domain p &lt;= 0.35 and δ &lt;= 15. It reduces mean absolute shape-parameter error from 36.0% to 5.0%, an improvement of 7.19x, with R^2 = 0.9536. We interpret β as an effective empirical weight rather than a derived structural constant.</w:t>
      </w:r>
    </w:p>
    <w:p>
      <w:pPr>
        <w:pStyle w:val="10"/>
        <w:spacing w:line="480" w:lineRule="auto" w:before="0" w:after="0"/>
      </w:pPr>
      <w:r>
        <w:t>(iii) We characterize the reliability hazard structure of the cycle-collapse distribution. A direct hazard-rate test confirms approximate decreasing-failure-rate behavior across 100% of the feasible operating grid and strict smoothed DFR behavior across 52.4% of the grid, with strict DFR holding for p &lt;= 0.10. We explain this behavior through survivorship selection on observable buffer states.</w:t>
      </w:r>
    </w:p>
    <w:p>
      <w:pPr>
        <w:pStyle w:val="10"/>
        <w:spacing w:line="480" w:lineRule="auto" w:before="0" w:after="0"/>
      </w:pPr>
      <w:r>
        <w:rPr>
          <w:rFonts w:ascii="Times New Roman" w:hAnsi="Times New Roman" w:eastAsia="Times New Roman" w:cs="Times New Roman"/>
          <w:sz w:val="24"/>
          <w:szCs w:val="24"/>
        </w:rPr>
        <w:t>(iv) We formulate the maintenance problem as an average-cost Markov decision process and evaluate condition-based threshold policies. This aligns the paper with recent threshold-oriented CBM work (Hao et al., 2025; Kivanç et al., 2025; Luo et al., 2024; Luo et al., 2025; Sun &amp; Vatn, 2024; Zhang et al., 2024), while differing in that the condition state is an operational buffer rather than an exogenous degradation index. Under a verifiable cost-rate condition, Lemma 1 establishes that the optimal threshold within the threshold-policy class satisfies s* &lt; s_reset. The resulting policy weakly dominates run-to-failure and age-based replacement across the tested grid and reduces long-run cost by up to 22% over the age-based optimum in regimes where age-based replacement has a finite optimum.</w:t>
      </w:r>
    </w:p>
    <w:p>
      <w:pPr>
        <w:pStyle w:val="10"/>
        <w:spacing w:line="480" w:lineRule="auto" w:before="0" w:after="0"/>
      </w:pPr>
      <w:r>
        <w:t>(v) We identify operational properties that support deployability. Across S_max in [100, 300], the optimal threshold varies by at most 4 units while the mean cycle time changes by factors of 5 to 144x. The policy is also robust to parameter misspecification, with regret below 6% under a 30% error in the demand rate λ and below 1% under a 30% error in the disruption rate p.</w:t>
      </w:r>
    </w:p>
    <w:p>
      <w:pPr>
        <w:pStyle w:val="10"/>
        <w:spacing w:line="480" w:lineRule="auto" w:before="0" w:after="0"/>
      </w:pPr>
      <w:r>
        <w:t>The remainder of the paper is organized as follows. Section 2 introduces the system model. Section 3 develops the corrected first-passage approximation and regime classification. Section 4 characterizes the reliability hazard structure and its implications for age-based intervention. Section 5 formulates the MDP and derives threshold policies. Section 6 presents numerical evidence, including calibration, sensitivity, robustness, and benchmark comparisons. Section 7 discusses managerial implications, limitations, and future directions. Section 8 concludes.</w:t>
      </w:r>
    </w:p>
    <w:p ns2:paraId="1A257F2C">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2. System model</w:t>
      </w:r>
    </w:p>
    <w:p ns2:paraId="3533219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consider a discrete-time inventory system with state variable I(t) ∈ ℤ representing the inventory level at the end of period t. The system evolves according to the recursion</w:t>
      </w:r>
    </w:p>
    <w:p ns2:paraId="3A0777CA">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I</m:t>
          </m:r>
          <m:r>
            <m:rPr>
              <m:sty m:val="i"/>
            </m:rPr>
            <m:t>(</m:t>
          </m:r>
          <m:r>
            <m:rPr>
              <m:sty m:val="i"/>
            </m:rPr>
            <m:t>t</m:t>
          </m:r>
          <m:r>
            <m:rPr>
              <m:sty m:val="i"/>
            </m:rPr>
            <m:t>+</m:t>
          </m:r>
          <m:r>
            <m:rPr>
              <m:sty m:val="i"/>
            </m:rPr>
            <m:t>1</m:t>
          </m:r>
          <m:r>
            <m:rPr>
              <m:sty m:val="i"/>
            </m:rPr>
            <m:t>)</m:t>
          </m:r>
          <m:r>
            <m:rPr>
              <m:sty m:val="i"/>
            </m:rPr>
            <m:t>=</m:t>
          </m:r>
          <m:r>
            <m:rPr>
              <m:sty m:val="p"/>
            </m:rPr>
            <m:t>min</m:t>
          </m:r>
          <m:r>
            <m:rPr>
              <m:sty m:val="i"/>
            </m:rPr>
            <m:t>{</m:t>
          </m:r>
          <m:r>
            <m:rPr>
              <m:sty m:val="i"/>
            </m:rPr>
            <m:t>I</m:t>
          </m:r>
          <m:r>
            <m:rPr>
              <m:sty m:val="i"/>
            </m:rPr>
            <m:t>(</m:t>
          </m:r>
          <m:r>
            <m:rPr>
              <m:sty m:val="i"/>
            </m:rPr>
            <m:t>t</m:t>
          </m:r>
          <m:r>
            <m:rPr>
              <m:sty m:val="i"/>
            </m:rPr>
            <m:t>)</m:t>
          </m:r>
          <m:r>
            <m:rPr>
              <m:sty m:val="i"/>
            </m:rPr>
            <m:t>+</m:t>
          </m:r>
          <m:r>
            <m:rPr>
              <m:sty m:val="i"/>
            </m:rPr>
            <m:t>Y</m:t>
          </m:r>
          <m:r>
            <m:rPr>
              <m:sty m:val="i"/>
            </m:rPr>
            <m:t>(</m:t>
          </m:r>
          <m:r>
            <m:rPr>
              <m:sty m:val="i"/>
            </m:rPr>
            <m:t>t</m:t>
          </m:r>
          <m:r>
            <m:rPr>
              <m:sty m:val="i"/>
            </m:rPr>
            <m:t>)</m:t>
          </m:r>
          <m:r>
            <m:rPr>
              <m:sty m:val="i"/>
            </m:rPr>
            <m:t>-</m:t>
          </m:r>
          <m:r>
            <m:rPr>
              <m:sty m:val="i"/>
            </m:rPr>
            <m:t>D</m:t>
          </m:r>
          <m:r>
            <m:rPr>
              <m:sty m:val="i"/>
            </m:rPr>
            <m:t>(</m:t>
          </m:r>
          <m:r>
            <m:rPr>
              <m:sty m:val="i"/>
            </m:rPr>
            <m:t>t</m:t>
          </m:r>
          <m:r>
            <m:rPr>
              <m:sty m:val="i"/>
            </m:rPr>
            <m:t>)</m:t>
          </m:r>
          <m:r>
            <m:rPr>
              <m:sty m:val="i"/>
            </m:rPr>
            <m:t>,</m:t>
          </m:r>
          <m:sSub>
            <m:e>
              <m:r>
                <m:rPr>
                  <m:sty m:val="i"/>
                </m:rPr>
                <m:t>S</m:t>
              </m:r>
            </m:e>
            <m:sub>
              <m:r>
                <m:rPr>
                  <m:sty m:val="p"/>
                </m:rPr>
                <m:t>max</m:t>
              </m:r>
            </m:sub>
          </m:sSub>
          <m:r>
            <m:rPr>
              <m:sty m:val="i"/>
            </m:rPr>
            <m:t>}</m:t>
          </m:r>
        </m:oMath>
      </m:oMathPara>
      <w:r>
        <w:tab/>
      </w:r>
      <w:r>
        <w:rPr>
          <w:rFonts w:ascii="Times New Roman" w:hAnsi="Times New Roman" w:eastAsia="Times New Roman" w:cs="Times New Roman"/>
          <w:sz w:val="24"/>
          <w:szCs w:val="24"/>
        </w:rPr>
        <w:t>(1)</w:t>
      </w:r>
    </w:p>
    <w:p ns2:paraId="585B68C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with initial level I(0) = X₀, where S_max is the storage capacity ceiling, Y(t) denotes replenishment, and D(t) denotes demand in period t. The capacity cap reflects physical or contractual limits on stored inventory and is enforced as a reflecting upper boundary.</w:t>
      </w:r>
    </w:p>
    <w:p ns2:paraId="38674F5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Replenishment is subject to random disruptions. Each period is operational with probability 1−p and disruptive with probability p, independently across periods, where p ∈ (0, 1) is the disruption rate. Replenishment satisfies</w:t>
      </w:r>
    </w:p>
    <w:p ns2:paraId="32BDA3C7">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Y</m:t>
          </m:r>
          <m:r>
            <m:rPr>
              <m:sty m:val="i"/>
            </m:rPr>
            <m:t>(</m:t>
          </m:r>
          <m:r>
            <m:rPr>
              <m:sty m:val="i"/>
            </m:rPr>
            <m:t>t</m:t>
          </m:r>
          <m:r>
            <m:rPr>
              <m:sty m:val="i"/>
            </m:rPr>
            <m:t>)</m:t>
          </m:r>
          <m:r>
            <m:rPr>
              <m:sty m:val="i"/>
            </m:rPr>
            <m:t>=</m:t>
          </m:r>
          <m:r>
            <m:rPr>
              <m:sty m:val="i"/>
            </m:rPr>
            <m:t>C</m:t>
          </m:r>
          <m:r>
            <m:rPr>
              <m:sty m:val="i"/>
            </m:rPr>
            <m:t xml:space="preserve"> </m:t>
          </m:r>
          <m:r>
            <m:rPr>
              <m:sty m:val="p"/>
            </m:rPr>
            <m:t>with probability</m:t>
          </m:r>
          <m:r>
            <m:rPr>
              <m:sty m:val="i"/>
            </m:rPr>
            <m:t xml:space="preserve"> </m:t>
          </m:r>
          <m:r>
            <m:rPr>
              <m:sty m:val="i"/>
            </m:rPr>
            <m:t>1</m:t>
          </m:r>
          <m:r>
            <m:rPr>
              <m:sty m:val="i"/>
            </m:rPr>
            <m:t>-</m:t>
          </m:r>
          <m:r>
            <m:rPr>
              <m:sty m:val="i"/>
            </m:rPr>
            <m:t>p</m:t>
          </m:r>
          <m:r>
            <m:rPr>
              <m:sty m:val="i"/>
            </m:rPr>
            <m:t>;</m:t>
          </m:r>
          <m:r>
            <m:rPr>
              <m:sty m:val="p"/>
            </m:rPr>
            <m:t xml:space="preserve"> </m:t>
          </m:r>
          <m:r>
            <m:rPr>
              <m:sty m:val="i"/>
            </m:rPr>
            <m:t xml:space="preserve"> </m:t>
          </m:r>
          <m:r>
            <m:rPr>
              <m:sty m:val="i"/>
            </m:rPr>
            <m:t>Y</m:t>
          </m:r>
          <m:r>
            <m:rPr>
              <m:sty m:val="i"/>
            </m:rPr>
            <m:t>(</m:t>
          </m:r>
          <m:r>
            <m:rPr>
              <m:sty m:val="i"/>
            </m:rPr>
            <m:t>t</m:t>
          </m:r>
          <m:r>
            <m:rPr>
              <m:sty m:val="i"/>
            </m:rPr>
            <m:t>)</m:t>
          </m:r>
          <m:r>
            <m:rPr>
              <m:sty m:val="i"/>
            </m:rPr>
            <m:t>=</m:t>
          </m:r>
          <m:r>
            <m:rPr>
              <m:sty m:val="i"/>
            </m:rPr>
            <m:t>0</m:t>
          </m:r>
          <m:r>
            <m:rPr>
              <m:sty m:val="i"/>
            </m:rPr>
            <m:t xml:space="preserve"> </m:t>
          </m:r>
          <m:r>
            <m:rPr>
              <m:sty m:val="p"/>
            </m:rPr>
            <m:t>with probability</m:t>
          </m:r>
          <m:r>
            <m:rPr>
              <m:sty m:val="i"/>
            </m:rPr>
            <m:t xml:space="preserve"> </m:t>
          </m:r>
          <m:r>
            <m:rPr>
              <m:sty m:val="i"/>
            </m:rPr>
            <m:t>p</m:t>
          </m:r>
        </m:oMath>
      </m:oMathPara>
      <w:r>
        <w:tab/>
      </w:r>
      <w:r>
        <w:rPr>
          <w:rFonts w:ascii="Times New Roman" w:hAnsi="Times New Roman" w:eastAsia="Times New Roman" w:cs="Times New Roman"/>
          <w:sz w:val="24"/>
          <w:szCs w:val="24"/>
        </w:rPr>
        <w:t>(2)</w:t>
      </w:r>
    </w:p>
    <w:p ns2:paraId="06376BA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where C &gt; 0 is the per-period replenishment capacity during operational periods. Demand is Poisson distributed with rate λ &gt; 0 and is independent of the replenishment regime:</w:t>
      </w:r>
    </w:p>
    <w:p ns2:paraId="0E017C7E">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D</m:t>
          </m:r>
          <m:r>
            <m:rPr>
              <m:sty m:val="i"/>
            </m:rPr>
            <m:t>(</m:t>
          </m:r>
          <m:r>
            <m:rPr>
              <m:sty m:val="i"/>
            </m:rPr>
            <m:t>t</m:t>
          </m:r>
          <m:r>
            <m:rPr>
              <m:sty m:val="i"/>
            </m:rPr>
            <m:t>)</m:t>
          </m:r>
          <m:r>
            <m:rPr>
              <m:sty m:val="i"/>
            </m:rPr>
            <m:t>∼</m:t>
          </m:r>
          <m:r>
            <m:rPr>
              <m:sty m:val="p"/>
            </m:rPr>
            <m:t>Poisson</m:t>
          </m:r>
          <m:r>
            <m:rPr>
              <m:sty m:val="i"/>
            </m:rPr>
            <m:t>(</m:t>
          </m:r>
          <m:r>
            <m:rPr>
              <m:sty m:val="i"/>
            </m:rPr>
            <m:t>λ</m:t>
          </m:r>
          <m:r>
            <m:rPr>
              <m:sty m:val="i"/>
            </m:rPr>
            <m:t>)</m:t>
          </m:r>
          <m:r>
            <m:rPr>
              <m:sty m:val="i"/>
            </m:rPr>
            <m:t>,</m:t>
          </m:r>
          <m:r>
            <m:rPr>
              <m:sty m:val="p"/>
            </m:rPr>
            <m:t xml:space="preserve"> </m:t>
          </m:r>
          <m:r>
            <m:rPr>
              <m:sty m:val="i"/>
            </m:rPr>
            <m:t xml:space="preserve"> </m:t>
          </m:r>
          <m:r>
            <m:rPr>
              <m:sty m:val="i"/>
            </m:rPr>
            <m:t>D</m:t>
          </m:r>
          <m:r>
            <m:rPr>
              <m:sty m:val="i"/>
            </m:rPr>
            <m:t>(</m:t>
          </m:r>
          <m:r>
            <m:rPr>
              <m:sty m:val="i"/>
            </m:rPr>
            <m:t>t</m:t>
          </m:r>
          <m:r>
            <m:rPr>
              <m:sty m:val="i"/>
            </m:rPr>
            <m:t>)</m:t>
          </m:r>
          <m:r>
            <m:rPr>
              <m:sty m:val="i"/>
            </m:rPr>
            <m:t>⊥</m:t>
          </m:r>
          <m:r>
            <m:rPr>
              <m:sty m:val="i"/>
            </m:rPr>
            <m:t xml:space="preserve"> </m:t>
          </m:r>
          <m:r>
            <m:rPr>
              <m:sty m:val="i"/>
            </m:rPr>
            <m:t>Y</m:t>
          </m:r>
          <m:r>
            <m:rPr>
              <m:sty m:val="i"/>
            </m:rPr>
            <m:t>(</m:t>
          </m:r>
          <m:r>
            <m:rPr>
              <m:sty m:val="i"/>
            </m:rPr>
            <m:t>t</m:t>
          </m:r>
          <m:r>
            <m:rPr>
              <m:sty m:val="i"/>
            </m:rPr>
            <m:t>)</m:t>
          </m:r>
        </m:oMath>
      </m:oMathPara>
      <w:r>
        <w:tab/>
      </w:r>
      <w:r>
        <w:rPr>
          <w:rFonts w:ascii="Times New Roman" w:hAnsi="Times New Roman" w:eastAsia="Times New Roman" w:cs="Times New Roman"/>
          <w:sz w:val="24"/>
          <w:szCs w:val="24"/>
        </w:rPr>
        <w:t>(3)</w:t>
      </w:r>
    </w:p>
    <w:p ns2:paraId="5444DA2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collapse time is the first epoch at which inventory is exhausted:</w:t>
      </w:r>
    </w:p>
    <w:p ns2:paraId="69FAFDBD">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τ</m:t>
          </m:r>
          <m:r>
            <m:rPr>
              <m:sty m:val="i"/>
            </m:rPr>
            <m:t>=</m:t>
          </m:r>
          <m:r>
            <m:rPr>
              <m:sty m:val="p"/>
            </m:rPr>
            <m:t>inf</m:t>
          </m:r>
          <m:r>
            <m:rPr>
              <m:sty m:val="i"/>
            </m:rPr>
            <m:t>{</m:t>
          </m:r>
          <m:r>
            <m:rPr>
              <m:sty m:val="i"/>
            </m:rPr>
            <m:t>t</m:t>
          </m:r>
          <m:r>
            <m:rPr>
              <m:sty m:val="i"/>
            </m:rPr>
            <m:t>≥</m:t>
          </m:r>
          <m:r>
            <m:rPr>
              <m:sty m:val="i"/>
            </m:rPr>
            <m:t>1</m:t>
          </m:r>
          <m:r>
            <m:rPr>
              <m:sty m:val="i"/>
            </m:rPr>
            <m:t>:</m:t>
          </m:r>
          <m:r>
            <m:rPr>
              <m:sty m:val="i"/>
            </m:rPr>
            <m:t>I</m:t>
          </m:r>
          <m:r>
            <m:rPr>
              <m:sty m:val="i"/>
            </m:rPr>
            <m:t>(</m:t>
          </m:r>
          <m:r>
            <m:rPr>
              <m:sty m:val="i"/>
            </m:rPr>
            <m:t>t</m:t>
          </m:r>
          <m:r>
            <m:rPr>
              <m:sty m:val="i"/>
            </m:rPr>
            <m:t>)</m:t>
          </m:r>
          <m:r>
            <m:rPr>
              <m:sty m:val="i"/>
            </m:rPr>
            <m:t>≤</m:t>
          </m:r>
          <m:r>
            <m:rPr>
              <m:sty m:val="i"/>
            </m:rPr>
            <m:t>0</m:t>
          </m:r>
          <m:r>
            <m:rPr>
              <m:sty m:val="i"/>
            </m:rPr>
            <m:t>}</m:t>
          </m:r>
        </m:oMath>
      </m:oMathPara>
      <w:r>
        <w:tab/>
      </w:r>
      <w:r>
        <w:rPr>
          <w:rFonts w:ascii="Times New Roman" w:hAnsi="Times New Roman" w:eastAsia="Times New Roman" w:cs="Times New Roman"/>
          <w:sz w:val="24"/>
          <w:szCs w:val="24"/>
        </w:rPr>
        <w:t>(4)</w:t>
      </w:r>
    </w:p>
    <w:p ns2:paraId="4CD3DADF">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 collapse corresponds operationally to a stockout event and is the primary economic disutility in the maintenance problem of Section 5.</w:t>
      </w:r>
    </w:p>
    <w:p ns2:paraId="410259F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drift of the inventory process during normal operation is</w:t>
      </w:r>
    </w:p>
    <w:p ns2:paraId="317F61AC">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E</m:t>
          </m:r>
          <m:r>
            <m:rPr>
              <m:sty m:val="i"/>
            </m:rPr>
            <m:t>[</m:t>
          </m:r>
          <m:r>
            <m:rPr>
              <m:sty m:val="i"/>
            </m:rPr>
            <m:t>Y</m:t>
          </m:r>
          <m:r>
            <m:rPr>
              <m:sty m:val="i"/>
            </m:rPr>
            <m:t>(</m:t>
          </m:r>
          <m:r>
            <m:rPr>
              <m:sty m:val="i"/>
            </m:rPr>
            <m:t>t</m:t>
          </m:r>
          <m:r>
            <m:rPr>
              <m:sty m:val="i"/>
            </m:rPr>
            <m:t>)</m:t>
          </m:r>
          <m:r>
            <m:rPr>
              <m:sty m:val="i"/>
            </m:rPr>
            <m:t>-</m:t>
          </m:r>
          <m:r>
            <m:rPr>
              <m:sty m:val="i"/>
            </m:rPr>
            <m:t>D</m:t>
          </m:r>
          <m:r>
            <m:rPr>
              <m:sty m:val="i"/>
            </m:rPr>
            <m:t>(</m:t>
          </m:r>
          <m:r>
            <m:rPr>
              <m:sty m:val="i"/>
            </m:rPr>
            <m:t>t</m:t>
          </m:r>
          <m:r>
            <m:rPr>
              <m:sty m:val="i"/>
            </m:rPr>
            <m:t>)</m:t>
          </m:r>
          <m:r>
            <m:rPr>
              <m:sty m:val="i"/>
            </m:rPr>
            <m:t>]</m:t>
          </m:r>
          <m:r>
            <m:rPr>
              <m:sty m:val="i"/>
            </m:rPr>
            <m:t>=</m:t>
          </m:r>
          <m:r>
            <m:rPr>
              <m:sty m:val="i"/>
            </m:rPr>
            <m:t>(</m:t>
          </m:r>
          <m:r>
            <m:rPr>
              <m:sty m:val="i"/>
            </m:rPr>
            <m:t>1</m:t>
          </m:r>
          <m:r>
            <m:rPr>
              <m:sty m:val="i"/>
            </m:rPr>
            <m:t>-</m:t>
          </m:r>
          <m:r>
            <m:rPr>
              <m:sty m:val="i"/>
            </m:rPr>
            <m:t>p</m:t>
          </m:r>
          <m:r>
            <m:rPr>
              <m:sty m:val="i"/>
            </m:rPr>
            <m:t>)</m:t>
          </m:r>
          <m:r>
            <m:rPr>
              <m:sty m:val="i"/>
            </m:rPr>
            <m:t>C</m:t>
          </m:r>
          <m:r>
            <m:rPr>
              <m:sty m:val="i"/>
            </m:rPr>
            <m:t>-</m:t>
          </m:r>
          <m:r>
            <m:rPr>
              <m:sty m:val="i"/>
            </m:rPr>
            <m:t>λ</m:t>
          </m:r>
          <m:r>
            <m:rPr>
              <m:sty m:val="i"/>
            </m:rPr>
            <m:t>=</m:t>
          </m:r>
          <m:r>
            <m:rPr>
              <m:sty m:val="i"/>
            </m:rPr>
            <m:t>:</m:t>
          </m:r>
          <m:r>
            <m:rPr>
              <m:sty m:val="i"/>
            </m:rPr>
            <m:t xml:space="preserve"> </m:t>
          </m:r>
          <m:r>
            <m:rPr>
              <m:sty m:val="i"/>
            </m:rPr>
            <m:t>δ</m:t>
          </m:r>
        </m:oMath>
      </m:oMathPara>
      <w:r>
        <w:tab/>
      </w:r>
      <w:r>
        <w:rPr>
          <w:rFonts w:ascii="Times New Roman" w:hAnsi="Times New Roman" w:eastAsia="Times New Roman" w:cs="Times New Roman"/>
          <w:sz w:val="24"/>
          <w:szCs w:val="24"/>
        </w:rPr>
        <w:t>(5)</w:t>
      </w:r>
    </w:p>
    <w:p ns2:paraId="4D24A82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which we refer to as the stability margin. The system is positive-drift when δ &gt; 0 and is the regime studied throughout. The near-critical regime corresponds to small positive δ, where collapses occur with non-negligible frequency despite long-run positive drift.</w:t>
      </w:r>
    </w:p>
    <w:p ns2:paraId="7316A86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single-period variance of the net flow is</w:t>
      </w:r>
    </w:p>
    <w:p ns2:paraId="0281C82C">
      <w:pPr>
        <w:pStyle w:val="10"/>
        <w:keepNext w:val="0"/>
        <w:keepLines w:val="0"/>
        <w:widowControl/>
        <w:suppressLineNumbers w:val="0"/>
        <w:jc w:val="center"/>
        <w:spacing w:line="360" w:lineRule="auto" w:before="120" w:after="120"/>
        <w:tabs>
          <w:tab w:val="center" w:pos="4680"/>
          <w:tab w:val="right" w:pos="9360"/>
        </w:tabs>
      </w:pPr>
      <w:r>
        <w:tab/>
      </w:r>
      <m:oMathPara>
        <m:oMath>
          <m:r>
            <m:rPr>
              <m:sty m:val="p"/>
            </m:rPr>
            <m:t>Var</m:t>
          </m:r>
          <m:r>
            <m:rPr>
              <m:sty m:val="i"/>
            </m:rPr>
            <m:t>[</m:t>
          </m:r>
          <m:r>
            <m:rPr>
              <m:sty m:val="i"/>
            </m:rPr>
            <m:t>Y</m:t>
          </m:r>
          <m:r>
            <m:rPr>
              <m:sty m:val="i"/>
            </m:rPr>
            <m:t>(</m:t>
          </m:r>
          <m:r>
            <m:rPr>
              <m:sty m:val="i"/>
            </m:rPr>
            <m:t>t</m:t>
          </m:r>
          <m:r>
            <m:rPr>
              <m:sty m:val="i"/>
            </m:rPr>
            <m:t>)</m:t>
          </m:r>
          <m:r>
            <m:rPr>
              <m:sty m:val="i"/>
            </m:rPr>
            <m:t>-</m:t>
          </m:r>
          <m:r>
            <m:rPr>
              <m:sty m:val="i"/>
            </m:rPr>
            <m:t>D</m:t>
          </m:r>
          <m:r>
            <m:rPr>
              <m:sty m:val="i"/>
            </m:rPr>
            <m:t>(</m:t>
          </m:r>
          <m:r>
            <m:rPr>
              <m:sty m:val="i"/>
            </m:rPr>
            <m:t>t</m:t>
          </m:r>
          <m:r>
            <m:rPr>
              <m:sty m:val="i"/>
            </m:rPr>
            <m:t>)</m:t>
          </m:r>
          <m:r>
            <m:rPr>
              <m:sty m:val="i"/>
            </m:rPr>
            <m:t>]</m:t>
          </m:r>
          <m:r>
            <m:rPr>
              <m:sty m:val="i"/>
            </m:rPr>
            <m:t>=</m:t>
          </m:r>
          <m:r>
            <m:rPr>
              <m:sty m:val="i"/>
            </m:rPr>
            <m:t>p</m:t>
          </m:r>
          <m:r>
            <m:rPr>
              <m:sty m:val="i"/>
            </m:rPr>
            <m:t>(</m:t>
          </m:r>
          <m:r>
            <m:rPr>
              <m:sty m:val="i"/>
            </m:rPr>
            <m:t>1</m:t>
          </m:r>
          <m:r>
            <m:rPr>
              <m:sty m:val="i"/>
            </m:rPr>
            <m:t>-</m:t>
          </m:r>
          <m:r>
            <m:rPr>
              <m:sty m:val="i"/>
            </m:rPr>
            <m:t>p</m:t>
          </m:r>
          <m:r>
            <m:rPr>
              <m:sty m:val="i"/>
            </m:rPr>
            <m:t>)</m:t>
          </m:r>
          <m:sSup>
            <m:e>
              <m:r>
                <m:rPr>
                  <m:sty m:val="i"/>
                </m:rPr>
                <m:t>C</m:t>
              </m:r>
            </m:e>
            <m:sup>
              <m:r>
                <m:rPr>
                  <m:sty m:val="i"/>
                </m:rPr>
                <m:t>2</m:t>
              </m:r>
            </m:sup>
          </m:sSup>
          <m:r>
            <m:rPr>
              <m:sty m:val="i"/>
            </m:rPr>
            <m:t>+</m:t>
          </m:r>
          <m:r>
            <m:rPr>
              <m:sty m:val="i"/>
            </m:rPr>
            <m:t>λ</m:t>
          </m:r>
          <m:r>
            <m:rPr>
              <m:sty m:val="i"/>
            </m:rPr>
            <m:t>=</m:t>
          </m:r>
          <m:r>
            <m:rPr>
              <m:sty m:val="i"/>
            </m:rPr>
            <m:t>:</m:t>
          </m:r>
          <m:r>
            <m:rPr>
              <m:sty m:val="i"/>
            </m:rPr>
            <m:t xml:space="preserve"> </m:t>
          </m:r>
          <m:sSup>
            <m:e>
              <m:r>
                <m:rPr>
                  <m:sty m:val="i"/>
                </m:rPr>
                <m:t>σ</m:t>
              </m:r>
            </m:e>
            <m:sup>
              <m:r>
                <m:rPr>
                  <m:sty m:val="i"/>
                </m:rPr>
                <m:t>2</m:t>
              </m:r>
            </m:sup>
          </m:sSup>
        </m:oMath>
      </m:oMathPara>
      <w:r>
        <w:tab/>
      </w:r>
      <w:r>
        <w:rPr>
          <w:rFonts w:ascii="Times New Roman" w:hAnsi="Times New Roman" w:eastAsia="Times New Roman" w:cs="Times New Roman"/>
          <w:sz w:val="24"/>
          <w:szCs w:val="24"/>
        </w:rPr>
        <w:t>(6)</w:t>
      </w:r>
    </w:p>
    <w:p ns2:paraId="515A479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which decomposes naturally into a between-mode term p(1−p)C² generated by the operational/disruptive mode switch and a within-mode term λ generated by Poisson demand variability:</w:t>
      </w:r>
    </w:p>
    <w:p ns2:paraId="5FC9D87A">
      <w:pPr>
        <w:pStyle w:val="10"/>
        <w:keepNext w:val="0"/>
        <w:keepLines w:val="0"/>
        <w:widowControl/>
        <w:suppressLineNumbers w:val="0"/>
        <w:jc w:val="center"/>
        <w:spacing w:line="360" w:lineRule="auto" w:before="120" w:after="120"/>
        <w:tabs>
          <w:tab w:val="center" w:pos="4680"/>
          <w:tab w:val="right" w:pos="9360"/>
        </w:tabs>
      </w:pPr>
      <w:r>
        <w:tab/>
      </w:r>
      <m:oMathPara>
        <m:oMath>
          <m:sSup>
            <m:e>
              <m:r>
                <m:rPr>
                  <m:sty m:val="i"/>
                </m:rPr>
                <m:t>σ</m:t>
              </m:r>
            </m:e>
            <m:sup>
              <m:r>
                <m:rPr>
                  <m:sty m:val="i"/>
                </m:rPr>
                <m:t>2</m:t>
              </m:r>
            </m:sup>
          </m:sSup>
          <m:r>
            <m:rPr>
              <m:sty m:val="i"/>
            </m:rPr>
            <m:t>=</m:t>
          </m:r>
          <m:sSubSup>
            <m:e>
              <m:r>
                <m:rPr>
                  <m:sty m:val="i"/>
                </m:rPr>
                <m:t>σ</m:t>
              </m:r>
            </m:e>
            <m:sub>
              <m:r>
                <m:rPr>
                  <m:sty m:val="p"/>
                </m:rPr>
                <m:t>between</m:t>
              </m:r>
            </m:sub>
            <m:sup>
              <m:r>
                <m:rPr>
                  <m:sty m:val="i"/>
                </m:rPr>
                <m:t>2</m:t>
              </m:r>
            </m:sup>
          </m:sSubSup>
          <m:r>
            <m:rPr>
              <m:sty m:val="i"/>
            </m:rPr>
            <m:t>+</m:t>
          </m:r>
          <m:sSubSup>
            <m:e>
              <m:r>
                <m:rPr>
                  <m:sty m:val="i"/>
                </m:rPr>
                <m:t>σ</m:t>
              </m:r>
            </m:e>
            <m:sub>
              <m:r>
                <m:rPr>
                  <m:sty m:val="p"/>
                </m:rPr>
                <m:t>within</m:t>
              </m:r>
            </m:sub>
            <m:sup>
              <m:r>
                <m:rPr>
                  <m:sty m:val="i"/>
                </m:rPr>
                <m:t>2</m:t>
              </m:r>
            </m:sup>
          </m:sSubSup>
          <m:r>
            <m:rPr>
              <m:sty m:val="i"/>
            </m:rPr>
            <m:t>,</m:t>
          </m:r>
          <m:r>
            <m:rPr>
              <m:sty m:val="p"/>
            </m:rPr>
            <m:t xml:space="preserve"> </m:t>
          </m:r>
          <m:r>
            <m:rPr>
              <m:sty m:val="i"/>
            </m:rPr>
            <m:t xml:space="preserve"> </m:t>
          </m:r>
          <m:sSubSup>
            <m:e>
              <m:r>
                <m:rPr>
                  <m:sty m:val="i"/>
                </m:rPr>
                <m:t>σ</m:t>
              </m:r>
            </m:e>
            <m:sub>
              <m:r>
                <m:rPr>
                  <m:sty m:val="p"/>
                </m:rPr>
                <m:t>between</m:t>
              </m:r>
            </m:sub>
            <m:sup>
              <m:r>
                <m:rPr>
                  <m:sty m:val="i"/>
                </m:rPr>
                <m:t>2</m:t>
              </m:r>
            </m:sup>
          </m:sSubSup>
          <m:r>
            <m:rPr>
              <m:sty m:val="i"/>
            </m:rPr>
            <m:t>=</m:t>
          </m:r>
          <m:r>
            <m:rPr>
              <m:sty m:val="i"/>
            </m:rPr>
            <m:t>p</m:t>
          </m:r>
          <m:r>
            <m:rPr>
              <m:sty m:val="i"/>
            </m:rPr>
            <m:t>(</m:t>
          </m:r>
          <m:r>
            <m:rPr>
              <m:sty m:val="i"/>
            </m:rPr>
            <m:t>1</m:t>
          </m:r>
          <m:r>
            <m:rPr>
              <m:sty m:val="i"/>
            </m:rPr>
            <m:t>-</m:t>
          </m:r>
          <m:r>
            <m:rPr>
              <m:sty m:val="i"/>
            </m:rPr>
            <m:t>p</m:t>
          </m:r>
          <m:r>
            <m:rPr>
              <m:sty m:val="i"/>
            </m:rPr>
            <m:t>)</m:t>
          </m:r>
          <m:sSup>
            <m:e>
              <m:r>
                <m:rPr>
                  <m:sty m:val="i"/>
                </m:rPr>
                <m:t>C</m:t>
              </m:r>
            </m:e>
            <m:sup>
              <m:r>
                <m:rPr>
                  <m:sty m:val="i"/>
                </m:rPr>
                <m:t>2</m:t>
              </m:r>
            </m:sup>
          </m:sSup>
          <m:r>
            <m:rPr>
              <m:sty m:val="i"/>
            </m:rPr>
            <m:t>,</m:t>
          </m:r>
          <m:r>
            <m:rPr>
              <m:sty m:val="p"/>
            </m:rPr>
            <m:t xml:space="preserve"> </m:t>
          </m:r>
          <m:r>
            <m:rPr>
              <m:sty m:val="i"/>
            </m:rPr>
            <m:t xml:space="preserve"> </m:t>
          </m:r>
          <m:sSubSup>
            <m:e>
              <m:r>
                <m:rPr>
                  <m:sty m:val="i"/>
                </m:rPr>
                <m:t>σ</m:t>
              </m:r>
            </m:e>
            <m:sub>
              <m:r>
                <m:rPr>
                  <m:sty m:val="p"/>
                </m:rPr>
                <m:t>within</m:t>
              </m:r>
            </m:sub>
            <m:sup>
              <m:r>
                <m:rPr>
                  <m:sty m:val="i"/>
                </m:rPr>
                <m:t>2</m:t>
              </m:r>
            </m:sup>
          </m:sSubSup>
          <m:r>
            <m:rPr>
              <m:sty m:val="i"/>
            </m:rPr>
            <m:t>=</m:t>
          </m:r>
          <m:r>
            <m:rPr>
              <m:sty m:val="i"/>
            </m:rPr>
            <m:t>λ</m:t>
          </m:r>
        </m:oMath>
      </m:oMathPara>
      <w:r>
        <w:tab/>
      </w:r>
      <w:r>
        <w:rPr>
          <w:rFonts w:ascii="Times New Roman" w:hAnsi="Times New Roman" w:eastAsia="Times New Roman" w:cs="Times New Roman"/>
          <w:sz w:val="24"/>
          <w:szCs w:val="24"/>
        </w:rPr>
        <w:t>(7)</w:t>
      </w:r>
    </w:p>
    <w:p ns2:paraId="12E57F7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This decomposition is central to the analysis of Section 3.2.</w:t>
      </w:r>
    </w:p>
    <w:p ns2:paraId="652998C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adopt a baseline parameter set X₀ = 50, C = 100, S_max = 180 throughout the numerical experiments, with p and λ varying systematically. The utilization ratio u = λ/C and the disruption rate p jointly determine the stability margin δ = (1−p)C − λ = C(1 − p − u). Table 1 summarizes the principal notation used throughout the paper.</w:t>
      </w:r>
    </w:p>
    <w:p ns2:paraId="26A8FE4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1.</w:t>
      </w:r>
      <w:r>
        <w:rPr>
          <w:rFonts w:hint="default" w:ascii="Segoe UI" w:hAnsi="Segoe UI" w:eastAsia="Segoe UI" w:cs="Segoe UI"/>
          <w:i w:val="0"/>
          <w:iCs w:val="0"/>
          <w:caps w:val="0"/>
          <w:spacing w:val="0"/>
          <w:sz w:val="14"/>
          <w:szCs w:val="14"/>
          <w:shd w:val="clear" w:fill="FDFCFE"/>
        </w:rPr>
        <w:t> Principal notation.</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2"/>
        <w:gridCol w:w="6238"/>
      </w:tblGrid>
      <w:tr ns2:paraId="109F94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7B3332B0">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Symbol</w:t>
            </w:r>
          </w:p>
        </w:tc>
        <w:tc>
          <w:tcPr>
            <w:tcW w:w="0" w:type="auto"/>
            <w:shd w:val="clear"/>
            <w:tcMar>
              <w:bottom w:w="140" w:type="dxa"/>
            </w:tcMar>
            <w:vAlign w:val="bottom"/>
          </w:tcPr>
          <w:p ns2:paraId="53B1AA14">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Meaning</w:t>
            </w:r>
          </w:p>
        </w:tc>
      </w:tr>
      <w:tr ns2:paraId="564935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01926F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I(t)</w:t>
            </w:r>
          </w:p>
        </w:tc>
        <w:tc>
          <w:tcPr>
            <w:tcW w:w="0" w:type="auto"/>
            <w:shd w:val="clear"/>
            <w:tcMar>
              <w:top w:w="140" w:type="dxa"/>
              <w:bottom w:w="140" w:type="dxa"/>
            </w:tcMar>
            <w:vAlign w:val="top"/>
          </w:tcPr>
          <w:p ns2:paraId="1B4636A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Inventory level at end of period t</w:t>
            </w:r>
          </w:p>
        </w:tc>
      </w:tr>
      <w:tr ns2:paraId="2151991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8BCC04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X₀</w:t>
            </w:r>
          </w:p>
        </w:tc>
        <w:tc>
          <w:tcPr>
            <w:tcW w:w="0" w:type="auto"/>
            <w:shd w:val="clear"/>
            <w:tcMar>
              <w:top w:w="140" w:type="dxa"/>
              <w:bottom w:w="140" w:type="dxa"/>
            </w:tcMar>
            <w:vAlign w:val="top"/>
          </w:tcPr>
          <w:p ns2:paraId="12CEEB5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Initial inventory level</w:t>
            </w:r>
          </w:p>
        </w:tc>
      </w:tr>
      <w:tr ns2:paraId="7A37D92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F159A1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Y(t)</w:t>
            </w:r>
          </w:p>
        </w:tc>
        <w:tc>
          <w:tcPr>
            <w:tcW w:w="0" w:type="auto"/>
            <w:shd w:val="clear"/>
            <w:tcMar>
              <w:top w:w="140" w:type="dxa"/>
              <w:bottom w:w="140" w:type="dxa"/>
            </w:tcMar>
            <w:vAlign w:val="top"/>
          </w:tcPr>
          <w:p ns2:paraId="46FD6EA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Replenishment in period t</w:t>
            </w:r>
          </w:p>
        </w:tc>
      </w:tr>
      <w:tr ns2:paraId="2DC4B52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53FF4B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D(t)</w:t>
            </w:r>
          </w:p>
        </w:tc>
        <w:tc>
          <w:tcPr>
            <w:tcW w:w="0" w:type="auto"/>
            <w:shd w:val="clear"/>
            <w:tcMar>
              <w:top w:w="140" w:type="dxa"/>
              <w:bottom w:w="140" w:type="dxa"/>
            </w:tcMar>
            <w:vAlign w:val="top"/>
          </w:tcPr>
          <w:p ns2:paraId="7403727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Demand in period t</w:t>
            </w:r>
          </w:p>
        </w:tc>
      </w:tr>
      <w:tr ns2:paraId="0688198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1C5CA8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w:t>
            </w:r>
          </w:p>
        </w:tc>
        <w:tc>
          <w:tcPr>
            <w:tcW w:w="0" w:type="auto"/>
            <w:shd w:val="clear"/>
            <w:tcMar>
              <w:top w:w="140" w:type="dxa"/>
              <w:bottom w:w="140" w:type="dxa"/>
            </w:tcMar>
            <w:vAlign w:val="top"/>
          </w:tcPr>
          <w:p ns2:paraId="2310A0D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Replenishment capacity (operational period)</w:t>
            </w:r>
          </w:p>
        </w:tc>
      </w:tr>
      <w:tr ns2:paraId="1F6855B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AFB506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236E318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Mean demand rate (Poisson)</w:t>
            </w:r>
          </w:p>
        </w:tc>
      </w:tr>
      <w:tr ns2:paraId="4180597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A3D06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7AC7179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Disruption rate per period</w:t>
            </w:r>
          </w:p>
        </w:tc>
      </w:tr>
      <w:tr ns2:paraId="297A061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F02B3D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S_max</w:t>
            </w:r>
          </w:p>
        </w:tc>
        <w:tc>
          <w:tcPr>
            <w:tcW w:w="0" w:type="auto"/>
            <w:shd w:val="clear"/>
            <w:tcMar>
              <w:top w:w="140" w:type="dxa"/>
              <w:bottom w:w="140" w:type="dxa"/>
            </w:tcMar>
            <w:vAlign w:val="top"/>
          </w:tcPr>
          <w:p ns2:paraId="1F7301B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Storage capacity ceiling</w:t>
            </w:r>
          </w:p>
        </w:tc>
      </w:tr>
      <w:tr ns2:paraId="5C102DA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634FBD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τ</w:t>
            </w:r>
          </w:p>
        </w:tc>
        <w:tc>
          <w:tcPr>
            <w:tcW w:w="0" w:type="auto"/>
            <w:shd w:val="clear"/>
            <w:tcMar>
              <w:top w:w="140" w:type="dxa"/>
              <w:bottom w:w="140" w:type="dxa"/>
            </w:tcMar>
            <w:vAlign w:val="top"/>
          </w:tcPr>
          <w:p ns2:paraId="36B8A96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Collapse (first-passage) time</w:t>
            </w:r>
          </w:p>
        </w:tc>
      </w:tr>
      <w:tr ns2:paraId="206D8C1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CD3D3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δ</w:t>
            </w:r>
          </w:p>
        </w:tc>
        <w:tc>
          <w:tcPr>
            <w:tcW w:w="0" w:type="auto"/>
            <w:shd w:val="clear"/>
            <w:tcMar>
              <w:top w:w="140" w:type="dxa"/>
              <w:bottom w:w="140" w:type="dxa"/>
            </w:tcMar>
            <w:vAlign w:val="top"/>
          </w:tcPr>
          <w:p ns2:paraId="5133508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Stability margin, δ = (1−p)C − λ</w:t>
            </w:r>
          </w:p>
        </w:tc>
      </w:tr>
      <w:tr ns2:paraId="415CC76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430FCC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u</w:t>
            </w:r>
          </w:p>
        </w:tc>
        <w:tc>
          <w:tcPr>
            <w:tcW w:w="0" w:type="auto"/>
            <w:shd w:val="clear"/>
            <w:tcMar>
              <w:top w:w="140" w:type="dxa"/>
              <w:bottom w:w="140" w:type="dxa"/>
            </w:tcMar>
            <w:vAlign w:val="top"/>
          </w:tcPr>
          <w:p ns2:paraId="7DB8349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Utilization ratio, u = λ/C</w:t>
            </w:r>
          </w:p>
        </w:tc>
      </w:tr>
      <w:tr ns2:paraId="2BC0F8E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646258C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σ²</w:t>
            </w:r>
          </w:p>
        </w:tc>
        <w:tc>
          <w:tcPr>
            <w:tcW w:w="0" w:type="auto"/>
            <w:shd w:val="clear"/>
            <w:tcMar>
              <w:top w:w="140" w:type="dxa"/>
              <w:bottom w:w="140" w:type="dxa"/>
            </w:tcMar>
            <w:vAlign w:val="top"/>
          </w:tcPr>
          <w:p ns2:paraId="513DD8A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Per-period variance of net flow</w:t>
            </w:r>
          </w:p>
        </w:tc>
      </w:tr>
      <w:tr ns2:paraId="456C614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002F413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η</w:t>
            </w:r>
          </w:p>
        </w:tc>
        <w:tc>
          <w:tcPr>
            <w:tcW w:w="0" w:type="auto"/>
            <w:shd w:val="clear"/>
            <w:tcMar>
              <w:top w:w="140" w:type="dxa"/>
              <w:bottom w:w="140" w:type="dxa"/>
            </w:tcMar>
            <w:vAlign w:val="top"/>
          </w:tcPr>
          <w:p ns2:paraId="74A349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IG shape parameter (theoretical)</w:t>
            </w:r>
          </w:p>
        </w:tc>
      </w:tr>
      <w:tr ns2:paraId="0F91D18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A57B0D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η^corr</w:t>
            </w:r>
          </w:p>
        </w:tc>
        <w:tc>
          <w:tcPr>
            <w:tcW w:w="0" w:type="auto"/>
            <w:shd w:val="clear"/>
            <w:tcMar>
              <w:top w:w="140" w:type="dxa"/>
              <w:bottom w:w="140" w:type="dxa"/>
            </w:tcMar>
            <w:vAlign w:val="top"/>
          </w:tcPr>
          <w:p ns2:paraId="75C12BB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IG shape parameter (corrected)</w:t>
            </w:r>
          </w:p>
        </w:tc>
      </w:tr>
      <w:tr ns2:paraId="25338C0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1A40D2E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β(p, δ)</w:t>
            </w:r>
          </w:p>
        </w:tc>
        <w:tc>
          <w:tcPr>
            <w:tcW w:w="0" w:type="auto"/>
            <w:shd w:val="clear"/>
            <w:tcMar>
              <w:top w:w="140" w:type="dxa"/>
              <w:bottom w:w="140" w:type="dxa"/>
            </w:tcMar>
            <w:vAlign w:val="top"/>
          </w:tcPr>
          <w:p ns2:paraId="7447F35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Empirical correction weight</w:t>
            </w:r>
          </w:p>
        </w:tc>
      </w:tr>
      <w:tr ns2:paraId="35CFF0A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7E66F2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w:t>
            </w:r>
          </w:p>
        </w:tc>
        <w:tc>
          <w:tcPr>
            <w:tcW w:w="0" w:type="auto"/>
            <w:shd w:val="clear"/>
            <w:tcMar>
              <w:top w:w="140" w:type="dxa"/>
              <w:bottom w:w="140" w:type="dxa"/>
            </w:tcMar>
            <w:vAlign w:val="top"/>
          </w:tcPr>
          <w:p ns2:paraId="167DEC6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MDP state (inventory level)</w:t>
            </w:r>
          </w:p>
        </w:tc>
      </w:tr>
      <w:tr ns2:paraId="02D4372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BF6B47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s_reset</w:t>
            </w:r>
          </w:p>
        </w:tc>
        <w:tc>
          <w:tcPr>
            <w:tcW w:w="0" w:type="auto"/>
            <w:shd w:val="clear"/>
            <w:tcMar>
              <w:top w:w="140" w:type="dxa"/>
              <w:bottom w:w="140" w:type="dxa"/>
            </w:tcMar>
            <w:vAlign w:val="top"/>
          </w:tcPr>
          <w:p ns2:paraId="6955890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Post-maintenance reset level</w:t>
            </w:r>
          </w:p>
        </w:tc>
      </w:tr>
      <w:tr ns2:paraId="3FC977E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12E0B9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w:t>
            </w:r>
          </w:p>
        </w:tc>
        <w:tc>
          <w:tcPr>
            <w:tcW w:w="0" w:type="auto"/>
            <w:shd w:val="clear"/>
            <w:tcMar>
              <w:top w:w="140" w:type="dxa"/>
              <w:bottom w:w="140" w:type="dxa"/>
            </w:tcMar>
            <w:vAlign w:val="top"/>
          </w:tcPr>
          <w:p ns2:paraId="2BFE9D1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Optimal MDP threshold within the threshold-policy class</w:t>
            </w:r>
          </w:p>
        </w:tc>
      </w:tr>
      <w:tr ns2:paraId="1424AA3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4CABFF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K_f</w:t>
            </w:r>
          </w:p>
        </w:tc>
        <w:tc>
          <w:tcPr>
            <w:tcW w:w="0" w:type="auto"/>
            <w:shd w:val="clear"/>
            <w:tcMar>
              <w:top w:w="140" w:type="dxa"/>
              <w:bottom w:w="140" w:type="dxa"/>
            </w:tcMar>
            <w:vAlign w:val="top"/>
          </w:tcPr>
          <w:p ns2:paraId="76A5589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 per collapse</w:t>
            </w:r>
          </w:p>
        </w:tc>
      </w:tr>
      <w:tr ns2:paraId="50E747F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F99198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K_p</w:t>
            </w:r>
          </w:p>
        </w:tc>
        <w:tc>
          <w:tcPr>
            <w:tcW w:w="0" w:type="auto"/>
            <w:shd w:val="clear"/>
            <w:tcMar>
              <w:top w:w="140" w:type="dxa"/>
              <w:bottom w:w="140" w:type="dxa"/>
            </w:tcMar>
            <w:vAlign w:val="top"/>
          </w:tcPr>
          <w:p ns2:paraId="2E22260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 per preventive maintenance</w:t>
            </w:r>
          </w:p>
        </w:tc>
      </w:tr>
      <w:tr ns2:paraId="5AB0EF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3224455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g</w:t>
            </w:r>
          </w:p>
        </w:tc>
        <w:tc>
          <w:tcPr>
            <w:tcW w:w="0" w:type="auto"/>
            <w:shd w:val="clear"/>
            <w:tcMar>
              <w:top w:w="140" w:type="dxa"/>
              <w:bottom w:w="140" w:type="dxa"/>
            </w:tcMar>
            <w:vAlign w:val="top"/>
          </w:tcPr>
          <w:p ns2:paraId="2B2BFF8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Long-run average cost</w:t>
            </w:r>
          </w:p>
        </w:tc>
      </w:tr>
    </w:tbl>
    <w:p ns2:paraId="4E3C2B1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adopt three structural assumptions.</w:t>
      </w:r>
    </w:p>
    <w:p ns2:paraId="2A947FB6">
      <w:pPr>
        <w:pStyle w:val="10"/>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i w:val="0"/>
          <w:iCs w:val="0"/>
          <w:caps w:val="0"/>
          <w:spacing w:val="0"/>
          <w:sz w:val="14"/>
          <w:szCs w:val="14"/>
        </w:rPr>
        <w:keepNext/>
      </w:pPr>
      <w:r>
        <w:rPr>
          <w:rFonts w:ascii="Times New Roman" w:hAnsi="Times New Roman" w:eastAsia="Times New Roman" w:cs="Times New Roman"/>
          <w:sz w:val="24"/>
          <w:szCs w:val="24"/>
          <w:b/>
        </w:rPr>
        <w:t>Assumption 1. The sequences {Y(t)} and {D(t)} are independent across periods and mutually independent.</w:t>
      </w:r>
    </w:p>
    <w:p ns2:paraId="306B516B">
      <w:pPr>
        <w:pStyle w:val="10"/>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i w:val="0"/>
          <w:iCs w:val="0"/>
          <w:caps w:val="0"/>
          <w:spacing w:val="0"/>
          <w:sz w:val="14"/>
          <w:szCs w:val="14"/>
        </w:rPr>
        <w:keepNext/>
      </w:pPr>
      <w:r>
        <w:rPr>
          <w:rFonts w:ascii="Times New Roman" w:hAnsi="Times New Roman" w:eastAsia="Times New Roman" w:cs="Times New Roman"/>
          <w:sz w:val="24"/>
          <w:szCs w:val="24"/>
          <w:b/>
        </w:rPr>
        <w:t>Assumption 2. The disruption rate p and the demand rate λ are constant over time.</w:t>
      </w:r>
    </w:p>
    <w:p ns2:paraId="416C0DEC">
      <w:pPr>
        <w:pStyle w:val="10"/>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i w:val="0"/>
          <w:iCs w:val="0"/>
          <w:caps w:val="0"/>
          <w:spacing w:val="0"/>
          <w:sz w:val="14"/>
          <w:szCs w:val="14"/>
        </w:rPr>
        <w:keepNext/>
      </w:pPr>
      <w:r>
        <w:rPr>
          <w:rFonts w:ascii="Times New Roman" w:hAnsi="Times New Roman" w:eastAsia="Times New Roman" w:cs="Times New Roman"/>
          <w:sz w:val="24"/>
          <w:szCs w:val="24"/>
          <w:b/>
        </w:rPr>
        <w:t>Assumption 3. The stability margin satisfies δ = (1−p)C − λ &gt; 0.</w:t>
      </w:r>
    </w:p>
    <w:p ns2:paraId="54A24F59">
      <w:pPr>
        <w:pStyle w:val="10"/>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i w:val="0"/>
          <w:iCs w:val="0"/>
          <w:caps w:val="0"/>
          <w:spacing w:val="0"/>
          <w:sz w:val="14"/>
          <w:szCs w:val="14"/>
        </w:rPr>
        <w:keepNext/>
      </w:pPr>
      <w:r>
        <w:rPr>
          <w:rFonts w:ascii="Times New Roman" w:hAnsi="Times New Roman" w:eastAsia="Times New Roman" w:cs="Times New Roman"/>
          <w:sz w:val="24"/>
          <w:szCs w:val="24"/>
          <w:b/>
        </w:rPr>
        <w:t>Assumption 1 is standard for tractability. Assumption 2 is restrictive in supply chain settings where disruption rates vary with macroeconomic conditions, and we discuss its relaxation in Section 7. Assumption 3 ensures positive long-run drift.</w:t>
      </w:r>
    </w:p>
    <w:p ns2:paraId="24FDE1F5">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39" ns4:spt="1" style="height:1.5pt;width:432pt;" fillcolor="#A0A0A0" filled="t" stroked="f" coordsize="21600,21600" ns4:hr="t" ns4:hrstd="t" ns4:hralign="center">
            <ns3:path/>
            <ns3:fill on="t" focussize="0,0"/>
            <ns3:stroke on="f"/>
            <ns3:imagedata ns4:title=""/>
            <ns4:lock ns3:ext="edit"/>
            <ns5:wrap type="none"/>
            <ns5:anchorlock/>
          </ns3:rect>
        </w:pict>
      </w:r>
    </w:p>
    <w:p ns2:paraId="2006F081">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3. First-passage reliability analysis</w:t>
      </w:r>
    </w:p>
    <w:p ns2:paraId="5CEA9741">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3.1 Diffusion approximation and the IG connection</w:t>
      </w:r>
    </w:p>
    <w:p ns2:paraId="1D0ED0A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b w:val="0"/>
          <w:i w:val="0"/>
        </w:rPr>
        <w:t>For reliability assessment, the key distributional object is the time to operational collapse. The inventory recursion of Section 2, viewed over time scales long compared to the period length, admits a diffusion approximation. The cumulative net flow ∑_{s=1}^{t}(Y(s) − D(s)) is a random walk with mean drift δ per period and per-period variance σ². Under heavy-traffic-type rescaling, the cumulative-deficit process Z(t) = X₀ − I(t) (in the absence of the upper cap) approximates a Brownian motion with drift −δ and variance σ², started at zero, and τ corresponds to the first passage of Z(t) to level X₀.</w:t>
      </w:r>
    </w:p>
    <w:p ns2:paraId="176CDE60">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Because δ &gt; 0 in the regime of interest, the unbounded version of Z(t) has </w:t>
      </w:r>
      <w:r>
        <w:rPr>
          <w:rStyle w:val="7"/>
          <w:rFonts w:hint="default" w:ascii="Segoe UI" w:hAnsi="Segoe UI" w:eastAsia="Segoe UI" w:cs="Segoe UI"/>
          <w:i w:val="0"/>
          <w:iCs w:val="0"/>
          <w:caps w:val="0"/>
          <w:spacing w:val="0"/>
          <w:sz w:val="14"/>
          <w:szCs w:val="14"/>
          <w:shd w:val="clear" w:fill="FDFCFE"/>
        </w:rPr>
        <w:t>negative</w:t>
      </w:r>
      <w:r>
        <w:rPr>
          <w:rFonts w:hint="default" w:ascii="Segoe UI" w:hAnsi="Segoe UI" w:eastAsia="Segoe UI" w:cs="Segoe UI"/>
          <w:i w:val="0"/>
          <w:iCs w:val="0"/>
          <w:caps w:val="0"/>
          <w:spacing w:val="0"/>
          <w:sz w:val="14"/>
          <w:szCs w:val="14"/>
          <w:shd w:val="clear" w:fill="FDFCFE"/>
        </w:rPr>
        <w:t> drift away from X₀, and so its hitting time is defective: with positive probability the level X₀ is never reached. In the bounded process with reflecting cap at S_max and Poisson demand of unbounded support, collapse occurs almost surely, and τ is finite. We therefore do not invoke a classical IG limit theorem for τ. Instead, we use the IG family</w:t>
      </w:r>
    </w:p>
    <w:p ns2:paraId="358A868C">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f</m:t>
          </m:r>
          <m:r>
            <m:rPr>
              <m:sty m:val="i"/>
            </m:rPr>
            <m:t>(</m:t>
          </m:r>
          <m:r>
            <m:rPr>
              <m:sty m:val="i"/>
            </m:rPr>
            <m:t>t</m:t>
          </m:r>
          <m:r>
            <m:rPr>
              <m:sty m:val="i"/>
            </m:rPr>
            <m:t>;</m:t>
          </m:r>
          <m:r>
            <m:rPr>
              <m:sty m:val="i"/>
            </m:rPr>
            <m:t>μ</m:t>
          </m:r>
          <m:r>
            <m:rPr>
              <m:sty m:val="i"/>
            </m:rPr>
            <m:t>,</m:t>
          </m:r>
          <m:r>
            <m:rPr>
              <m:sty m:val="i"/>
            </m:rPr>
            <m:t>η</m:t>
          </m:r>
          <m:r>
            <m:rPr>
              <m:sty m:val="i"/>
            </m:rPr>
            <m:t>)</m:t>
          </m:r>
          <m:r>
            <m:rPr>
              <m:sty m:val="i"/>
            </m:rPr>
            <m:t>=</m:t>
          </m:r>
          <m:rad>
            <m:radPr>
              <m:degHide m:val="1"/>
            </m:radPr>
            <m:deg/>
            <m:e>
              <m:f>
                <m:num>
                  <m:r>
                    <m:rPr>
                      <m:sty m:val="i"/>
                    </m:rPr>
                    <m:t>η</m:t>
                  </m:r>
                </m:num>
                <m:den>
                  <m:r>
                    <m:rPr>
                      <m:sty m:val="i"/>
                    </m:rPr>
                    <m:t>2</m:t>
                  </m:r>
                  <m:r>
                    <m:rPr>
                      <m:sty m:val="i"/>
                    </m:rPr>
                    <m:t>π</m:t>
                  </m:r>
                  <m:r>
                    <m:rPr>
                      <m:sty m:val="i"/>
                    </m:rPr>
                    <m:t xml:space="preserve"> </m:t>
                  </m:r>
                  <m:sSup>
                    <m:e>
                      <m:r>
                        <m:rPr>
                          <m:sty m:val="i"/>
                        </m:rPr>
                        <m:t>t</m:t>
                      </m:r>
                    </m:e>
                    <m:sup>
                      <m:r>
                        <m:rPr>
                          <m:sty m:val="i"/>
                        </m:rPr>
                        <m:t>3</m:t>
                      </m:r>
                    </m:sup>
                  </m:sSup>
                </m:den>
              </m:f>
            </m:e>
          </m:rad>
          <m:r>
            <m:rPr>
              <m:sty m:val="p"/>
            </m:rPr>
            <m:t>exp</m:t>
          </m:r>
          <m:r>
            <m:rPr>
              <m:sty m:val="i"/>
            </m:rPr>
            <m:t>{</m:t>
          </m:r>
          <m:r>
            <m:rPr>
              <m:sty m:val="i"/>
            </m:rPr>
            <m:t>-</m:t>
          </m:r>
          <m:f>
            <m:num>
              <m:r>
                <m:rPr>
                  <m:sty m:val="i"/>
                </m:rPr>
                <m:t>η</m:t>
              </m:r>
              <m:r>
                <m:rPr>
                  <m:sty m:val="i"/>
                </m:rPr>
                <m:t>(</m:t>
              </m:r>
              <m:r>
                <m:rPr>
                  <m:sty m:val="i"/>
                </m:rPr>
                <m:t>t</m:t>
              </m:r>
              <m:r>
                <m:rPr>
                  <m:sty m:val="i"/>
                </m:rPr>
                <m:t>-</m:t>
              </m:r>
              <m:r>
                <m:rPr>
                  <m:sty m:val="i"/>
                </m:rPr>
                <m:t>μ</m:t>
              </m:r>
              <m:sSup>
                <m:e>
                  <m:r>
                    <m:rPr>
                      <m:sty m:val="i"/>
                    </m:rPr>
                    <m:t>)</m:t>
                  </m:r>
                </m:e>
                <m:sup>
                  <m:r>
                    <m:rPr>
                      <m:sty m:val="i"/>
                    </m:rPr>
                    <m:t>2</m:t>
                  </m:r>
                </m:sup>
              </m:sSup>
            </m:num>
            <m:den>
              <m:r>
                <m:rPr>
                  <m:sty m:val="i"/>
                </m:rPr>
                <m:t>2</m:t>
              </m:r>
              <m:sSup>
                <m:e>
                  <m:r>
                    <m:rPr>
                      <m:sty m:val="i"/>
                    </m:rPr>
                    <m:t>μ</m:t>
                  </m:r>
                </m:e>
                <m:sup>
                  <m:r>
                    <m:rPr>
                      <m:sty m:val="i"/>
                    </m:rPr>
                    <m:t>2</m:t>
                  </m:r>
                </m:sup>
              </m:sSup>
              <m:r>
                <m:rPr>
                  <m:sty m:val="i"/>
                </m:rPr>
                <m:t>t</m:t>
              </m:r>
            </m:den>
          </m:f>
          <m:r>
            <m:rPr>
              <m:sty m:val="i"/>
            </m:rPr>
            <m:t>}</m:t>
          </m:r>
          <m:r>
            <m:rPr>
              <m:sty m:val="i"/>
            </m:rPr>
            <m:t>,</m:t>
          </m:r>
          <m:r>
            <m:rPr>
              <m:sty m:val="p"/>
            </m:rPr>
            <m:t xml:space="preserve"> </m:t>
          </m:r>
          <m:r>
            <m:rPr>
              <m:sty m:val="i"/>
            </m:rPr>
            <m:t xml:space="preserve"> </m:t>
          </m:r>
          <m:r>
            <m:rPr>
              <m:sty m:val="i"/>
            </m:rPr>
            <m:t>t</m:t>
          </m:r>
          <m:r>
            <m:rPr>
              <m:sty m:val="i"/>
            </m:rPr>
            <m:t>&gt;</m:t>
          </m:r>
          <m:r>
            <m:rPr>
              <m:sty m:val="i"/>
            </m:rPr>
            <m:t>0</m:t>
          </m:r>
        </m:oMath>
      </m:oMathPara>
      <w:r>
        <w:tab/>
      </w:r>
      <w:r>
        <w:rPr>
          <w:rFonts w:ascii="Times New Roman" w:hAnsi="Times New Roman" w:eastAsia="Times New Roman" w:cs="Times New Roman"/>
          <w:sz w:val="24"/>
          <w:szCs w:val="24"/>
        </w:rPr>
        <w:t>(8)</w:t>
      </w:r>
    </w:p>
    <w:p ns2:paraId="24142CD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as a flexible two-parameter approximation to the empirical first-collapse distribution of the bounded process started at X₀. The drift-derived parameterization</w:t>
      </w:r>
    </w:p>
    <w:p ns2:paraId="64283EFC">
      <w:pPr>
        <w:pStyle w:val="10"/>
        <w:keepNext w:val="0"/>
        <w:keepLines w:val="0"/>
        <w:widowControl/>
        <w:suppressLineNumbers w:val="0"/>
        <w:jc w:val="center"/>
        <w:spacing w:line="360" w:lineRule="auto" w:before="120" w:after="120"/>
        <w:tabs>
          <w:tab w:val="center" w:pos="4680"/>
          <w:tab w:val="right" w:pos="9360"/>
        </w:tabs>
      </w:pPr>
      <w:r>
        <w:tab/>
      </w:r>
      <m:oMathPara>
        <m:oMath>
          <m:sSub>
            <m:e>
              <m:r>
                <m:rPr>
                  <m:sty m:val="i"/>
                </m:rPr>
                <m:t>μ</m:t>
              </m:r>
            </m:e>
            <m:sub>
              <m:r>
                <m:rPr>
                  <m:sty m:val="p"/>
                </m:rPr>
                <m:t>theory</m:t>
              </m:r>
            </m:sub>
          </m:sSub>
          <m:r>
            <m:rPr>
              <m:sty m:val="i"/>
            </m:rPr>
            <m:t>=</m:t>
          </m:r>
          <m:f>
            <m:num>
              <m:sSub>
                <m:e>
                  <m:r>
                    <m:rPr>
                      <m:sty m:val="i"/>
                    </m:rPr>
                    <m:t>X</m:t>
                  </m:r>
                </m:e>
                <m:sub>
                  <m:r>
                    <m:rPr>
                      <m:sty m:val="i"/>
                    </m:rPr>
                    <m:t>0</m:t>
                  </m:r>
                </m:sub>
              </m:sSub>
            </m:num>
            <m:den>
              <m:r>
                <m:rPr>
                  <m:sty m:val="i"/>
                </m:rPr>
                <m:t>δ</m:t>
              </m:r>
            </m:den>
          </m:f>
          <m:r>
            <m:rPr>
              <m:sty m:val="i"/>
            </m:rPr>
            <m:t>,</m:t>
          </m:r>
          <m:r>
            <m:rPr>
              <m:sty m:val="p"/>
            </m:rPr>
            <m:t xml:space="preserve"> </m:t>
          </m:r>
          <m:r>
            <m:rPr>
              <m:sty m:val="i"/>
            </m:rPr>
            <m:t xml:space="preserve"> </m:t>
          </m:r>
          <m:sSub>
            <m:e>
              <m:r>
                <m:rPr>
                  <m:sty m:val="i"/>
                </m:rPr>
                <m:t>η</m:t>
              </m:r>
            </m:e>
            <m:sub>
              <m:r>
                <m:rPr>
                  <m:sty m:val="p"/>
                </m:rPr>
                <m:t>theory</m:t>
              </m:r>
            </m:sub>
          </m:sSub>
          <m:r>
            <m:rPr>
              <m:sty m:val="i"/>
            </m:rPr>
            <m:t>=</m:t>
          </m:r>
          <m:f>
            <m:num>
              <m:sSubSup>
                <m:e>
                  <m:r>
                    <m:rPr>
                      <m:sty m:val="i"/>
                    </m:rPr>
                    <m:t>X</m:t>
                  </m:r>
                </m:e>
                <m:sub>
                  <m:r>
                    <m:rPr>
                      <m:sty m:val="i"/>
                    </m:rPr>
                    <m:t>0</m:t>
                  </m:r>
                </m:sub>
                <m:sup>
                  <m:r>
                    <m:rPr>
                      <m:sty m:val="i"/>
                    </m:rPr>
                    <m:t>2</m:t>
                  </m:r>
                </m:sup>
              </m:sSubSup>
            </m:num>
            <m:den>
              <m:sSup>
                <m:e>
                  <m:r>
                    <m:rPr>
                      <m:sty m:val="i"/>
                    </m:rPr>
                    <m:t>σ</m:t>
                  </m:r>
                </m:e>
                <m:sup>
                  <m:r>
                    <m:rPr>
                      <m:sty m:val="i"/>
                    </m:rPr>
                    <m:t>2</m:t>
                  </m:r>
                </m:sup>
              </m:sSup>
            </m:den>
          </m:f>
        </m:oMath>
      </m:oMathPara>
      <w:r>
        <w:tab/>
      </w:r>
      <w:r>
        <w:rPr>
          <w:rFonts w:ascii="Times New Roman" w:hAnsi="Times New Roman" w:eastAsia="Times New Roman" w:cs="Times New Roman"/>
          <w:sz w:val="24"/>
          <w:szCs w:val="24"/>
        </w:rPr>
        <w:t>(9)</w:t>
      </w:r>
    </w:p>
    <w:p ns2:paraId="196D152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would arise from a literal Brownian first-passage with drift toward the barrier; in our setting with drift away from the barrier, μ_theory functions as a drift time-scale and η_theory as a variance-derived shape parameter, neither of which need match the empirical moments of τ exactly. The accuracy of (9) as an approximation depends on the regime.</w:t>
      </w:r>
    </w:p>
    <w:p ns2:paraId="2BB8458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In the deeply stable regime (δ large relative to σ), the diffusion-derived shape parameter η_theory matches Monte Carlo estimates of the IG-best-fit shape to within a few percent. In the near-critical regime (δ small), the approximation degrades. Across the range p ∈ [0.05, 0.30], λ/C ∈ [0.6, 0.9] examined in Section 6, σ² overstates the effective dispersion (in the sense of best-fit IG shape parameter) by factors of 1.2 to 3.6. This overestimation is concentrated in the between-mode contribution p(1−p)C², and motivates the correction developed next.</w:t>
      </w:r>
    </w:p>
    <w:p ns2:paraId="0EF5233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The discrepancy is consistent with parallel observations in unrelated application domains. Lee (2026) reports an analogous overestimation of the IG dispersion parameter for first-hitting times in molecular communication channels with time-varying drift, and proposes a corrected-IG density that adjusts the shape parameter to match observed tail behavior.</w:t>
      </w:r>
    </w:p>
    <w:p ns2:paraId="657EEAE7">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3.2 Corrected shape parameter</w:t>
      </w:r>
    </w:p>
    <w:p ns2:paraId="5A1BC13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empirical observation motivating the correction is that the between-mode variance contribution p(1−p)C², while correct as a marginal single-period variance, overstates its effective contribution to the dispersion of τ. Heuristically, realizations of the random walk that experience disruption clusters early in the cycle are absorbed quickly and contribute to the lower tail of τ, while realizations with favorable early sequences accumulate buffer and become progressively less sensitive to subsequent disruptions. Conditioning on survival therefore selects increasingly favorable trajectories, attenuating the effective contribution of the disruption mode to the dispersion of τ. We develop this survivorship interpretation more fully in Section 4.2.</w:t>
      </w:r>
    </w:p>
    <w:p ns2:paraId="4C58547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propose the parametric correction</w:t>
      </w:r>
    </w:p>
    <w:p ns2:paraId="558CFA89">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β</m:t>
          </m:r>
          <m:r>
            <m:rPr>
              <m:sty m:val="i"/>
            </m:rPr>
            <m:t>(</m:t>
          </m:r>
          <m:r>
            <m:rPr>
              <m:sty m:val="i"/>
            </m:rPr>
            <m:t>p</m:t>
          </m:r>
          <m:r>
            <m:rPr>
              <m:sty m:val="i"/>
            </m:rPr>
            <m:t>,</m:t>
          </m:r>
          <m:r>
            <m:rPr>
              <m:sty m:val="i"/>
            </m:rPr>
            <m:t>δ</m:t>
          </m:r>
          <m:r>
            <m:rPr>
              <m:sty m:val="i"/>
            </m:rPr>
            <m:t>)</m:t>
          </m:r>
          <m:r>
            <m:rPr>
              <m:sty m:val="i"/>
            </m:rPr>
            <m:t>=</m:t>
          </m:r>
          <m:r>
            <m:rPr>
              <m:sty m:val="i"/>
            </m:rPr>
            <m:t>0</m:t>
          </m:r>
          <m:r>
            <m:rPr>
              <m:sty m:val="i"/>
            </m:rPr>
            <m:t>.</m:t>
          </m:r>
          <m:r>
            <m:rPr>
              <m:sty m:val="i"/>
            </m:rPr>
            <m:t>2</m:t>
          </m:r>
          <m:r>
            <m:rPr>
              <m:sty m:val="i"/>
            </m:rPr>
            <m:t>4</m:t>
          </m:r>
          <m:r>
            <m:rPr>
              <m:sty m:val="i"/>
            </m:rPr>
            <m:t>7</m:t>
          </m:r>
          <m:r>
            <m:rPr>
              <m:sty m:val="i"/>
            </m:rPr>
            <m:t>7</m:t>
          </m:r>
          <m:r>
            <m:rPr>
              <m:sty m:val="i"/>
            </m:rPr>
            <m:t>1</m:t>
          </m:r>
          <m:r>
            <m:rPr>
              <m:sty m:val="i"/>
            </m:rPr>
            <m:t>5</m:t>
          </m:r>
          <m:r>
            <m:rPr>
              <m:sty m:val="i"/>
            </m:rPr>
            <m:t>·</m:t>
          </m:r>
          <m:r>
            <m:rPr>
              <m:sty m:val="i"/>
            </m:rPr>
            <m:t xml:space="preserve"> </m:t>
          </m:r>
          <m:sSup>
            <m:e>
              <m:r>
                <m:rPr>
                  <m:sty m:val="i"/>
                </m:rPr>
                <m:t>p</m:t>
              </m:r>
            </m:e>
            <m:sup>
              <m:r>
                <m:rPr>
                  <m:sty m:val="i"/>
                </m:rPr>
                <m:t>-</m:t>
              </m:r>
              <m:r>
                <m:rPr>
                  <m:sty m:val="i"/>
                </m:rPr>
                <m:t>(</m:t>
              </m:r>
              <m:r>
                <m:rPr>
                  <m:sty m:val="i"/>
                </m:rPr>
                <m:t>0</m:t>
              </m:r>
              <m:r>
                <m:rPr>
                  <m:sty m:val="i"/>
                </m:rPr>
                <m:t>.</m:t>
              </m:r>
              <m:r>
                <m:rPr>
                  <m:sty m:val="i"/>
                </m:rPr>
                <m:t>3</m:t>
              </m:r>
              <m:r>
                <m:rPr>
                  <m:sty m:val="i"/>
                </m:rPr>
                <m:t>9</m:t>
              </m:r>
              <m:r>
                <m:rPr>
                  <m:sty m:val="i"/>
                </m:rPr>
                <m:t>2</m:t>
              </m:r>
              <m:r>
                <m:rPr>
                  <m:sty m:val="i"/>
                </m:rPr>
                <m:t>9</m:t>
              </m:r>
              <m:r>
                <m:rPr>
                  <m:sty m:val="i"/>
                </m:rPr>
                <m:t>2</m:t>
              </m:r>
              <m:r>
                <m:rPr>
                  <m:sty m:val="i"/>
                </m:rPr>
                <m:t>7</m:t>
              </m:r>
              <m:r>
                <m:rPr>
                  <m:sty m:val="i"/>
                </m:rPr>
                <m:t>+</m:t>
              </m:r>
              <m:r>
                <m:rPr>
                  <m:sty m:val="i"/>
                </m:rPr>
                <m:t>0</m:t>
              </m:r>
              <m:r>
                <m:rPr>
                  <m:sty m:val="i"/>
                </m:rPr>
                <m:t>.</m:t>
              </m:r>
              <m:r>
                <m:rPr>
                  <m:sty m:val="i"/>
                </m:rPr>
                <m:t>0</m:t>
              </m:r>
              <m:r>
                <m:rPr>
                  <m:sty m:val="i"/>
                </m:rPr>
                <m:t>1</m:t>
              </m:r>
              <m:r>
                <m:rPr>
                  <m:sty m:val="i"/>
                </m:rPr>
                <m:t>1</m:t>
              </m:r>
              <m:r>
                <m:rPr>
                  <m:sty m:val="i"/>
                </m:rPr>
                <m:t>1</m:t>
              </m:r>
              <m:r>
                <m:rPr>
                  <m:sty m:val="i"/>
                </m:rPr>
                <m:t>2</m:t>
              </m:r>
              <m:r>
                <m:rPr>
                  <m:sty m:val="i"/>
                </m:rPr>
                <m:t>6</m:t>
              </m:r>
              <m:r>
                <m:rPr>
                  <m:sty m:val="i"/>
                </m:rPr>
                <m:t>7</m:t>
              </m:r>
              <m:r>
                <m:rPr>
                  <m:sty m:val="i"/>
                </m:rPr>
                <m:t>δ</m:t>
              </m:r>
              <m:r>
                <m:rPr>
                  <m:sty m:val="i"/>
                </m:rPr>
                <m:t>)</m:t>
              </m:r>
            </m:sup>
          </m:sSup>
        </m:oMath>
      </m:oMathPara>
      <w:r>
        <w:tab/>
      </w:r>
      <w:r>
        <w:rPr>
          <w:rFonts w:ascii="Times New Roman" w:hAnsi="Times New Roman" w:eastAsia="Times New Roman" w:cs="Times New Roman"/>
          <w:sz w:val="24"/>
          <w:szCs w:val="24"/>
        </w:rPr>
        <w:t>(10)</w:t>
      </w:r>
    </w:p>
    <w:p ns2:paraId="54F5EBA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applied to the between-mode variance only:</w:t>
      </w:r>
    </w:p>
    <w:p ns2:paraId="39B57E37">
      <w:pPr>
        <w:pStyle w:val="10"/>
        <w:keepNext w:val="0"/>
        <w:keepLines w:val="0"/>
        <w:widowControl/>
        <w:suppressLineNumbers w:val="0"/>
        <w:jc w:val="center"/>
        <w:spacing w:line="360" w:lineRule="auto" w:before="120" w:after="120"/>
        <w:tabs>
          <w:tab w:val="center" w:pos="4680"/>
          <w:tab w:val="right" w:pos="9360"/>
        </w:tabs>
      </w:pPr>
      <w:r>
        <w:tab/>
      </w:r>
      <m:oMathPara>
        <m:oMath>
          <m:sSubSup>
            <m:e>
              <m:r>
                <m:rPr>
                  <m:sty m:val="i"/>
                </m:rPr>
                <m:t>σ</m:t>
              </m:r>
            </m:e>
            <m:sub>
              <m:r>
                <m:rPr>
                  <m:sty m:val="p"/>
                </m:rPr>
                <m:t>eff</m:t>
              </m:r>
            </m:sub>
            <m:sup>
              <m:r>
                <m:rPr>
                  <m:sty m:val="i"/>
                </m:rPr>
                <m:t>2</m:t>
              </m:r>
            </m:sup>
          </m:sSubSup>
          <m:r>
            <m:rPr>
              <m:sty m:val="i"/>
            </m:rPr>
            <m:t>=</m:t>
          </m:r>
          <m:r>
            <m:rPr>
              <m:sty m:val="i"/>
            </m:rPr>
            <m:t>λ</m:t>
          </m:r>
          <m:r>
            <m:rPr>
              <m:sty m:val="i"/>
            </m:rPr>
            <m:t>+</m:t>
          </m:r>
          <m:r>
            <m:rPr>
              <m:sty m:val="i"/>
            </m:rPr>
            <m:t>β</m:t>
          </m:r>
          <m:r>
            <m:rPr>
              <m:sty m:val="i"/>
            </m:rPr>
            <m:t>(</m:t>
          </m:r>
          <m:r>
            <m:rPr>
              <m:sty m:val="i"/>
            </m:rPr>
            <m:t>p</m:t>
          </m:r>
          <m:r>
            <m:rPr>
              <m:sty m:val="i"/>
            </m:rPr>
            <m:t>,</m:t>
          </m:r>
          <m:r>
            <m:rPr>
              <m:sty m:val="i"/>
            </m:rPr>
            <m:t>δ</m:t>
          </m:r>
          <m:r>
            <m:rPr>
              <m:sty m:val="i"/>
            </m:rPr>
            <m:t>)</m:t>
          </m:r>
          <m:r>
            <m:rPr>
              <m:sty m:val="i"/>
            </m:rPr>
            <m:t>·</m:t>
          </m:r>
          <m:r>
            <m:rPr>
              <m:sty m:val="i"/>
            </m:rPr>
            <m:t xml:space="preserve"> </m:t>
          </m:r>
          <m:r>
            <m:rPr>
              <m:sty m:val="i"/>
            </m:rPr>
            <m:t>p</m:t>
          </m:r>
          <m:r>
            <m:rPr>
              <m:sty m:val="i"/>
            </m:rPr>
            <m:t>(</m:t>
          </m:r>
          <m:r>
            <m:rPr>
              <m:sty m:val="i"/>
            </m:rPr>
            <m:t>1</m:t>
          </m:r>
          <m:r>
            <m:rPr>
              <m:sty m:val="i"/>
            </m:rPr>
            <m:t>-</m:t>
          </m:r>
          <m:r>
            <m:rPr>
              <m:sty m:val="i"/>
            </m:rPr>
            <m:t>p</m:t>
          </m:r>
          <m:r>
            <m:rPr>
              <m:sty m:val="i"/>
            </m:rPr>
            <m:t>)</m:t>
          </m:r>
          <m:sSup>
            <m:e>
              <m:r>
                <m:rPr>
                  <m:sty m:val="i"/>
                </m:rPr>
                <m:t>C</m:t>
              </m:r>
            </m:e>
            <m:sup>
              <m:r>
                <m:rPr>
                  <m:sty m:val="i"/>
                </m:rPr>
                <m:t>2</m:t>
              </m:r>
            </m:sup>
          </m:sSup>
        </m:oMath>
      </m:oMathPara>
      <w:r>
        <w:tab/>
      </w:r>
      <w:r>
        <w:rPr>
          <w:rFonts w:ascii="Times New Roman" w:hAnsi="Times New Roman" w:eastAsia="Times New Roman" w:cs="Times New Roman"/>
          <w:sz w:val="24"/>
          <w:szCs w:val="24"/>
        </w:rPr>
        <w:t>(11)</w:t>
      </w:r>
    </w:p>
    <w:p ns2:paraId="20C1ECE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corrected shape parameter is then</w:t>
      </w:r>
    </w:p>
    <w:p ns2:paraId="6A397A27">
      <w:pPr>
        <w:pStyle w:val="10"/>
        <w:keepNext w:val="0"/>
        <w:keepLines w:val="0"/>
        <w:widowControl/>
        <w:suppressLineNumbers w:val="0"/>
        <w:jc w:val="center"/>
        <w:spacing w:line="360" w:lineRule="auto" w:before="120" w:after="120"/>
        <w:tabs>
          <w:tab w:val="center" w:pos="4680"/>
          <w:tab w:val="right" w:pos="9360"/>
        </w:tabs>
      </w:pPr>
      <w:r>
        <w:tab/>
      </w:r>
      <m:oMathPara>
        <m:oMath>
          <m:sSubSup>
            <m:e>
              <m:r>
                <m:rPr>
                  <m:sty m:val="i"/>
                </m:rPr>
                <m:t>η</m:t>
              </m:r>
            </m:e>
            <m:sub>
              <m:r>
                <m:rPr>
                  <m:sty m:val="p"/>
                </m:rPr>
                <m:t>IG</m:t>
              </m:r>
            </m:sub>
            <m:sup>
              <m:r>
                <m:rPr>
                  <m:sty m:val="p"/>
                </m:rPr>
                <m:t>corr</m:t>
              </m:r>
            </m:sup>
          </m:sSubSup>
          <m:r>
            <m:rPr>
              <m:sty m:val="i"/>
            </m:rPr>
            <m:t>=</m:t>
          </m:r>
          <m:f>
            <m:num>
              <m:sSubSup>
                <m:e>
                  <m:r>
                    <m:rPr>
                      <m:sty m:val="i"/>
                    </m:rPr>
                    <m:t>X</m:t>
                  </m:r>
                </m:e>
                <m:sub>
                  <m:r>
                    <m:rPr>
                      <m:sty m:val="i"/>
                    </m:rPr>
                    <m:t>0</m:t>
                  </m:r>
                </m:sub>
                <m:sup>
                  <m:r>
                    <m:rPr>
                      <m:sty m:val="i"/>
                    </m:rPr>
                    <m:t>2</m:t>
                  </m:r>
                </m:sup>
              </m:sSubSup>
            </m:num>
            <m:den>
              <m:sSubSup>
                <m:e>
                  <m:r>
                    <m:rPr>
                      <m:sty m:val="i"/>
                    </m:rPr>
                    <m:t>σ</m:t>
                  </m:r>
                </m:e>
                <m:sub>
                  <m:r>
                    <m:rPr>
                      <m:sty m:val="p"/>
                    </m:rPr>
                    <m:t>eff</m:t>
                  </m:r>
                </m:sub>
                <m:sup>
                  <m:r>
                    <m:rPr>
                      <m:sty m:val="i"/>
                    </m:rPr>
                    <m:t>2</m:t>
                  </m:r>
                </m:sup>
              </m:sSubSup>
            </m:den>
          </m:f>
        </m:oMath>
      </m:oMathPara>
      <w:r>
        <w:tab/>
      </w:r>
      <w:r>
        <w:rPr>
          <w:rFonts w:ascii="Times New Roman" w:hAnsi="Times New Roman" w:eastAsia="Times New Roman" w:cs="Times New Roman"/>
          <w:sz w:val="24"/>
          <w:szCs w:val="24"/>
        </w:rPr>
        <w:t>(12)</w:t>
      </w:r>
    </w:p>
    <w:p ns2:paraId="6BC68CD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The functional form of (10) is a power law in p with a delta-dependent exponent, motivated by the empirical scaling of the marginal-to-effective variance ratio. The coefficients (0.247715, 0.392927, 0.0111267) were estimated by bounded nonlinear least squares in raw beta space across 42 unique design points in the prespecified validity domain 0.05 &lt;= p &lt;= 0.35 and 2 &lt;= delta &lt;= 15, yielding R² = 0.9536. The two candidate grids produced 65 unique configurations after deduplication; 23 lay outside the validity domain. All 42 fitted configurations exceeded the minimum requirement of 500 observed collapses.</w:t>
      </w:r>
    </w:p>
    <w:p ns2:paraId="07DF448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Across the fitted domain 0.05 &lt;= p &lt;= 0.35 and 2 &lt;= delta &lt;= 15, the fitted beta surface ranges approximately from 0.383 to 1.325. When beta &lt; 1, the correction attenuates the marginal between-mode variance, consistent with the survivorship interpretation; beta &gt; 1 occurs near part of the fitted-domain boundary, where the empirical surface slightly amplifies the between-mode term. We do not attribute physical meaning to beta outside the calibrated domain.</w:t>
      </w:r>
    </w:p>
    <w:p ns2:paraId="236AD99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Calibration protocol. The simulator used for calibration is a single-trajectory implementation of the recursion (1)–(3) without the upper cap (S_max effectively infinite), used as a pure first-passage simulator from X₀ to zero. The cap is enforced only in the MDP analysis of Section 5; this choice is deliberate, because the IG correction is intended to capture the dispersion of the first-collapse distribution before the upper boundary is approached, which is the operationally relevant regime for capacity-constrained near-critical operation. We use 1.5×10⁴ replications per design point, with a horizon of 3×10⁵ periods. Configurations with fewer than 500 observed collapses (i.e., fewer than 500 uncensored observations) are excluded. For each retained configuration, IG parameters are fit by closed-form maximum-likelihood estimators (μ̂ = mean of uncensored τ, η̂ from the harmonic-mean identity). We do not use antithetic variates. The implied β per point is then β̂ = (X₀²/η̂ − λ) / (p(1−p)C²), and (10) is the nonlinear least-squares fit to these implied values. All eta-level relative errors are calculated as 100 × |η_pred - η_hat|/η_hat, where η_hat is the fitted shape parameter from the simulated collapse times.</w:t>
      </w:r>
    </w:p>
    <w:p ns2:paraId="0C20759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Table 2 summarizes the performance of the corrected approximation, evaluated against Monte Carlo simulation of the first-passage distribution.</w:t>
      </w:r>
    </w:p>
    <w:p ns2:paraId="139B22C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2.</w:t>
      </w:r>
      <w:r>
        <w:rPr>
          <w:rFonts w:hint="default" w:ascii="Segoe UI" w:hAnsi="Segoe UI" w:eastAsia="Segoe UI" w:cs="Segoe UI"/>
          <w:i w:val="0"/>
          <w:iCs w:val="0"/>
          <w:caps w:val="0"/>
          <w:spacing w:val="0"/>
          <w:sz w:val="14"/>
          <w:szCs w:val="14"/>
          <w:shd w:val="clear" w:fill="FDFCFE"/>
        </w:rPr>
        <w:t> Validation of the corrected IG shape parameter against Monte Carlo simulation.</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9"/>
        <w:gridCol w:w="1432"/>
        <w:gridCol w:w="1917"/>
        <w:gridCol w:w="1132"/>
      </w:tblGrid>
      <w:tr ns2:paraId="58FAC9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18FAE0A4">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Metric</w:t>
            </w:r>
          </w:p>
        </w:tc>
        <w:tc>
          <w:tcPr>
            <w:tcW w:w="0" w:type="auto"/>
            <w:shd w:val="clear"/>
            <w:tcMar>
              <w:bottom w:w="140" w:type="dxa"/>
            </w:tcMar>
            <w:vAlign w:val="bottom"/>
          </w:tcPr>
          <w:p ns2:paraId="4AB9D271">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Uncorrected IG</w:t>
            </w:r>
          </w:p>
        </w:tc>
        <w:tc>
          <w:tcPr>
            <w:tcW w:w="0" w:type="auto"/>
            <w:shd w:val="clear"/>
            <w:tcMar>
              <w:bottom w:w="140" w:type="dxa"/>
            </w:tcMar>
            <w:vAlign w:val="bottom"/>
          </w:tcPr>
          <w:p ns2:paraId="755D70F7">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Corrected IG</w:t>
            </w:r>
          </w:p>
        </w:tc>
        <w:tc>
          <w:tcPr>
            <w:tcW w:w="0" w:type="auto"/>
            <w:shd w:val="clear"/>
            <w:tcMar>
              <w:bottom w:w="140" w:type="dxa"/>
            </w:tcMar>
            <w:vAlign w:val="bottom"/>
          </w:tcPr>
          <w:p ns2:paraId="741B5318">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Improvement</w:t>
            </w:r>
          </w:p>
        </w:tc>
      </w:tr>
      <w:tr ns2:paraId="73404C2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52059A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Mean absolute error in η</w:t>
            </w:r>
          </w:p>
        </w:tc>
        <w:tc>
          <w:tcPr>
            <w:tcW w:w="0" w:type="auto"/>
            <w:shd w:val="clear"/>
            <w:tcMar>
              <w:top w:w="140" w:type="dxa"/>
              <w:bottom w:w="140" w:type="dxa"/>
            </w:tcMar>
            <w:vAlign w:val="top"/>
          </w:tcPr>
          <w:p ns2:paraId="79BB8D18">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36.0%</w:t>
            </w:r>
          </w:p>
        </w:tc>
        <w:tc>
          <w:tcPr>
            <w:tcW w:w="0" w:type="auto"/>
            <w:shd w:val="clear"/>
            <w:tcMar>
              <w:top w:w="140" w:type="dxa"/>
              <w:bottom w:w="140" w:type="dxa"/>
            </w:tcMar>
            <w:vAlign w:val="top"/>
          </w:tcPr>
          <w:p ns2:paraId="71751604">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5.0%</w:t>
            </w:r>
          </w:p>
        </w:tc>
        <w:tc>
          <w:tcPr>
            <w:tcW w:w="0" w:type="auto"/>
            <w:shd w:val="clear"/>
            <w:tcMar>
              <w:top w:w="140" w:type="dxa"/>
              <w:bottom w:w="140" w:type="dxa"/>
            </w:tcMar>
            <w:vAlign w:val="top"/>
          </w:tcPr>
          <w:p ns2:paraId="44B30E0F">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7.19×</w:t>
            </w:r>
          </w:p>
        </w:tc>
      </w:tr>
      <w:tr ns2:paraId="0F0FF50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494DD0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Maximum absolute error in η</w:t>
            </w:r>
          </w:p>
        </w:tc>
        <w:tc>
          <w:tcPr>
            <w:tcW w:w="0" w:type="auto"/>
            <w:shd w:val="clear"/>
            <w:tcMar>
              <w:top w:w="140" w:type="dxa"/>
              <w:bottom w:w="140" w:type="dxa"/>
            </w:tcMar>
            <w:vAlign w:val="top"/>
          </w:tcPr>
          <w:p ns2:paraId="69B57C36">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62.6%</w:t>
            </w:r>
          </w:p>
        </w:tc>
        <w:tc>
          <w:tcPr>
            <w:tcW w:w="0" w:type="auto"/>
            <w:shd w:val="clear"/>
            <w:tcMar>
              <w:top w:w="140" w:type="dxa"/>
              <w:bottom w:w="140" w:type="dxa"/>
            </w:tcMar>
            <w:vAlign w:val="top"/>
          </w:tcPr>
          <w:p ns2:paraId="01DAE6EC">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18.4%</w:t>
            </w:r>
          </w:p>
        </w:tc>
        <w:tc>
          <w:tcPr>
            <w:tcW w:w="0" w:type="auto"/>
            <w:shd w:val="clear"/>
            <w:tcMar>
              <w:top w:w="140" w:type="dxa"/>
              <w:bottom w:w="140" w:type="dxa"/>
            </w:tcMar>
            <w:vAlign w:val="top"/>
          </w:tcPr>
          <w:p ns2:paraId="6FFA8950">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3.41×</w:t>
            </w:r>
          </w:p>
        </w:tc>
      </w:tr>
      <w:tr ns2:paraId="7C145EF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63D4A42">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R² (raw-beta nonlinear fit)</w:t>
            </w:r>
          </w:p>
        </w:tc>
        <w:tc>
          <w:tcPr>
            <w:tcW w:w="0" w:type="auto"/>
            <w:shd w:val="clear"/>
            <w:tcMar>
              <w:top w:w="140" w:type="dxa"/>
              <w:bottom w:w="140" w:type="dxa"/>
            </w:tcMar>
            <w:vAlign w:val="top"/>
          </w:tcPr>
          <w:p ns2:paraId="301BFC2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15B55B24">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0.9536</w:t>
            </w:r>
          </w:p>
        </w:tc>
        <w:tc>
          <w:tcPr>
            <w:tcW w:w="0" w:type="auto"/>
            <w:shd w:val="clear"/>
            <w:tcMar>
              <w:top w:w="140" w:type="dxa"/>
              <w:bottom w:w="140" w:type="dxa"/>
            </w:tcMar>
            <w:vAlign w:val="top"/>
          </w:tcPr>
          <w:p ns2:paraId="091E936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64C150B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8B9AAF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Number of design points</w:t>
            </w:r>
          </w:p>
        </w:tc>
        <w:tc>
          <w:tcPr>
            <w:tcW w:w="0" w:type="auto"/>
            <w:shd w:val="clear"/>
            <w:tcMar>
              <w:top w:w="140" w:type="dxa"/>
              <w:bottom w:w="140" w:type="dxa"/>
            </w:tcMar>
            <w:vAlign w:val="top"/>
          </w:tcPr>
          <w:p ns2:paraId="0731BE7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42</w:t>
            </w:r>
          </w:p>
        </w:tc>
        <w:tc>
          <w:tcPr>
            <w:tcW w:w="0" w:type="auto"/>
            <w:shd w:val="clear"/>
            <w:tcMar>
              <w:top w:w="140" w:type="dxa"/>
              <w:bottom w:w="140" w:type="dxa"/>
            </w:tcMar>
            <w:vAlign w:val="top"/>
          </w:tcPr>
          <w:p ns2:paraId="2DF6395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42</w:t>
            </w:r>
          </w:p>
        </w:tc>
        <w:tc>
          <w:tcPr>
            <w:tcW w:w="0" w:type="auto"/>
            <w:shd w:val="clear"/>
            <w:tcMar>
              <w:top w:w="140" w:type="dxa"/>
              <w:bottom w:w="140" w:type="dxa"/>
            </w:tcMar>
            <w:vAlign w:val="top"/>
          </w:tcPr>
          <w:p ns2:paraId="29838CE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325ACB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FF2EDE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Validity domain</w:t>
            </w:r>
          </w:p>
        </w:tc>
        <w:tc>
          <w:tcPr>
            <w:tcW w:w="0" w:type="auto"/>
            <w:shd w:val="clear"/>
            <w:tcMar>
              <w:top w:w="140" w:type="dxa"/>
              <w:bottom w:w="140" w:type="dxa"/>
            </w:tcMar>
            <w:vAlign w:val="top"/>
          </w:tcPr>
          <w:p ns2:paraId="363CD6B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7AAE610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 ≤ 0.35, δ ≤ 15</w:t>
            </w:r>
          </w:p>
        </w:tc>
        <w:tc>
          <w:tcPr>
            <w:tcW w:w="0" w:type="auto"/>
            <w:shd w:val="clear"/>
            <w:tcMar>
              <w:top w:w="140" w:type="dxa"/>
              <w:bottom w:w="140" w:type="dxa"/>
            </w:tcMar>
            <w:vAlign w:val="top"/>
          </w:tcPr>
          <w:p ns2:paraId="4F8BFCC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bl>
    <w:p ns2:paraId="32DC0AF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reduction is uniform across the fitted domain. The validity domain of (10) is p ≤ 0.35 and δ ≤ 15. Outside this domain, the correction is not warranted: for p &gt; 0.35 the disruption rate departs from the regime supported by the calibration data, and for δ &gt; 15 the uncorrected IG approximation is already accurate to within a few percent. The mean parameter μ_theory = X₀/δ applies to the unbounded random walk only and does not predict the mean cycle time of the bounded MDP under renewal dynamics; this scale-level question is structurally separate and is addressed in Section 7.2.</w:t>
      </w:r>
    </w:p>
    <w:p ns2:paraId="68C15E4A">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3.3 Regime classification</w:t>
      </w:r>
    </w:p>
    <w:p ns2:paraId="44B6A4E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accuracy of the diffusion approximation, with or without the correction (10), depends on the operating regime. We classify the parameter space (p, u, δ) into three regimes:</w:t>
      </w:r>
    </w:p>
    <w:p ns2:paraId="088FC8D0">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Stable regime:</w:t>
      </w:r>
      <w:r>
        <w:rPr>
          <w:rFonts w:hint="default" w:ascii="Segoe UI" w:hAnsi="Segoe UI" w:eastAsia="Segoe UI" w:cs="Segoe UI"/>
          <w:i w:val="0"/>
          <w:iCs w:val="0"/>
          <w:caps w:val="0"/>
          <w:spacing w:val="0"/>
          <w:sz w:val="14"/>
          <w:szCs w:val="14"/>
          <w:shd w:val="clear" w:fill="FDFCFE"/>
        </w:rPr>
        <w:t> δ ≥ 15. The drift is large relative to the noise, and the uncorrected IG approximation η_theory = X₀²/σ² is accurate to within 5% in the shape parameter. The correction (10) is not required.</w:t>
      </w:r>
    </w:p>
    <w:p ns2:paraId="39C85DA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Near-critical regime:</w:t>
      </w:r>
      <w:r>
        <w:rPr>
          <w:rFonts w:hint="default" w:ascii="Segoe UI" w:hAnsi="Segoe UI" w:eastAsia="Segoe UI" w:cs="Segoe UI"/>
          <w:i w:val="0"/>
          <w:iCs w:val="0"/>
          <w:caps w:val="0"/>
          <w:spacing w:val="0"/>
          <w:sz w:val="14"/>
          <w:szCs w:val="14"/>
          <w:shd w:val="clear" w:fill="FDFCFE"/>
        </w:rPr>
        <w:t> 0 &lt; δ &lt; 15 and p ≤ 0.35. The diffusion approximation is qualitatively correct but quantitatively biased, with the marginal variance overstating the effective first-passage dispersion by factors of 1.2 to 3.6. The correction (10) is applicable and reduces approximation error to a few percent. This is the regime relevant for inventory systems run at high utilization, where collapses occur at non-negligible frequency.</w:t>
      </w:r>
    </w:p>
    <w:p ns2:paraId="6146AAB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Strongly disrupted regime:</w:t>
      </w:r>
      <w:r>
        <w:rPr>
          <w:rFonts w:hint="default" w:ascii="Segoe UI" w:hAnsi="Segoe UI" w:eastAsia="Segoe UI" w:cs="Segoe UI"/>
          <w:i w:val="0"/>
          <w:iCs w:val="0"/>
          <w:caps w:val="0"/>
          <w:spacing w:val="0"/>
          <w:sz w:val="14"/>
          <w:szCs w:val="14"/>
          <w:shd w:val="clear" w:fill="FDFCFE"/>
        </w:rPr>
        <w:t> p &gt; 0.35. The disruption rate departs from the diffusive scaling and alternative methods, such as direct numerical computation of the underlying MDP, are required.</w:t>
      </w:r>
    </w:p>
    <w:p ns2:paraId="47B6A86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boundary at δ = 15 is calibrated empirically and is not sharp; the correction transitions smoothly to β ≈ 1 as δ approaches the upper boundary. The numerical experiments of Section 6 are conducted within the near-critical regime.</w:t>
      </w:r>
    </w:p>
    <w:p ns2:paraId="06145A31">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0" ns4:spt="1" style="height:1.5pt;width:432pt;" fillcolor="#A0A0A0" filled="t" stroked="f" coordsize="21600,21600" ns4:hr="t" ns4:hrstd="t" ns4:hralign="center">
            <ns3:path/>
            <ns3:fill on="t" focussize="0,0"/>
            <ns3:stroke on="f"/>
            <ns3:imagedata ns4:title=""/>
            <ns4:lock ns3:ext="edit"/>
            <ns5:wrap type="none"/>
            <ns5:anchorlock/>
          </ns3:rect>
        </w:pict>
      </w:r>
    </w:p>
    <w:p ns2:paraId="6F3FDB08">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4. Reliability hazard structure</w:t>
      </w:r>
    </w:p>
    <w:p ns2:paraId="6E2DBC01">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4.1 DFR confirmation via direct hazard test</w:t>
      </w:r>
    </w:p>
    <w:p ns2:paraId="6DFD304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The shape of the reliability hazard determines whether preventive action should be age-based or condition-based. The inverse-Gaussian distribution has a non-monotone hazard rate: it is initially increasing, reaches a maximum, and eventually decreases. The shape of the hazard depends on the ratio η/μ²; for the inventory problem of Section 2, η_theory / μ_theory² = (X₀²/σ²) · (δ²/X₀²) = δ²/σ², so deeply stable systems exhibit IFR-like behavior near the mode and DFR-like behavior in the tail, while near-critical systems are dominated by the tail. The extent to which the empirical cycle-collapse distribution inherits this structure—and in particular whether it exhibits a globally decreasing failure rate (DFR) of the kind that is theoretically incompatible with age-based maintenance benefits (Barlow et al., 1963; Bertsekas, 1998; Proschan, 1963; Puterman, 1994)—is a quantitative question that we address by direct measurement.</w:t>
      </w:r>
    </w:p>
    <w:p ns2:paraId="535A35C1">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compute the survival function S(t) = P(τ &gt; t) of the first-collapse distribution from X₀ = s_reset under the continuation policy a ≡ 0 (no preventive maintenance), with reflecting cap at S_max, by forward propagation of the transition kernel. The discrete hazard is</w:t>
      </w:r>
    </w:p>
    <w:p ns2:paraId="3DEF5025">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h</m:t>
          </m:r>
          <m:r>
            <m:rPr>
              <m:sty m:val="i"/>
            </m:rPr>
            <m:t>(</m:t>
          </m:r>
          <m:r>
            <m:rPr>
              <m:sty m:val="i"/>
            </m:rPr>
            <m:t>t</m:t>
          </m:r>
          <m:r>
            <m:rPr>
              <m:sty m:val="i"/>
            </m:rPr>
            <m:t>)</m:t>
          </m:r>
          <m:r>
            <m:rPr>
              <m:sty m:val="i"/>
            </m:rPr>
            <m:t>=</m:t>
          </m:r>
          <m:f>
            <m:num>
              <m:r>
                <m:rPr>
                  <m:sty m:val="i"/>
                </m:rPr>
                <m:t>S</m:t>
              </m:r>
              <m:r>
                <m:rPr>
                  <m:sty m:val="i"/>
                </m:rPr>
                <m:t>(</m:t>
              </m:r>
              <m:r>
                <m:rPr>
                  <m:sty m:val="i"/>
                </m:rPr>
                <m:t>t</m:t>
              </m:r>
              <m:r>
                <m:rPr>
                  <m:sty m:val="i"/>
                </m:rPr>
                <m:t>-</m:t>
              </m:r>
              <m:r>
                <m:rPr>
                  <m:sty m:val="i"/>
                </m:rPr>
                <m:t>1</m:t>
              </m:r>
              <m:r>
                <m:rPr>
                  <m:sty m:val="i"/>
                </m:rPr>
                <m:t>)</m:t>
              </m:r>
              <m:r>
                <m:rPr>
                  <m:sty m:val="i"/>
                </m:rPr>
                <m:t>-</m:t>
              </m:r>
              <m:r>
                <m:rPr>
                  <m:sty m:val="i"/>
                </m:rPr>
                <m:t>S</m:t>
              </m:r>
              <m:r>
                <m:rPr>
                  <m:sty m:val="i"/>
                </m:rPr>
                <m:t>(</m:t>
              </m:r>
              <m:r>
                <m:rPr>
                  <m:sty m:val="i"/>
                </m:rPr>
                <m:t>t</m:t>
              </m:r>
              <m:r>
                <m:rPr>
                  <m:sty m:val="i"/>
                </m:rPr>
                <m:t>)</m:t>
              </m:r>
            </m:num>
            <m:den>
              <m:r>
                <m:rPr>
                  <m:sty m:val="i"/>
                </m:rPr>
                <m:t>S</m:t>
              </m:r>
              <m:r>
                <m:rPr>
                  <m:sty m:val="i"/>
                </m:rPr>
                <m:t>(</m:t>
              </m:r>
              <m:r>
                <m:rPr>
                  <m:sty m:val="i"/>
                </m:rPr>
                <m:t>t</m:t>
              </m:r>
              <m:r>
                <m:rPr>
                  <m:sty m:val="i"/>
                </m:rPr>
                <m:t>-</m:t>
              </m:r>
              <m:r>
                <m:rPr>
                  <m:sty m:val="i"/>
                </m:rPr>
                <m:t>1</m:t>
              </m:r>
              <m:r>
                <m:rPr>
                  <m:sty m:val="i"/>
                </m:rPr>
                <m:t>)</m:t>
              </m:r>
            </m:den>
          </m:f>
        </m:oMath>
      </m:oMathPara>
      <w:r>
        <w:tab/>
      </w:r>
      <w:r>
        <w:rPr>
          <w:rFonts w:ascii="Times New Roman" w:hAnsi="Times New Roman" w:eastAsia="Times New Roman" w:cs="Times New Roman"/>
          <w:sz w:val="24"/>
          <w:szCs w:val="24"/>
        </w:rPr>
        <w:t>(13)</w:t>
      </w:r>
    </w:p>
    <w:p ns2:paraId="7FAA580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Because the discrete hazard is noisy due to finite-precision propagation and quasi-stationary boundary effects, we apply a moving-average smoothing of window 25 to h(t) before testing monotonicity. The classification criteria below are therefore tests on the smoothed hazard rather than on the raw discrete hazard.</w:t>
      </w:r>
    </w:p>
    <w:p ns2:paraId="702BB3C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compute h(t) on a fine time grid for each configuration in the feasible operating grid p ∈ {0.05, 0.10, 0.15, 0.20, 0.25, 0.30}, λ/C ∈ {0.6, 0.7, 0.75, 0.8, 0.85, 0.9}, restricted to configurations with δ &gt; 0. The horizon is T_max = 5000 periods, and we restrict the test to time points where S(t) &gt; 10⁻⁸ to avoid floating-point artifacts in the deep tail.</w:t>
      </w:r>
    </w:p>
    <w:p ns2:paraId="34EA8F6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classify each configuration by two criteria. The </w:t>
      </w:r>
      <w:r>
        <w:rPr>
          <w:rStyle w:val="9"/>
          <w:rFonts w:hint="default" w:ascii="Segoe UI" w:hAnsi="Segoe UI" w:eastAsia="Segoe UI" w:cs="Segoe UI"/>
          <w:b/>
          <w:bCs/>
          <w:i w:val="0"/>
          <w:iCs w:val="0"/>
          <w:caps w:val="0"/>
          <w:spacing w:val="0"/>
          <w:sz w:val="14"/>
          <w:szCs w:val="14"/>
          <w:shd w:val="clear" w:fill="FDFCFE"/>
        </w:rPr>
        <w:t>strict-smoothed</w:t>
      </w:r>
      <w:r>
        <w:rPr>
          <w:rFonts w:hint="default" w:ascii="Segoe UI" w:hAnsi="Segoe UI" w:eastAsia="Segoe UI" w:cs="Segoe UI"/>
          <w:i w:val="0"/>
          <w:iCs w:val="0"/>
          <w:caps w:val="0"/>
          <w:spacing w:val="0"/>
          <w:sz w:val="14"/>
          <w:szCs w:val="14"/>
          <w:shd w:val="clear" w:fill="FDFCFE"/>
        </w:rPr>
        <w:t> criterion requires the smoothed hazard to satisfy h(t) ≤ h(t−1) for all t in the valid range. The </w:t>
      </w:r>
      <w:r>
        <w:rPr>
          <w:rStyle w:val="9"/>
          <w:rFonts w:hint="default" w:ascii="Segoe UI" w:hAnsi="Segoe UI" w:eastAsia="Segoe UI" w:cs="Segoe UI"/>
          <w:b/>
          <w:bCs/>
          <w:i w:val="0"/>
          <w:iCs w:val="0"/>
          <w:caps w:val="0"/>
          <w:spacing w:val="0"/>
          <w:sz w:val="14"/>
          <w:szCs w:val="14"/>
          <w:shd w:val="clear" w:fill="FDFCFE"/>
        </w:rPr>
        <w:t>approximate</w:t>
      </w:r>
      <w:r>
        <w:rPr>
          <w:rFonts w:hint="default" w:ascii="Segoe UI" w:hAnsi="Segoe UI" w:eastAsia="Segoe UI" w:cs="Segoe UI"/>
          <w:i w:val="0"/>
          <w:iCs w:val="0"/>
          <w:caps w:val="0"/>
          <w:spacing w:val="0"/>
          <w:sz w:val="14"/>
          <w:szCs w:val="14"/>
          <w:shd w:val="clear" w:fill="FDFCFE"/>
        </w:rPr>
        <w:t> criterion requires that at least 95% of the smoothed-hazard transitions be non-increasing, allowing isolated non-monotonic steps that arise from numerical noise or boundary effects. Table 3 reports the results.</w:t>
      </w:r>
    </w:p>
    <w:p ns2:paraId="5B776DBF">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3.</w:t>
      </w:r>
      <w:r>
        <w:rPr>
          <w:rFonts w:hint="default" w:ascii="Segoe UI" w:hAnsi="Segoe UI" w:eastAsia="Segoe UI" w:cs="Segoe UI"/>
          <w:i w:val="0"/>
          <w:iCs w:val="0"/>
          <w:caps w:val="0"/>
          <w:spacing w:val="0"/>
          <w:sz w:val="14"/>
          <w:szCs w:val="14"/>
          <w:shd w:val="clear" w:fill="FDFCFE"/>
        </w:rPr>
        <w:t> Direct hazard test on the smoothed hazard across the feasible operating grid (21 configurations).</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966"/>
        <w:gridCol w:w="1300"/>
        <w:gridCol w:w="800"/>
        <w:gridCol w:w="1076"/>
        <w:gridCol w:w="1138"/>
        <w:gridCol w:w="2010"/>
      </w:tblGrid>
      <w:tr ns2:paraId="634854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30AEB1EB">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Disruption rate p</w:t>
            </w:r>
          </w:p>
        </w:tc>
        <w:tc>
          <w:tcPr>
            <w:tcW w:w="0" w:type="auto"/>
            <w:shd w:val="clear"/>
            <w:tcMar>
              <w:bottom w:w="140" w:type="dxa"/>
            </w:tcMar>
            <w:vAlign w:val="bottom"/>
          </w:tcPr>
          <w:p ns2:paraId="1930755A">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Configurations</w:t>
            </w:r>
          </w:p>
        </w:tc>
        <w:tc>
          <w:tcPr>
            <w:tcW w:w="0" w:type="auto"/>
            <w:shd w:val="clear"/>
            <w:tcMar>
              <w:bottom w:w="140" w:type="dxa"/>
            </w:tcMar>
            <w:vAlign w:val="bottom"/>
          </w:tcPr>
          <w:p ns2:paraId="2D25C8B5">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DFR-strict-smoothed</w:t>
            </w:r>
          </w:p>
        </w:tc>
        <w:tc>
          <w:tcPr>
            <w:tcW w:w="0" w:type="auto"/>
            <w:shd w:val="clear"/>
            <w:tcMar>
              <w:bottom w:w="140" w:type="dxa"/>
            </w:tcMar>
            <w:vAlign w:val="bottom"/>
          </w:tcPr>
          <w:p ns2:paraId="27E886B8">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DFR-approximate (≥95%)</w:t>
            </w:r>
          </w:p>
        </w:tc>
        <w:tc>
          <w:tcPr>
            <w:tcW w:w="0" w:type="auto"/>
            <w:shd w:val="clear"/>
            <w:tcMar>
              <w:bottom w:w="140" w:type="dxa"/>
            </w:tcMar>
            <w:vAlign w:val="bottom"/>
          </w:tcPr>
          <w:p ns2:paraId="05E3BB1E">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Initial hazard h(0)</w:t>
            </w:r>
          </w:p>
        </w:tc>
        <w:tc>
          <w:tcPr>
            <w:tcW w:w="0" w:type="auto"/>
            <w:shd w:val="clear"/>
            <w:tcMar>
              <w:bottom w:w="140" w:type="dxa"/>
            </w:tcMar>
            <w:vAlign w:val="bottom"/>
          </w:tcPr>
          <w:p ns2:paraId="5C5C7242">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Final hazard h_end</w:t>
            </w:r>
          </w:p>
        </w:tc>
      </w:tr>
      <w:tr ns2:paraId="5E88BBA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681540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7DE365B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w:t>
            </w:r>
          </w:p>
        </w:tc>
        <w:tc>
          <w:tcPr>
            <w:tcW w:w="0" w:type="auto"/>
            <w:shd w:val="clear"/>
            <w:tcMar>
              <w:top w:w="140" w:type="dxa"/>
              <w:bottom w:w="140" w:type="dxa"/>
            </w:tcMar>
            <w:vAlign w:val="top"/>
          </w:tcPr>
          <w:p ns2:paraId="7305153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 / 6 (100%)</w:t>
            </w:r>
          </w:p>
        </w:tc>
        <w:tc>
          <w:tcPr>
            <w:tcW w:w="0" w:type="auto"/>
            <w:shd w:val="clear"/>
            <w:tcMar>
              <w:top w:w="140" w:type="dxa"/>
              <w:bottom w:w="140" w:type="dxa"/>
            </w:tcMar>
            <w:vAlign w:val="top"/>
          </w:tcPr>
          <w:p ns2:paraId="5EB4B15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 / 6 (100%)</w:t>
            </w:r>
          </w:p>
        </w:tc>
        <w:tc>
          <w:tcPr>
            <w:tcW w:w="0" w:type="auto"/>
            <w:shd w:val="clear"/>
            <w:tcMar>
              <w:top w:w="140" w:type="dxa"/>
              <w:bottom w:w="140" w:type="dxa"/>
            </w:tcMar>
            <w:vAlign w:val="top"/>
          </w:tcPr>
          <w:p ns2:paraId="49A7166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0.046–0.050</w:t>
            </w:r>
          </w:p>
        </w:tc>
        <w:tc>
          <w:tcPr>
            <w:tcW w:w="0" w:type="auto"/>
            <w:shd w:val="clear"/>
            <w:tcMar>
              <w:top w:w="140" w:type="dxa"/>
              <w:bottom w:w="140" w:type="dxa"/>
            </w:tcMar>
            <w:vAlign w:val="top"/>
          </w:tcPr>
          <w:p ns2:paraId="7C85EEF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7.9×10⁻⁵–5.5×10⁻³</w:t>
            </w:r>
          </w:p>
        </w:tc>
      </w:tr>
      <w:tr ns2:paraId="1E94C30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A3FF83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52AB779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09C4377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 / 5 (100%)</w:t>
            </w:r>
          </w:p>
        </w:tc>
        <w:tc>
          <w:tcPr>
            <w:tcW w:w="0" w:type="auto"/>
            <w:shd w:val="clear"/>
            <w:tcMar>
              <w:top w:w="140" w:type="dxa"/>
              <w:bottom w:w="140" w:type="dxa"/>
            </w:tcMar>
            <w:vAlign w:val="top"/>
          </w:tcPr>
          <w:p ns2:paraId="1F749F6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 / 5 (100%)</w:t>
            </w:r>
          </w:p>
        </w:tc>
        <w:tc>
          <w:tcPr>
            <w:tcW w:w="0" w:type="auto"/>
            <w:shd w:val="clear"/>
            <w:tcMar>
              <w:top w:w="140" w:type="dxa"/>
              <w:bottom w:w="140" w:type="dxa"/>
            </w:tcMar>
            <w:vAlign w:val="top"/>
          </w:tcPr>
          <w:p ns2:paraId="1F2F037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0.092–0.100</w:t>
            </w:r>
          </w:p>
        </w:tc>
        <w:tc>
          <w:tcPr>
            <w:tcW w:w="0" w:type="auto"/>
            <w:shd w:val="clear"/>
            <w:tcMar>
              <w:top w:w="140" w:type="dxa"/>
              <w:bottom w:w="140" w:type="dxa"/>
            </w:tcMar>
            <w:vAlign w:val="top"/>
          </w:tcPr>
          <w:p ns2:paraId="62BB16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7.2×10⁻⁴–1.3×10⁻²</w:t>
            </w:r>
          </w:p>
        </w:tc>
      </w:tr>
      <w:tr ns2:paraId="2E0582D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A21153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w:t>
            </w:r>
          </w:p>
        </w:tc>
        <w:tc>
          <w:tcPr>
            <w:tcW w:w="0" w:type="auto"/>
            <w:shd w:val="clear"/>
            <w:tcMar>
              <w:top w:w="140" w:type="dxa"/>
              <w:bottom w:w="140" w:type="dxa"/>
            </w:tcMar>
            <w:vAlign w:val="top"/>
          </w:tcPr>
          <w:p ns2:paraId="00EED99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w:t>
            </w:r>
          </w:p>
        </w:tc>
        <w:tc>
          <w:tcPr>
            <w:tcW w:w="0" w:type="auto"/>
            <w:shd w:val="clear"/>
            <w:tcMar>
              <w:top w:w="140" w:type="dxa"/>
              <w:bottom w:w="140" w:type="dxa"/>
            </w:tcMar>
            <w:vAlign w:val="top"/>
          </w:tcPr>
          <w:p ns2:paraId="46076D9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 / 4 (0%)</w:t>
            </w:r>
          </w:p>
        </w:tc>
        <w:tc>
          <w:tcPr>
            <w:tcW w:w="0" w:type="auto"/>
            <w:shd w:val="clear"/>
            <w:tcMar>
              <w:top w:w="140" w:type="dxa"/>
              <w:bottom w:w="140" w:type="dxa"/>
            </w:tcMar>
            <w:vAlign w:val="top"/>
          </w:tcPr>
          <w:p ns2:paraId="33ADBE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 / 4 (100%)</w:t>
            </w:r>
          </w:p>
        </w:tc>
        <w:tc>
          <w:tcPr>
            <w:tcW w:w="0" w:type="auto"/>
            <w:shd w:val="clear"/>
            <w:tcMar>
              <w:top w:w="140" w:type="dxa"/>
              <w:bottom w:w="140" w:type="dxa"/>
            </w:tcMar>
            <w:vAlign w:val="top"/>
          </w:tcPr>
          <w:p ns2:paraId="5604F11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0.137–0.150</w:t>
            </w:r>
          </w:p>
        </w:tc>
        <w:tc>
          <w:tcPr>
            <w:tcW w:w="0" w:type="auto"/>
            <w:shd w:val="clear"/>
            <w:tcMar>
              <w:top w:w="140" w:type="dxa"/>
              <w:bottom w:w="140" w:type="dxa"/>
            </w:tcMar>
            <w:vAlign w:val="top"/>
          </w:tcPr>
          <w:p ns2:paraId="4ED4D5B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2.7×10⁻³–1.9×10⁻²</w:t>
            </w:r>
          </w:p>
        </w:tc>
      </w:tr>
      <w:tr ns2:paraId="22EFD4C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E5DD9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0.20</w:t>
            </w:r>
          </w:p>
        </w:tc>
        <w:tc>
          <w:tcPr>
            <w:tcW w:w="0" w:type="auto"/>
            <w:shd w:val="clear"/>
            <w:tcMar>
              <w:top w:w="140" w:type="dxa"/>
              <w:bottom w:w="140" w:type="dxa"/>
            </w:tcMar>
            <w:vAlign w:val="top"/>
          </w:tcPr>
          <w:p ns2:paraId="26648D6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w:t>
            </w:r>
          </w:p>
        </w:tc>
        <w:tc>
          <w:tcPr>
            <w:tcW w:w="0" w:type="auto"/>
            <w:shd w:val="clear"/>
            <w:tcMar>
              <w:top w:w="140" w:type="dxa"/>
              <w:bottom w:w="140" w:type="dxa"/>
            </w:tcMar>
            <w:vAlign w:val="top"/>
          </w:tcPr>
          <w:p ns2:paraId="5352D64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 / 3 (0%)</w:t>
            </w:r>
          </w:p>
        </w:tc>
        <w:tc>
          <w:tcPr>
            <w:tcW w:w="0" w:type="auto"/>
            <w:shd w:val="clear"/>
            <w:tcMar>
              <w:top w:w="140" w:type="dxa"/>
              <w:bottom w:w="140" w:type="dxa"/>
            </w:tcMar>
            <w:vAlign w:val="top"/>
          </w:tcPr>
          <w:p ns2:paraId="7E0A9FB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 / 3 (100%)</w:t>
            </w:r>
          </w:p>
        </w:tc>
        <w:tc>
          <w:tcPr>
            <w:tcW w:w="0" w:type="auto"/>
            <w:shd w:val="clear"/>
            <w:tcMar>
              <w:top w:w="140" w:type="dxa"/>
              <w:bottom w:w="140" w:type="dxa"/>
            </w:tcMar>
            <w:vAlign w:val="top"/>
          </w:tcPr>
          <w:p ns2:paraId="3E94577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0.183–0.200</w:t>
            </w:r>
          </w:p>
        </w:tc>
        <w:tc>
          <w:tcPr>
            <w:tcW w:w="0" w:type="auto"/>
            <w:shd w:val="clear"/>
            <w:tcMar>
              <w:top w:w="140" w:type="dxa"/>
              <w:bottom w:w="140" w:type="dxa"/>
            </w:tcMar>
            <w:vAlign w:val="top"/>
          </w:tcPr>
          <w:p ns2:paraId="0673912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6.8×10⁻³–2.6×10⁻²</w:t>
            </w:r>
          </w:p>
        </w:tc>
      </w:tr>
      <w:tr ns2:paraId="176025B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A57046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0.25</w:t>
            </w:r>
          </w:p>
        </w:tc>
        <w:tc>
          <w:tcPr>
            <w:tcW w:w="0" w:type="auto"/>
            <w:shd w:val="clear"/>
            <w:tcMar>
              <w:top w:w="140" w:type="dxa"/>
              <w:bottom w:w="140" w:type="dxa"/>
            </w:tcMar>
            <w:vAlign w:val="top"/>
          </w:tcPr>
          <w:p ns2:paraId="1DD53C5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w:t>
            </w:r>
          </w:p>
        </w:tc>
        <w:tc>
          <w:tcPr>
            <w:tcW w:w="0" w:type="auto"/>
            <w:shd w:val="clear"/>
            <w:tcMar>
              <w:top w:w="140" w:type="dxa"/>
              <w:bottom w:w="140" w:type="dxa"/>
            </w:tcMar>
            <w:vAlign w:val="top"/>
          </w:tcPr>
          <w:p ns2:paraId="2B1EF34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 / 2 (0%)</w:t>
            </w:r>
          </w:p>
        </w:tc>
        <w:tc>
          <w:tcPr>
            <w:tcW w:w="0" w:type="auto"/>
            <w:shd w:val="clear"/>
            <w:tcMar>
              <w:top w:w="140" w:type="dxa"/>
              <w:bottom w:w="140" w:type="dxa"/>
            </w:tcMar>
            <w:vAlign w:val="top"/>
          </w:tcPr>
          <w:p ns2:paraId="7007C00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 / 2 (100%)</w:t>
            </w:r>
          </w:p>
        </w:tc>
        <w:tc>
          <w:tcPr>
            <w:tcW w:w="0" w:type="auto"/>
            <w:shd w:val="clear"/>
            <w:tcMar>
              <w:top w:w="140" w:type="dxa"/>
              <w:bottom w:w="140" w:type="dxa"/>
            </w:tcMar>
            <w:vAlign w:val="top"/>
          </w:tcPr>
          <w:p ns2:paraId="5AAB802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0.229–0.249</w:t>
            </w:r>
          </w:p>
        </w:tc>
        <w:tc>
          <w:tcPr>
            <w:tcW w:w="0" w:type="auto"/>
            <w:shd w:val="clear"/>
            <w:tcMar>
              <w:top w:w="140" w:type="dxa"/>
              <w:bottom w:w="140" w:type="dxa"/>
            </w:tcMar>
            <w:vAlign w:val="top"/>
          </w:tcPr>
          <w:p ns2:paraId="5AFFC47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1.4×10⁻²–3.1×10⁻²</w:t>
            </w:r>
          </w:p>
        </w:tc>
      </w:tr>
      <w:tr ns2:paraId="4A3F44B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0B69F6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0.30</w:t>
            </w:r>
          </w:p>
        </w:tc>
        <w:tc>
          <w:tcPr>
            <w:tcW w:w="0" w:type="auto"/>
            <w:shd w:val="clear"/>
            <w:tcMar>
              <w:top w:w="140" w:type="dxa"/>
              <w:bottom w:w="140" w:type="dxa"/>
            </w:tcMar>
            <w:vAlign w:val="top"/>
          </w:tcPr>
          <w:p ns2:paraId="26CDF8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w:t>
            </w:r>
          </w:p>
        </w:tc>
        <w:tc>
          <w:tcPr>
            <w:tcW w:w="0" w:type="auto"/>
            <w:shd w:val="clear"/>
            <w:tcMar>
              <w:top w:w="140" w:type="dxa"/>
              <w:bottom w:w="140" w:type="dxa"/>
            </w:tcMar>
            <w:vAlign w:val="top"/>
          </w:tcPr>
          <w:p ns2:paraId="56A979F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 / 1 (0%)</w:t>
            </w:r>
          </w:p>
        </w:tc>
        <w:tc>
          <w:tcPr>
            <w:tcW w:w="0" w:type="auto"/>
            <w:shd w:val="clear"/>
            <w:tcMar>
              <w:top w:w="140" w:type="dxa"/>
              <w:bottom w:w="140" w:type="dxa"/>
            </w:tcMar>
            <w:vAlign w:val="top"/>
          </w:tcPr>
          <w:p ns2:paraId="4EB2F50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 / 1 (100%)</w:t>
            </w:r>
          </w:p>
        </w:tc>
        <w:tc>
          <w:tcPr>
            <w:tcW w:w="0" w:type="auto"/>
            <w:shd w:val="clear"/>
            <w:tcMar>
              <w:top w:w="140" w:type="dxa"/>
              <w:bottom w:w="140" w:type="dxa"/>
            </w:tcMar>
            <w:vAlign w:val="top"/>
          </w:tcPr>
          <w:p ns2:paraId="26C3A24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0.275</w:t>
            </w:r>
          </w:p>
        </w:tc>
        <w:tc>
          <w:tcPr>
            <w:tcW w:w="0" w:type="auto"/>
            <w:shd w:val="clear"/>
            <w:tcMar>
              <w:top w:w="140" w:type="dxa"/>
              <w:bottom w:w="140" w:type="dxa"/>
            </w:tcMar>
            <w:vAlign w:val="top"/>
          </w:tcPr>
          <w:p ns2:paraId="7E6C7F5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2.5×10⁻²</w:t>
            </w:r>
          </w:p>
        </w:tc>
      </w:tr>
      <w:tr ns2:paraId="6BCB3B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185126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Total</w:t>
            </w:r>
          </w:p>
        </w:tc>
        <w:tc>
          <w:tcPr>
            <w:tcW w:w="0" w:type="auto"/>
            <w:shd w:val="clear"/>
            <w:tcMar>
              <w:top w:w="140" w:type="dxa"/>
              <w:bottom w:w="140" w:type="dxa"/>
            </w:tcMar>
            <w:vAlign w:val="top"/>
          </w:tcPr>
          <w:p ns2:paraId="7F93E50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21</w:t>
            </w:r>
          </w:p>
        </w:tc>
        <w:tc>
          <w:tcPr>
            <w:tcW w:w="0" w:type="auto"/>
            <w:shd w:val="clear"/>
            <w:tcMar>
              <w:top w:w="140" w:type="dxa"/>
              <w:bottom w:w="140" w:type="dxa"/>
            </w:tcMar>
            <w:vAlign w:val="top"/>
          </w:tcPr>
          <w:p ns2:paraId="6B2BF30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11 / 21 (52.4%)</w:t>
            </w:r>
          </w:p>
        </w:tc>
        <w:tc>
          <w:tcPr>
            <w:tcW w:w="0" w:type="auto"/>
            <w:shd w:val="clear"/>
            <w:tcMar>
              <w:top w:w="140" w:type="dxa"/>
              <w:bottom w:w="140" w:type="dxa"/>
            </w:tcMar>
            <w:vAlign w:val="top"/>
          </w:tcPr>
          <w:p ns2:paraId="5FC156A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21 / 21 (100%)</w:t>
            </w:r>
          </w:p>
        </w:tc>
        <w:tc>
          <w:tcPr>
            <w:tcW w:w="0" w:type="auto"/>
            <w:shd w:val="clear"/>
            <w:tcMar>
              <w:top w:w="140" w:type="dxa"/>
              <w:bottom w:w="140" w:type="dxa"/>
            </w:tcMar>
            <w:vAlign w:val="top"/>
          </w:tcPr>
          <w:p ns2:paraId="61D5C28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00A94F8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bl>
    <w:p ns2:paraId="518CBFB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Three observations follow.</w:t>
      </w:r>
    </w:p>
    <w:p ns2:paraId="3AFB6C1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t>First, the smoothed cycle-collapse hazard is approximately DFR across the entire feasible operating grid. The discrete hazard decreases by between one and three orders of magnitude from its initial value to its asymptotic tail value, with the largest decay occurring for low-p (high-δ) configurations.</w:t>
      </w:r>
    </w:p>
    <w:p ns2:paraId="59B51ED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Second, the strict-smoothed DFR property holds for p ≤ 0.10 and breaks down progressively for higher p. The transition at p = 0.15 is sharp: for p ∈ {0.05, 0.10}, all 11 configurations satisfy strict monotone decrease in the smoothed hazard; for p ≥ 0.15, none do, although all remain approximately DFR at the 95% threshold. The fraction of decreasing transitions in the smoothed hazard ranges from 0.998 at p = 0.15 to 0.959 at p = 0.25.</w:t>
      </w:r>
    </w:p>
    <w:p ns2:paraId="66ADC660">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Third, the magnitude of the hazard reflects the structural rate at which collapses occur. The initial hazard h(0) tracks p closely, reflecting that early-period collapse risk is dominated by the immediate disruption probability conditional on near-empty buffer states. The asymptotic hazard h_end is several orders of magnitude smaller, reflecting the survivorship-induced selection developed in Section 4.2.</w:t>
      </w:r>
    </w:p>
    <w:p ns2:paraId="0CFB61BF">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These results provide a direct, distribution-level confirmation of the DFR property in a smoothed sense that supplements the indirect maintenance-policy evidence presented in Section 5.</w:t>
      </w:r>
    </w:p>
    <w:p ns2:paraId="3FFF01EF">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4.2 Survivorship selection mechanism</w:t>
      </w:r>
    </w:p>
    <w:p ns2:paraId="3937045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t>The DFR structure documented in Section 4.1 admits a mechanistic interpretation that connects the hazard analysis (a property of the cycle-collapse distribution) to the variance correction of Section 3.2 (a property of the first-passage distribution from a fixed initial state). The unifying mechanism is survivorship selection.</w:t>
      </w:r>
    </w:p>
    <w:p>
      <w:pPr>
        <w:pStyle w:val="10"/>
        <w:spacing w:line="480" w:lineRule="auto" w:before="0" w:after="0"/>
      </w:pPr>
      <w:r>
        <w:rPr>
          <w:rFonts w:ascii="Times New Roman" w:hAnsi="Times New Roman" w:eastAsia="Times New Roman" w:cs="Times New Roman"/>
          <w:sz w:val="24"/>
          <w:szCs w:val="24"/>
        </w:rPr>
        <w:t>The mechanism is related to, but distinct from, recent reliability models for degradation and remaining useful life. Recent RESS contributions have modeled hard-failure RUL under population variation (Guo et al., 2025), compound degradation with negative jumps (Cao et al., 2025), and two-stage degradation with separate initiation and propagation mechanisms (Zhou et al., 2025). In those models, the degradation process is the primitive object. Here, by contrast, the primitive object is the operational buffer recursion, and the apparent hazard structure emerges from conditioning on survival of the stochastic inventory trajectory.</w:t>
      </w:r>
    </w:p>
    <w:p ns2:paraId="1B821CF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Consider the population of inventory trajectories started at I(0) = X₀ and evolving according to (1)–(3). Conditional on survival to time t, the distribution of cumulative net flow ∑_{s=1}^{t}(Y(s) − D(s)) is biased upward relative to its unconditional mean δt: trajectories with unfavorable early realizations (clustered disruptions, runs of high demand) have already been absorbed, while trajectories that have survived have, by selection, accumulated more buffer than the unconditional expectation would suggest. This is the same mechanism that generates DFR in mixtures of exponentials (Gurland &amp; Sethuraman, 1994; Proschan, 1963) and, more generally, in any heterogeneous population where heterogeneity is along an axis that affects survival.</w:t>
      </w:r>
    </w:p>
    <w:p ns2:paraId="6257367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survivorship interpretation simultaneously explains both the variance attenuation of Section 3.2 and the DFR property of Section 4.1. The marginal between-mode variance p(1−p)C² counts each future disruption as contributing fully to first-passage variance. But conditioning on survival selects trajectories that have, on average, weathered fewer disruption clusters than expected, which means that future disruptions in the survivor population are no longer at the marginal rate but at a selection-modified effective rate. The effective contribution of the disruption mode to first-passage variance is therefore attenuated, which is exactly the empirical content of the correction β(p, δ) &lt; 1 in (10). Symmetrically, the smoothed hazard rate at time t reflects the disruption susceptibility of the surviving subpopulation, which by selection is more buffered than the original population, yielding a decreasing hazard.</w:t>
      </w:r>
    </w:p>
    <w:p ns2:paraId="7AD7DDC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strict-smoothed DFR property holds when the selection effect is strong enough to dominate any local IFR-like behavior near the IG mode. This is the case for low p, where the selection along the disruption axis is the dominant source of trajectory heterogeneity. For higher p, the disruption rate itself becomes large enough that the selection effect is partially offset by the increased frequency of disruption events in the surviving population, weakening the strict monotonicity of the hazard. Both observations are consistent with the empirical pattern of Table 3.</w:t>
      </w:r>
    </w:p>
    <w:p ns2:paraId="69B10BC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We note that the survivorship-DFR connection has been formalized in the literature on counting processes stopped at random times. Badía and Sangüesa (2008) give sufficient conditions under which a counting process stopped at a DFR random time preserves the DFR property, and the underlying mechanism is closely related to the conditioning argument above.</w:t>
      </w:r>
    </w:p>
    <w:p ns2:paraId="5C38EC76">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4.3 Implications: why age-based maintenance degenerates</w:t>
      </w:r>
    </w:p>
    <w:p ns2:paraId="212F348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t>The DFR property of the cycle-collapse distribution has direct implications for the choice of maintenance policy. Under an age-based replacement policy, the system is preemptively reset whenever its age (time since last reset) reaches a threshold T, regardless of the current buffer state. The cost per cycle is K_f F(T) + K_p S(T), where F is the CDF of τ and S = 1 − F, and the expected cycle length is E[min(τ, T)] = ∫₀^T S(t) dt. The long-run cost rate is therefore</w:t>
      </w:r>
    </w:p>
    <w:p ns2:paraId="0988530B">
      <w:pPr>
        <w:pStyle w:val="10"/>
        <w:keepNext w:val="0"/>
        <w:keepLines w:val="0"/>
        <w:widowControl/>
        <w:suppressLineNumbers w:val="0"/>
        <w:jc w:val="center"/>
        <w:spacing w:line="360" w:lineRule="auto" w:before="120" w:after="120"/>
        <w:tabs>
          <w:tab w:val="center" w:pos="4680"/>
          <w:tab w:val="right" w:pos="9360"/>
        </w:tabs>
      </w:pPr>
      <w:r>
        <w:tab/>
      </w:r>
      <m:oMathPara>
        <m:oMath>
          <m:sSub>
            <m:e>
              <m:r>
                <m:rPr>
                  <m:sty m:val="i"/>
                </m:rPr>
                <m:t>g</m:t>
              </m:r>
            </m:e>
            <m:sub>
              <m:r>
                <m:rPr>
                  <m:sty m:val="p"/>
                </m:rPr>
                <m:t>AB</m:t>
              </m:r>
            </m:sub>
          </m:sSub>
          <m:r>
            <m:rPr>
              <m:sty m:val="i"/>
            </m:rPr>
            <m:t>(</m:t>
          </m:r>
          <m:r>
            <m:rPr>
              <m:sty m:val="i"/>
            </m:rPr>
            <m:t>T</m:t>
          </m:r>
          <m:r>
            <m:rPr>
              <m:sty m:val="i"/>
            </m:rPr>
            <m:t>)</m:t>
          </m:r>
          <m:r>
            <m:rPr>
              <m:sty m:val="i"/>
            </m:rPr>
            <m:t>=</m:t>
          </m:r>
          <m:f>
            <m:num>
              <m:sSub>
                <m:e>
                  <m:r>
                    <m:rPr>
                      <m:sty m:val="i"/>
                    </m:rPr>
                    <m:t>K</m:t>
                  </m:r>
                </m:e>
                <m:sub>
                  <m:r>
                    <m:rPr>
                      <m:sty m:val="i"/>
                    </m:rPr>
                    <m:t>f</m:t>
                  </m:r>
                </m:sub>
              </m:sSub>
              <m:r>
                <m:rPr>
                  <m:sty m:val="i"/>
                </m:rPr>
                <m:t>F</m:t>
              </m:r>
              <m:r>
                <m:rPr>
                  <m:sty m:val="i"/>
                </m:rPr>
                <m:t>(</m:t>
              </m:r>
              <m:r>
                <m:rPr>
                  <m:sty m:val="i"/>
                </m:rPr>
                <m:t>T</m:t>
              </m:r>
              <m:r>
                <m:rPr>
                  <m:sty m:val="i"/>
                </m:rPr>
                <m:t>)</m:t>
              </m:r>
              <m:r>
                <m:rPr>
                  <m:sty m:val="i"/>
                </m:rPr>
                <m:t>+</m:t>
              </m:r>
              <m:sSub>
                <m:e>
                  <m:r>
                    <m:rPr>
                      <m:sty m:val="i"/>
                    </m:rPr>
                    <m:t>K</m:t>
                  </m:r>
                </m:e>
                <m:sub>
                  <m:r>
                    <m:rPr>
                      <m:sty m:val="i"/>
                    </m:rPr>
                    <m:t>p</m:t>
                  </m:r>
                </m:sub>
              </m:sSub>
              <m:r>
                <m:rPr>
                  <m:sty m:val="i"/>
                </m:rPr>
                <m:t>S</m:t>
              </m:r>
              <m:r>
                <m:rPr>
                  <m:sty m:val="i"/>
                </m:rPr>
                <m:t>(</m:t>
              </m:r>
              <m:r>
                <m:rPr>
                  <m:sty m:val="i"/>
                </m:rPr>
                <m:t>T</m:t>
              </m:r>
              <m:r>
                <m:rPr>
                  <m:sty m:val="i"/>
                </m:rPr>
                <m:t>)</m:t>
              </m:r>
            </m:num>
            <m:den>
              <m:sSubSup>
                <m:e>
                  <m:r>
                    <m:rPr>
                      <m:sty m:val="i"/>
                    </m:rPr>
                    <m:t>∫</m:t>
                  </m:r>
                </m:e>
                <m:sub>
                  <m:r>
                    <m:rPr>
                      <m:sty m:val="i"/>
                    </m:rPr>
                    <m:t>0</m:t>
                  </m:r>
                </m:sub>
                <m:sup>
                  <m:r>
                    <m:rPr>
                      <m:sty m:val="i"/>
                    </m:rPr>
                    <m:t>T</m:t>
                  </m:r>
                </m:sup>
              </m:sSubSup>
              <m:r>
                <m:rPr>
                  <m:sty m:val="i"/>
                </m:rPr>
                <m:t xml:space="preserve"> </m:t>
              </m:r>
              <m:r>
                <m:rPr>
                  <m:sty m:val="i"/>
                </m:rPr>
                <m:t>S</m:t>
              </m:r>
              <m:r>
                <m:rPr>
                  <m:sty m:val="i"/>
                </m:rPr>
                <m:t>(</m:t>
              </m:r>
              <m:r>
                <m:rPr>
                  <m:sty m:val="i"/>
                </m:rPr>
                <m:t>t</m:t>
              </m:r>
              <m:r>
                <m:rPr>
                  <m:sty m:val="i"/>
                </m:rPr>
                <m:t>)</m:t>
              </m:r>
              <m:r>
                <m:rPr>
                  <m:sty m:val="p"/>
                </m:rPr>
                <m:t xml:space="preserve"> </m:t>
              </m:r>
              <m:r>
                <m:rPr>
                  <m:sty m:val="i"/>
                </m:rPr>
                <m:t>d</m:t>
              </m:r>
              <m:r>
                <m:rPr>
                  <m:sty m:val="i"/>
                </m:rPr>
                <m:t>t</m:t>
              </m:r>
            </m:den>
          </m:f>
        </m:oMath>
      </m:oMathPara>
      <w:r>
        <w:tab/>
      </w:r>
      <w:r>
        <w:rPr>
          <w:rFonts w:ascii="Times New Roman" w:hAnsi="Times New Roman" w:eastAsia="Times New Roman" w:cs="Times New Roman"/>
          <w:sz w:val="24"/>
          <w:szCs w:val="24"/>
        </w:rPr>
        <w:t>(14)</w:t>
      </w:r>
    </w:p>
    <w:p ns2:paraId="46843F6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This formulation correctly satisfies </w:t>
      </w:r>
      <w:r>
        <w:rPr>
          <w:rFonts w:hint="default" w:ascii="Times New Roman" w:hAnsi="Times New Roman" w:eastAsia="Times New Roman" w:cs="Times New Roman"/>
          <w:i w:val="0"/>
          <w:iCs w:val="0"/>
          <w:caps w:val="0"/>
          <w:spacing w:val="0"/>
          <w:sz w:val="25"/>
          <w:szCs w:val="25"/>
          <w:bdr w:val="none" w:color="auto" w:sz="0" w:space="0"/>
          <w:shd w:val="clear" w:fill="FDFCFE"/>
        </w:rPr>
        <w:t>lim⁡T→∞gAB(T)=Kf/E[τ]=gRTF</w:t>
      </w:r>
      <w:r>
        <w:rPr>
          <w:rFonts w:hint="default" w:ascii="Times New Roman" w:hAnsi="Times New Roman" w:eastAsia="Times New Roman" w:cs="Times New Roman"/>
          <w:i w:val="0"/>
          <w:iCs w:val="0"/>
          <w:caps w:val="0"/>
          <w:spacing w:val="0"/>
          <w:sz w:val="25"/>
          <w:szCs w:val="25"/>
          <w:shd w:val="clear" w:fill="FDFCFE"/>
        </w:rPr>
        <w:t>lim</w:t>
      </w:r>
      <w:r>
        <w:rPr>
          <w:rFonts w:hint="default" w:ascii="KaTeX_Math" w:hAnsi="KaTeX_Math" w:eastAsia="KaTeX_Math" w:cs="KaTeX_Math"/>
          <w:i/>
          <w:iCs/>
          <w:caps w:val="0"/>
          <w:spacing w:val="0"/>
          <w:sz w:val="14"/>
          <w:szCs w:val="14"/>
          <w:shd w:val="clear" w:fill="FDFCFE"/>
        </w:rPr>
        <w:t>T</w:t>
      </w:r>
      <w:r>
        <w:rPr>
          <w:rFonts w:hint="default" w:ascii="Times New Roman" w:hAnsi="Times New Roman" w:eastAsia="Times New Roman" w:cs="Times New Roman"/>
          <w:i w:val="0"/>
          <w:iCs w:val="0"/>
          <w:caps w:val="0"/>
          <w:spacing w:val="0"/>
          <w:sz w:val="14"/>
          <w:szCs w:val="14"/>
          <w:shd w:val="clear" w:fill="FDFCFE"/>
        </w:rPr>
        <w:t>→∞</w:t>
      </w:r>
      <w:r>
        <w:rPr>
          <w:rFonts w:hint="default" w:ascii="Times New Roman" w:hAnsi="Times New Roman" w:eastAsia="Times New Roman" w:cs="Times New Roman"/>
          <w:i w:val="0"/>
          <w:iCs w:val="0"/>
          <w:caps w:val="0"/>
          <w:spacing w:val="0"/>
          <w:sz w:val="1"/>
          <w:szCs w:val="1"/>
          <w:shd w:val="clear" w:fill="FDFCFE"/>
        </w:rPr>
        <w:t>​</w:t>
      </w:r>
      <w:r>
        <w:rPr>
          <w:rFonts w:hint="default" w:ascii="KaTeX_Math" w:hAnsi="KaTeX_Math" w:eastAsia="KaTeX_Math" w:cs="KaTeX_Math"/>
          <w:i/>
          <w:iCs/>
          <w:caps w:val="0"/>
          <w:spacing w:val="0"/>
          <w:sz w:val="25"/>
          <w:szCs w:val="25"/>
          <w:shd w:val="clear" w:fill="FDFCFE"/>
        </w:rPr>
        <w:t>g</w:t>
      </w:r>
      <w:r>
        <w:rPr>
          <w:rFonts w:hint="default" w:ascii="KaTeX_Math" w:hAnsi="KaTeX_Math" w:eastAsia="KaTeX_Math" w:cs="KaTeX_Math"/>
          <w:i/>
          <w:iCs/>
          <w:caps w:val="0"/>
          <w:spacing w:val="0"/>
          <w:sz w:val="14"/>
          <w:szCs w:val="14"/>
          <w:shd w:val="clear" w:fill="FDFCFE"/>
        </w:rPr>
        <w:t>AB</w:t>
      </w:r>
      <w:r>
        <w:rPr>
          <w:rFonts w:hint="default" w:ascii="Times New Roman" w:hAnsi="Times New Roman" w:eastAsia="Times New Roman" w:cs="Times New Roman"/>
          <w:i w:val="0"/>
          <w:iCs w:val="0"/>
          <w:caps w:val="0"/>
          <w:spacing w:val="0"/>
          <w:sz w:val="1"/>
          <w:szCs w:val="1"/>
          <w:shd w:val="clear" w:fill="FDFCFE"/>
        </w:rPr>
        <w:t>​</w:t>
      </w:r>
      <w:r>
        <w:rPr>
          <w:rFonts w:hint="default" w:ascii="Times New Roman" w:hAnsi="Times New Roman" w:eastAsia="Times New Roman" w:cs="Times New Roman"/>
          <w:i w:val="0"/>
          <w:iCs w:val="0"/>
          <w:caps w:val="0"/>
          <w:spacing w:val="0"/>
          <w:sz w:val="25"/>
          <w:szCs w:val="25"/>
          <w:shd w:val="clear" w:fill="FDFCFE"/>
        </w:rPr>
        <w:t>(</w:t>
      </w:r>
      <w:r>
        <w:rPr>
          <w:rFonts w:hint="default" w:ascii="KaTeX_Math" w:hAnsi="KaTeX_Math" w:eastAsia="KaTeX_Math" w:cs="KaTeX_Math"/>
          <w:i/>
          <w:iCs/>
          <w:caps w:val="0"/>
          <w:spacing w:val="0"/>
          <w:sz w:val="25"/>
          <w:szCs w:val="25"/>
          <w:shd w:val="clear" w:fill="FDFCFE"/>
        </w:rPr>
        <w:t>T</w:t>
      </w:r>
      <w:r>
        <w:rPr>
          <w:rFonts w:hint="default" w:ascii="Times New Roman" w:hAnsi="Times New Roman" w:eastAsia="Times New Roman" w:cs="Times New Roman"/>
          <w:i w:val="0"/>
          <w:iCs w:val="0"/>
          <w:caps w:val="0"/>
          <w:spacing w:val="0"/>
          <w:sz w:val="25"/>
          <w:szCs w:val="25"/>
          <w:shd w:val="clear" w:fill="FDFCFE"/>
        </w:rPr>
        <w:t>)=</w:t>
      </w:r>
      <w:r>
        <w:rPr>
          <w:rFonts w:hint="default" w:ascii="KaTeX_Math" w:hAnsi="KaTeX_Math" w:eastAsia="KaTeX_Math" w:cs="KaTeX_Math"/>
          <w:i/>
          <w:iCs/>
          <w:caps w:val="0"/>
          <w:spacing w:val="0"/>
          <w:sz w:val="25"/>
          <w:szCs w:val="25"/>
          <w:shd w:val="clear" w:fill="FDFCFE"/>
        </w:rPr>
        <w:t>K</w:t>
      </w:r>
      <w:r>
        <w:rPr>
          <w:rFonts w:hint="default" w:ascii="KaTeX_Math" w:hAnsi="KaTeX_Math" w:eastAsia="KaTeX_Math" w:cs="KaTeX_Math"/>
          <w:i/>
          <w:iCs/>
          <w:caps w:val="0"/>
          <w:spacing w:val="0"/>
          <w:sz w:val="14"/>
          <w:szCs w:val="14"/>
          <w:shd w:val="clear" w:fill="FDFCFE"/>
        </w:rPr>
        <w:t>f</w:t>
      </w:r>
      <w:r>
        <w:rPr>
          <w:rFonts w:hint="default" w:ascii="Times New Roman" w:hAnsi="Times New Roman" w:eastAsia="Times New Roman" w:cs="Times New Roman"/>
          <w:i w:val="0"/>
          <w:iCs w:val="0"/>
          <w:caps w:val="0"/>
          <w:spacing w:val="0"/>
          <w:sz w:val="1"/>
          <w:szCs w:val="1"/>
          <w:shd w:val="clear" w:fill="FDFCFE"/>
        </w:rPr>
        <w:t>​</w:t>
      </w:r>
      <w:r>
        <w:rPr>
          <w:rFonts w:hint="default" w:ascii="Times New Roman" w:hAnsi="Times New Roman" w:eastAsia="Times New Roman" w:cs="Times New Roman"/>
          <w:i w:val="0"/>
          <w:iCs w:val="0"/>
          <w:caps w:val="0"/>
          <w:spacing w:val="0"/>
          <w:sz w:val="25"/>
          <w:szCs w:val="25"/>
          <w:shd w:val="clear" w:fill="FDFCFE"/>
        </w:rPr>
        <w:t>/</w:t>
      </w:r>
      <w:r>
        <w:rPr>
          <w:rFonts w:hint="default" w:ascii="KaTeX_Math" w:hAnsi="KaTeX_Math" w:eastAsia="KaTeX_Math" w:cs="KaTeX_Math"/>
          <w:i/>
          <w:iCs/>
          <w:caps w:val="0"/>
          <w:spacing w:val="0"/>
          <w:sz w:val="25"/>
          <w:szCs w:val="25"/>
          <w:shd w:val="clear" w:fill="FDFCFE"/>
        </w:rPr>
        <w:t>E</w:t>
      </w:r>
      <w:r>
        <w:rPr>
          <w:rFonts w:hint="default" w:ascii="Times New Roman" w:hAnsi="Times New Roman" w:eastAsia="Times New Roman" w:cs="Times New Roman"/>
          <w:i w:val="0"/>
          <w:iCs w:val="0"/>
          <w:caps w:val="0"/>
          <w:spacing w:val="0"/>
          <w:sz w:val="25"/>
          <w:szCs w:val="25"/>
          <w:shd w:val="clear" w:fill="FDFCFE"/>
        </w:rPr>
        <w:t>[</w:t>
      </w:r>
      <w:r>
        <w:rPr>
          <w:rFonts w:hint="default" w:ascii="KaTeX_Math" w:hAnsi="KaTeX_Math" w:eastAsia="KaTeX_Math" w:cs="KaTeX_Math"/>
          <w:i/>
          <w:iCs/>
          <w:caps w:val="0"/>
          <w:spacing w:val="0"/>
          <w:sz w:val="25"/>
          <w:szCs w:val="25"/>
          <w:shd w:val="clear" w:fill="FDFCFE"/>
        </w:rPr>
        <w:t>τ</w:t>
      </w:r>
      <w:r>
        <w:rPr>
          <w:rFonts w:hint="default" w:ascii="Times New Roman" w:hAnsi="Times New Roman" w:eastAsia="Times New Roman" w:cs="Times New Roman"/>
          <w:i w:val="0"/>
          <w:iCs w:val="0"/>
          <w:caps w:val="0"/>
          <w:spacing w:val="0"/>
          <w:sz w:val="25"/>
          <w:szCs w:val="25"/>
          <w:shd w:val="clear" w:fill="FDFCFE"/>
        </w:rPr>
        <w:t>]=</w:t>
      </w:r>
      <w:r>
        <w:rPr>
          <w:rFonts w:hint="default" w:ascii="KaTeX_Math" w:hAnsi="KaTeX_Math" w:eastAsia="KaTeX_Math" w:cs="KaTeX_Math"/>
          <w:i/>
          <w:iCs/>
          <w:caps w:val="0"/>
          <w:spacing w:val="0"/>
          <w:sz w:val="25"/>
          <w:szCs w:val="25"/>
          <w:shd w:val="clear" w:fill="FDFCFE"/>
        </w:rPr>
        <w:t>g</w:t>
      </w:r>
      <w:r>
        <w:rPr>
          <w:rFonts w:hint="default" w:ascii="KaTeX_Math" w:hAnsi="KaTeX_Math" w:eastAsia="KaTeX_Math" w:cs="KaTeX_Math"/>
          <w:i/>
          <w:iCs/>
          <w:caps w:val="0"/>
          <w:spacing w:val="0"/>
          <w:sz w:val="14"/>
          <w:szCs w:val="14"/>
          <w:shd w:val="clear" w:fill="FDFCFE"/>
        </w:rPr>
        <w:t>RTF</w:t>
      </w:r>
      <w:r>
        <w:rPr>
          <w:rFonts w:hint="default" w:ascii="Times New Roman" w:hAnsi="Times New Roman" w:eastAsia="Times New Roman" w:cs="Times New Roman"/>
          <w:i w:val="0"/>
          <w:iCs w:val="0"/>
          <w:caps w:val="0"/>
          <w:spacing w:val="0"/>
          <w:sz w:val="1"/>
          <w:szCs w:val="1"/>
          <w:shd w:val="clear" w:fill="FDFCFE"/>
        </w:rPr>
        <w:t>​</w:t>
      </w:r>
      <w:r>
        <w:rPr>
          <w:rFonts w:hint="default" w:ascii="Segoe UI" w:hAnsi="Segoe UI" w:eastAsia="Segoe UI" w:cs="Segoe UI"/>
          <w:i w:val="0"/>
          <w:iCs w:val="0"/>
          <w:caps w:val="0"/>
          <w:spacing w:val="0"/>
          <w:sz w:val="14"/>
          <w:szCs w:val="14"/>
          <w:shd w:val="clear" w:fill="FDFCFE"/>
        </w:rPr>
        <w:t>, since F(T) → 1, S(T) → 0, and ∫₀^T S(t) dt → E[τ]. When the underlying distribution is IFR, g_AB(T) is unimodal in T and admits a finite minimum that strictly improves on RTF. When the distribution is DFR, g_AB(T) is monotone decreasing in T and has no finite minimum: the optimal age-based policy degenerates to RTF.</w:t>
      </w:r>
    </w:p>
    <w:p ns2:paraId="5D05F600">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In the present model, this structural result manifests in two ways across the feasible operating grid. First, in approximately 48% of configurations (10 of 21 grid points), the numerically optimal T* is at the boundary of the search grid (T_max = 5000 periods), and we classify these as boundary-divergent: they correspond to configurations in which the age-based policy effectively degenerates to RTF, and we report g_AB^opt = g_RTF for these. Second, in the remaining 52% of configurations, T* is interior but the cost reduction over RTF is small. We refer to the latter pattern as the </w:t>
      </w:r>
      <w:r>
        <w:rPr>
          <w:rStyle w:val="9"/>
          <w:rFonts w:hint="default" w:ascii="Segoe UI" w:hAnsi="Segoe UI" w:eastAsia="Segoe UI" w:cs="Segoe UI"/>
          <w:b/>
          <w:bCs/>
          <w:i w:val="0"/>
          <w:iCs w:val="0"/>
          <w:caps w:val="0"/>
          <w:spacing w:val="0"/>
          <w:sz w:val="14"/>
          <w:szCs w:val="14"/>
          <w:shd w:val="clear" w:fill="FDFCFE"/>
        </w:rPr>
        <w:t>DFR-economic signature</w:t>
      </w:r>
      <w:r>
        <w:rPr>
          <w:rFonts w:hint="default" w:ascii="Segoe UI" w:hAnsi="Segoe UI" w:eastAsia="Segoe UI" w:cs="Segoe UI"/>
          <w:i w:val="0"/>
          <w:iCs w:val="0"/>
          <w:caps w:val="0"/>
          <w:spacing w:val="0"/>
          <w:sz w:val="14"/>
          <w:szCs w:val="14"/>
          <w:shd w:val="clear" w:fill="FDFCFE"/>
        </w:rPr>
        <w:t>: even when T* is computationally interior, the economic benefit of age-based replacement over RTF is marginal because the underlying hazard is decreasing.</w:t>
      </w:r>
    </w:p>
    <w:p ns2:paraId="72E62B7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emphasize that the two signatures—boundary-divergence of T* and small economic gain over RTF—are complementary diagnostics. The first applies in the strict-smoothed-DFR regime (p ≤ 0.10 in our experiments), where the cost function lacks a finite minimum within the search horizon. The second applies in the approximate-DFR regime (p ≥ 0.15), where local non-monotonicities in the hazard create a shallow interior minimum of g_AB(T) that is economically negligible. In both cases, the operational implication is the same: age-based replacement does not exploit the survivorship-selection structure of the system, and the appropriate alternative is condition-based monitoring of the buffer state itself.</w:t>
      </w:r>
    </w:p>
    <w:p ns2:paraId="6CA65BBF">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1" ns4:spt="1" style="height:1.5pt;width:432pt;" fillcolor="#A0A0A0" filled="t" stroked="f" coordsize="21600,21600" ns4:hr="t" ns4:hrstd="t" ns4:hralign="center">
            <ns3:path/>
            <ns3:fill on="t" focussize="0,0"/>
            <ns3:stroke on="f"/>
            <ns3:imagedata ns4:title=""/>
            <ns4:lock ns3:ext="edit"/>
            <ns5:wrap type="none"/>
            <ns5:anchorlock/>
          </ns3:rect>
        </w:pict>
      </w:r>
    </w:p>
    <w:p ns2:paraId="1DF1AAFE">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5. Condition-based threshold intervention policy</w:t>
      </w:r>
    </w:p>
    <w:p ns2:paraId="3A6D564E">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5.1 MDP formulation</w:t>
      </w:r>
    </w:p>
    <w:p ns2:paraId="5D731A8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b w:val="0"/>
          <w:i w:val="0"/>
        </w:rPr>
        <w:t>We now translate the reliability characterization into an intervention model. The maintenance problem is formulated as an average-cost Markov decision process (MDP). The decision epoch is the start of each period, before the realization of replenishment and demand. The state space is S = {0, 1, ..., S_max}, where state 0 represents the collapse boundary. At each nonzero state s, the decision maker chooses either continuation (action 0) or preventive maintenance/replenishment (action 1). Preventive action incurs cost K_p and resets the system to s_reset.</w:t>
      </w:r>
    </w:p>
    <w:p ns2:paraId="09C8E4F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 collapse, defined as the inventory dropping to s′ ≤ 0 during a continuation transition, incurs cost K_f &gt; 0 and triggers an automatic reset to s_reset. We aggregate the entire collapse-and-reset event into a single transition: from state s under action 0, the probability of collapse is</w:t>
      </w:r>
    </w:p>
    <w:p ns2:paraId="0D31702F">
      <w:pPr>
        <w:pStyle w:val="10"/>
        <w:keepNext w:val="0"/>
        <w:keepLines w:val="0"/>
        <w:widowControl/>
        <w:suppressLineNumbers w:val="0"/>
        <w:jc w:val="center"/>
        <w:spacing w:line="360" w:lineRule="auto" w:before="120" w:after="120"/>
        <w:tabs>
          <w:tab w:val="center" w:pos="4680"/>
          <w:tab w:val="right" w:pos="9360"/>
        </w:tabs>
      </w:pPr>
      <w:r>
        <w:tab/>
      </w:r>
      <m:oMathPara>
        <m:oMath>
          <m:sSub>
            <m:e>
              <m:r>
                <m:rPr>
                  <m:sty m:val="i"/>
                </m:rPr>
                <m:t>q</m:t>
              </m:r>
            </m:e>
            <m:sub>
              <m:r>
                <m:rPr>
                  <m:sty m:val="p"/>
                </m:rPr>
                <m:t>fail</m:t>
              </m:r>
            </m:sub>
          </m:sSub>
          <m:r>
            <m:rPr>
              <m:sty m:val="i"/>
            </m:rPr>
            <m:t>(</m:t>
          </m:r>
          <m:r>
            <m:rPr>
              <m:sty m:val="i"/>
            </m:rPr>
            <m:t>s</m:t>
          </m:r>
          <m:r>
            <m:rPr>
              <m:sty m:val="i"/>
            </m:rPr>
            <m:t>)</m:t>
          </m:r>
          <m:r>
            <m:rPr>
              <m:sty m:val="i"/>
            </m:rPr>
            <m:t>=</m:t>
          </m:r>
          <m:r>
            <m:rPr>
              <m:sty m:val="i"/>
            </m:rPr>
            <m:t>(</m:t>
          </m:r>
          <m:r>
            <m:rPr>
              <m:sty m:val="i"/>
            </m:rPr>
            <m:t>1</m:t>
          </m:r>
          <m:r>
            <m:rPr>
              <m:sty m:val="i"/>
            </m:rPr>
            <m:t>-</m:t>
          </m:r>
          <m:r>
            <m:rPr>
              <m:sty m:val="i"/>
            </m:rPr>
            <m:t>p</m:t>
          </m:r>
          <m:r>
            <m:rPr>
              <m:sty m:val="i"/>
            </m:rPr>
            <m:t>)</m:t>
          </m:r>
          <m:sSub>
            <m:e>
              <m:r>
                <m:rPr>
                  <m:sty m:val="i"/>
                </m:rPr>
                <m:t>P</m:t>
              </m:r>
            </m:e>
            <m:sub>
              <m:r>
                <m:rPr>
                  <m:sty m:val="p"/>
                </m:rPr>
                <m:t>Pois</m:t>
              </m:r>
            </m:sub>
          </m:sSub>
          <m:r>
            <m:rPr>
              <m:sty m:val="i"/>
            </m:rPr>
            <m:t>(</m:t>
          </m:r>
          <m:r>
            <m:rPr>
              <m:sty m:val="i"/>
            </m:rPr>
            <m:t>D</m:t>
          </m:r>
          <m:r>
            <m:rPr>
              <m:sty m:val="i"/>
            </m:rPr>
            <m:t>≥</m:t>
          </m:r>
          <m:r>
            <m:rPr>
              <m:sty m:val="i"/>
            </m:rPr>
            <m:t xml:space="preserve"> </m:t>
          </m:r>
          <m:r>
            <m:rPr>
              <m:sty m:val="i"/>
            </m:rPr>
            <m:t>s</m:t>
          </m:r>
          <m:r>
            <m:rPr>
              <m:sty m:val="i"/>
            </m:rPr>
            <m:t>+</m:t>
          </m:r>
          <m:r>
            <m:rPr>
              <m:sty m:val="i"/>
            </m:rPr>
            <m:t>C</m:t>
          </m:r>
          <m:r>
            <m:rPr>
              <m:sty m:val="i"/>
            </m:rPr>
            <m:t>)</m:t>
          </m:r>
          <m:r>
            <m:rPr>
              <m:sty m:val="i"/>
            </m:rPr>
            <m:t>+</m:t>
          </m:r>
          <m:r>
            <m:rPr>
              <m:sty m:val="i"/>
            </m:rPr>
            <m:t>p</m:t>
          </m:r>
          <m:sSub>
            <m:e>
              <m:r>
                <m:rPr>
                  <m:sty m:val="i"/>
                </m:rPr>
                <m:t>P</m:t>
              </m:r>
            </m:e>
            <m:sub>
              <m:r>
                <m:rPr>
                  <m:sty m:val="p"/>
                </m:rPr>
                <m:t>Pois</m:t>
              </m:r>
            </m:sub>
          </m:sSub>
          <m:r>
            <m:rPr>
              <m:sty m:val="i"/>
            </m:rPr>
            <m:t>(</m:t>
          </m:r>
          <m:r>
            <m:rPr>
              <m:sty m:val="i"/>
            </m:rPr>
            <m:t>D</m:t>
          </m:r>
          <m:r>
            <m:rPr>
              <m:sty m:val="i"/>
            </m:rPr>
            <m:t>≥</m:t>
          </m:r>
          <m:r>
            <m:rPr>
              <m:sty m:val="i"/>
            </m:rPr>
            <m:t xml:space="preserve"> </m:t>
          </m:r>
          <m:r>
            <m:rPr>
              <m:sty m:val="i"/>
            </m:rPr>
            <m:t>s</m:t>
          </m:r>
          <m:r>
            <m:rPr>
              <m:sty m:val="i"/>
            </m:rPr>
            <m:t>)</m:t>
          </m:r>
        </m:oMath>
      </m:oMathPara>
      <w:r>
        <w:tab/>
      </w:r>
      <w:r>
        <w:rPr>
          <w:rFonts w:ascii="Times New Roman" w:hAnsi="Times New Roman" w:eastAsia="Times New Roman" w:cs="Times New Roman"/>
          <w:sz w:val="24"/>
          <w:szCs w:val="24"/>
        </w:rPr>
        <w:t>(15)</w:t>
      </w:r>
    </w:p>
    <w:p ns2:paraId="1ADF6FC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and conditional on collapse, the next state is s_reset. The expected immediate cost of action 0 from state s is therefore</w:t>
      </w:r>
    </w:p>
    <w:p ns2:paraId="7EDB5005">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c</m:t>
          </m:r>
          <m:r>
            <m:rPr>
              <m:sty m:val="i"/>
            </m:rPr>
            <m:t>(</m:t>
          </m:r>
          <m:r>
            <m:rPr>
              <m:sty m:val="i"/>
            </m:rPr>
            <m:t>s</m:t>
          </m:r>
          <m:r>
            <m:rPr>
              <m:sty m:val="i"/>
            </m:rPr>
            <m:t>,</m:t>
          </m:r>
          <m:r>
            <m:rPr>
              <m:sty m:val="i"/>
            </m:rPr>
            <m:t>0</m:t>
          </m:r>
          <m:r>
            <m:rPr>
              <m:sty m:val="i"/>
            </m:rPr>
            <m:t>)</m:t>
          </m:r>
          <m:r>
            <m:rPr>
              <m:sty m:val="i"/>
            </m:rPr>
            <m:t>=</m:t>
          </m:r>
          <m:sSub>
            <m:e>
              <m:r>
                <m:rPr>
                  <m:sty m:val="i"/>
                </m:rPr>
                <m:t>K</m:t>
              </m:r>
            </m:e>
            <m:sub>
              <m:r>
                <m:rPr>
                  <m:sty m:val="i"/>
                </m:rPr>
                <m:t>f</m:t>
              </m:r>
            </m:sub>
          </m:sSub>
          <m:r>
            <m:rPr>
              <m:sty m:val="i"/>
            </m:rPr>
            <m:t>·</m:t>
          </m:r>
          <m:r>
            <m:rPr>
              <m:sty m:val="i"/>
            </m:rPr>
            <m:t xml:space="preserve"> </m:t>
          </m:r>
          <m:sSub>
            <m:e>
              <m:r>
                <m:rPr>
                  <m:sty m:val="i"/>
                </m:rPr>
                <m:t>q</m:t>
              </m:r>
            </m:e>
            <m:sub>
              <m:r>
                <m:rPr>
                  <m:sty m:val="p"/>
                </m:rPr>
                <m:t>fail</m:t>
              </m:r>
            </m:sub>
          </m:sSub>
          <m:r>
            <m:rPr>
              <m:sty m:val="i"/>
            </m:rPr>
            <m:t>(</m:t>
          </m:r>
          <m:r>
            <m:rPr>
              <m:sty m:val="i"/>
            </m:rPr>
            <m:t>s</m:t>
          </m:r>
          <m:r>
            <m:rPr>
              <m:sty m:val="i"/>
            </m:rPr>
            <m:t>)</m:t>
          </m:r>
        </m:oMath>
      </m:oMathPara>
      <w:r>
        <w:tab/>
      </w:r>
      <w:r>
        <w:rPr>
          <w:rFonts w:ascii="Times New Roman" w:hAnsi="Times New Roman" w:eastAsia="Times New Roman" w:cs="Times New Roman"/>
          <w:sz w:val="24"/>
          <w:szCs w:val="24"/>
        </w:rPr>
        <w:t>(16)</w:t>
      </w:r>
    </w:p>
    <w:p ns2:paraId="038DDC5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and the transition kernel under action 0 has the structure</w:t>
      </w:r>
    </w:p>
    <w:p ns2:paraId="18B01466">
      <w:pPr>
        <w:pStyle w:val="10"/>
        <w:keepNext w:val="0"/>
        <w:keepLines w:val="0"/>
        <w:widowControl/>
        <w:suppressLineNumbers w:val="0"/>
        <w:jc w:val="center"/>
        <w:spacing w:line="480" w:lineRule="auto" w:before="0" w:after="0"/>
      </w:pPr>
      <w:r>
        <w:rPr>
          <w:rFonts w:ascii="Cambria Math" w:hAnsi="Cambria Math"/>
          <w:sz w:val="21"/>
        </w:rPr>
        <w:t>P(s′ | s, 0) = q_fail(s)·1{s′ = s_reset} + P̃(s′ | s, 0) for non-collapse states</w:t>
      </w:r>
    </w:p>
    <w:p ns2:paraId="6286157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t>where P̃(s′ | s, 0), for s′ ∈ {1, ..., S_max}, aggregates Poisson masses according to (1)–(3), with mass at the upper boundary s′ = S_max collected as (1 − p)P_Pois(D ≤ s + C − S_max). Under action 1, P(s′ | s, 1) = 1{s′ = s_reset} and c(s, 1) = K_p.</w:t>
      </w:r>
    </w:p>
    <w:p ns2:paraId="41496970">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objective is the long-run average cost per period</w:t>
      </w:r>
    </w:p>
    <w:p ns2:paraId="7F945D13">
      <w:pPr>
        <w:pStyle w:val="10"/>
        <w:keepNext w:val="0"/>
        <w:keepLines w:val="0"/>
        <w:widowControl/>
        <w:suppressLineNumbers w:val="0"/>
        <w:jc w:val="center"/>
        <w:spacing w:line="360" w:lineRule="auto" w:before="120" w:after="120"/>
        <w:tabs>
          <w:tab w:val="center" w:pos="4680"/>
          <w:tab w:val="right" w:pos="9360"/>
        </w:tabs>
      </w:pPr>
      <w:r>
        <w:tab/>
      </w:r>
      <m:oMathPara>
        <m:oMath>
          <m:r>
            <m:rPr>
              <m:sty m:val="i"/>
            </m:rPr>
            <m:t>g</m:t>
          </m:r>
          <m:r>
            <m:rPr>
              <m:sty m:val="i"/>
            </m:rPr>
            <m:t>(</m:t>
          </m:r>
          <m:r>
            <m:rPr>
              <m:sty m:val="i"/>
            </m:rPr>
            <m:t>π</m:t>
          </m:r>
          <m:r>
            <m:rPr>
              <m:sty m:val="i"/>
            </m:rPr>
            <m:t>)</m:t>
          </m:r>
          <m:r>
            <m:rPr>
              <m:sty m:val="i"/>
            </m:rPr>
            <m:t>=</m:t>
          </m:r>
          <m:sSub>
            <m:e>
              <m:r>
                <m:rPr>
                  <m:sty m:val="p"/>
                </m:rPr>
                <m:t>lim sup</m:t>
              </m:r>
            </m:e>
            <m:sub>
              <m:r>
                <m:rPr>
                  <m:sty m:val="i"/>
                </m:rPr>
                <m:t>T</m:t>
              </m:r>
              <m:r>
                <m:rPr>
                  <m:sty m:val="i"/>
                </m:rPr>
                <m:t>→</m:t>
              </m:r>
              <m:r>
                <m:rPr>
                  <m:sty m:val="i"/>
                </m:rPr>
                <m:t>∞</m:t>
              </m:r>
            </m:sub>
          </m:sSub>
          <m:f>
            <m:num>
              <m:r>
                <m:rPr>
                  <m:sty m:val="i"/>
                </m:rPr>
                <m:t>1</m:t>
              </m:r>
            </m:num>
            <m:den>
              <m:r>
                <m:rPr>
                  <m:sty m:val="i"/>
                </m:rPr>
                <m:t>T</m:t>
              </m:r>
            </m:den>
          </m:f>
          <m:sSub>
            <m:e>
              <m:r>
                <m:rPr>
                  <m:sty m:val="i"/>
                </m:rPr>
                <m:t>E</m:t>
              </m:r>
            </m:e>
            <m:sub>
              <m:r>
                <m:rPr>
                  <m:sty m:val="i"/>
                </m:rPr>
                <m:t>π</m:t>
              </m:r>
            </m:sub>
          </m:sSub>
          <m:r>
            <m:rPr>
              <m:sty m:val="i"/>
            </m:rPr>
            <m:t>[</m:t>
          </m:r>
          <m:sSubSup>
            <m:e>
              <m:r>
                <m:rPr>
                  <m:sty m:val="i"/>
                </m:rPr>
                <m:t>∑</m:t>
              </m:r>
            </m:e>
            <m:sub>
              <m:r>
                <m:rPr>
                  <m:sty m:val="i"/>
                </m:rPr>
                <m:t>t</m:t>
              </m:r>
              <m:r>
                <m:rPr>
                  <m:sty m:val="i"/>
                </m:rPr>
                <m:t>=</m:t>
              </m:r>
              <m:r>
                <m:rPr>
                  <m:sty m:val="i"/>
                </m:rPr>
                <m:t>0</m:t>
              </m:r>
            </m:sub>
            <m:sup>
              <m:r>
                <m:rPr>
                  <m:sty m:val="i"/>
                </m:rPr>
                <m:t>T</m:t>
              </m:r>
              <m:r>
                <m:rPr>
                  <m:sty m:val="i"/>
                </m:rPr>
                <m:t>-</m:t>
              </m:r>
              <m:r>
                <m:rPr>
                  <m:sty m:val="i"/>
                </m:rPr>
                <m:t>1</m:t>
              </m:r>
            </m:sup>
          </m:sSubSup>
          <m:r>
            <m:rPr>
              <m:sty m:val="i"/>
            </m:rPr>
            <m:t>c</m:t>
          </m:r>
          <m:r>
            <m:rPr>
              <m:sty m:val="i"/>
            </m:rPr>
            <m:t>(</m:t>
          </m:r>
          <m:r>
            <m:rPr>
              <m:sty m:val="i"/>
            </m:rPr>
            <m:t>s</m:t>
          </m:r>
          <m:r>
            <m:rPr>
              <m:sty m:val="i"/>
            </m:rPr>
            <m:t>(</m:t>
          </m:r>
          <m:r>
            <m:rPr>
              <m:sty m:val="i"/>
            </m:rPr>
            <m:t>t</m:t>
          </m:r>
          <m:r>
            <m:rPr>
              <m:sty m:val="i"/>
            </m:rPr>
            <m:t>)</m:t>
          </m:r>
          <m:r>
            <m:rPr>
              <m:sty m:val="i"/>
            </m:rPr>
            <m:t>,</m:t>
          </m:r>
          <m:r>
            <m:rPr>
              <m:sty m:val="i"/>
            </m:rPr>
            <m:t>a</m:t>
          </m:r>
          <m:r>
            <m:rPr>
              <m:sty m:val="i"/>
            </m:rPr>
            <m:t>(</m:t>
          </m:r>
          <m:r>
            <m:rPr>
              <m:sty m:val="i"/>
            </m:rPr>
            <m:t>t</m:t>
          </m:r>
          <m:r>
            <m:rPr>
              <m:sty m:val="i"/>
            </m:rPr>
            <m:t>)</m:t>
          </m:r>
          <m:r>
            <m:rPr>
              <m:sty m:val="i"/>
            </m:rPr>
            <m:t>)</m:t>
          </m:r>
          <m:r>
            <m:rPr>
              <m:sty m:val="i"/>
            </m:rPr>
            <m:t>]</m:t>
          </m:r>
        </m:oMath>
      </m:oMathPara>
      <w:r>
        <w:tab/>
      </w:r>
      <w:r>
        <w:rPr>
          <w:rFonts w:ascii="Times New Roman" w:hAnsi="Times New Roman" w:eastAsia="Times New Roman" w:cs="Times New Roman"/>
          <w:sz w:val="24"/>
          <w:szCs w:val="24"/>
        </w:rPr>
        <w:t>(17)</w:t>
      </w:r>
    </w:p>
    <w:p ns2:paraId="20074CB1">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minimized over the class of stationary policies π : {1, ..., S_max} → {0, 1}. The Bellman optimality equation for the average cost is</w:t>
      </w:r>
    </w:p>
    <w:p ns2:paraId="0562B875">
      <w:pPr>
        <w:pStyle w:val="10"/>
        <w:keepNext w:val="0"/>
        <w:keepLines w:val="0"/>
        <w:widowControl/>
        <w:suppressLineNumbers w:val="0"/>
        <w:jc w:val="center"/>
        <w:spacing w:line="360" w:lineRule="auto" w:before="120" w:after="120"/>
        <w:tabs>
          <w:tab w:val="center" w:pos="4680"/>
          <w:tab w:val="right" w:pos="9360"/>
        </w:tabs>
      </w:pPr>
      <w:r>
        <w:tab/>
      </w:r>
      <m:oMathPara>
        <m:oMath>
          <m:sSup>
            <m:e>
              <m:r>
                <m:rPr>
                  <m:sty m:val="i"/>
                </m:rPr>
                <m:t>g</m:t>
              </m:r>
            </m:e>
            <m:sup>
              <m:r>
                <m:rPr>
                  <m:sty m:val="i"/>
                </m:rPr>
                <m:t>*</m:t>
              </m:r>
            </m:sup>
          </m:sSup>
          <m:r>
            <m:rPr>
              <m:sty m:val="i"/>
            </m:rPr>
            <m:t>+</m:t>
          </m:r>
          <m:r>
            <m:rPr>
              <m:sty m:val="i"/>
            </m:rPr>
            <m:t>h</m:t>
          </m:r>
          <m:r>
            <m:rPr>
              <m:sty m:val="i"/>
            </m:rPr>
            <m:t>(</m:t>
          </m:r>
          <m:r>
            <m:rPr>
              <m:sty m:val="i"/>
            </m:rPr>
            <m:t>s</m:t>
          </m:r>
          <m:r>
            <m:rPr>
              <m:sty m:val="i"/>
            </m:rPr>
            <m:t>)</m:t>
          </m:r>
          <m:r>
            <m:rPr>
              <m:sty m:val="i"/>
            </m:rPr>
            <m:t>=</m:t>
          </m:r>
          <m:r>
            <m:rPr>
              <m:sty m:val="p"/>
            </m:rPr>
            <m:t>min</m:t>
          </m:r>
          <m:r>
            <m:rPr>
              <m:sty m:val="i"/>
            </m:rPr>
            <m:t>{</m:t>
          </m:r>
          <m:r>
            <m:rPr>
              <m:sty m:val="i"/>
            </m:rPr>
            <m:t>c</m:t>
          </m:r>
          <m:r>
            <m:rPr>
              <m:sty m:val="i"/>
            </m:rPr>
            <m:t>(</m:t>
          </m:r>
          <m:r>
            <m:rPr>
              <m:sty m:val="i"/>
            </m:rPr>
            <m:t>s</m:t>
          </m:r>
          <m:r>
            <m:rPr>
              <m:sty m:val="i"/>
            </m:rPr>
            <m:t>,</m:t>
          </m:r>
          <m:r>
            <m:rPr>
              <m:sty m:val="i"/>
            </m:rPr>
            <m:t>0</m:t>
          </m:r>
          <m:r>
            <m:rPr>
              <m:sty m:val="i"/>
            </m:rPr>
            <m:t>)</m:t>
          </m:r>
          <m:r>
            <m:rPr>
              <m:sty m:val="i"/>
            </m:rPr>
            <m:t>+</m:t>
          </m:r>
          <m:sSubSup>
            <m:e>
              <m:r>
                <m:rPr>
                  <m:sty m:val="i"/>
                </m:rPr>
                <m:t>∑</m:t>
              </m:r>
            </m:e>
            <m:sub>
              <m:r>
                <m:rPr>
                  <m:sty m:val="i"/>
                </m:rPr>
                <m:t>s</m:t>
              </m:r>
              <m:r>
                <m:rPr>
                  <m:sty m:val="i"/>
                </m:rPr>
                <m:t>'</m:t>
              </m:r>
              <m:r>
                <m:rPr>
                  <m:sty m:val="i"/>
                </m:rPr>
                <m:t>=</m:t>
              </m:r>
              <m:r>
                <m:rPr>
                  <m:sty m:val="i"/>
                </m:rPr>
                <m:t>1</m:t>
              </m:r>
            </m:sub>
            <m:sup>
              <m:sSub>
                <m:e>
                  <m:r>
                    <m:rPr>
                      <m:sty m:val="i"/>
                    </m:rPr>
                    <m:t>S</m:t>
                  </m:r>
                </m:e>
                <m:sub>
                  <m:r>
                    <m:rPr>
                      <m:sty m:val="p"/>
                    </m:rPr>
                    <m:t>max</m:t>
                  </m:r>
                </m:sub>
              </m:sSub>
            </m:sup>
          </m:sSubSup>
          <m:r>
            <m:rPr>
              <m:sty m:val="i"/>
            </m:rPr>
            <m:t>P</m:t>
          </m:r>
          <m:r>
            <m:rPr>
              <m:sty m:val="i"/>
            </m:rPr>
            <m:t>(</m:t>
          </m:r>
          <m:r>
            <m:rPr>
              <m:sty m:val="i"/>
            </m:rPr>
            <m:t>s</m:t>
          </m:r>
          <m:r>
            <m:rPr>
              <m:sty m:val="i"/>
            </m:rPr>
            <m:t>'</m:t>
          </m:r>
          <m:r>
            <m:rPr>
              <m:sty m:val="i"/>
            </m:rPr>
            <m:t>|</m:t>
          </m:r>
          <m:r>
            <m:rPr>
              <m:sty m:val="i"/>
            </m:rPr>
            <m:t xml:space="preserve"> </m:t>
          </m:r>
          <m:r>
            <m:rPr>
              <m:sty m:val="i"/>
            </m:rPr>
            <m:t>s</m:t>
          </m:r>
          <m:r>
            <m:rPr>
              <m:sty m:val="i"/>
            </m:rPr>
            <m:t>,</m:t>
          </m:r>
          <m:r>
            <m:rPr>
              <m:sty m:val="i"/>
            </m:rPr>
            <m:t>0</m:t>
          </m:r>
          <m:r>
            <m:rPr>
              <m:sty m:val="i"/>
            </m:rPr>
            <m:t>)</m:t>
          </m:r>
          <m:r>
            <m:rPr>
              <m:sty m:val="i"/>
            </m:rPr>
            <m:t>h</m:t>
          </m:r>
          <m:r>
            <m:rPr>
              <m:sty m:val="i"/>
            </m:rPr>
            <m:t>(</m:t>
          </m:r>
          <m:r>
            <m:rPr>
              <m:sty m:val="i"/>
            </m:rPr>
            <m:t>s</m:t>
          </m:r>
          <m:r>
            <m:rPr>
              <m:sty m:val="i"/>
            </m:rPr>
            <m:t>'</m:t>
          </m:r>
          <m:r>
            <m:rPr>
              <m:sty m:val="i"/>
            </m:rPr>
            <m:t>)</m:t>
          </m:r>
          <m:r>
            <m:rPr>
              <m:sty m:val="i"/>
            </m:rPr>
            <m:t>,</m:t>
          </m:r>
          <m:r>
            <m:rPr>
              <m:sty m:val="p"/>
            </m:rPr>
            <m:t xml:space="preserve"> </m:t>
          </m:r>
          <m:r>
            <m:rPr>
              <m:sty m:val="i"/>
            </m:rPr>
            <m:t xml:space="preserve"> </m:t>
          </m:r>
          <m:sSub>
            <m:e>
              <m:r>
                <m:rPr>
                  <m:sty m:val="i"/>
                </m:rPr>
                <m:t>K</m:t>
              </m:r>
            </m:e>
            <m:sub>
              <m:r>
                <m:rPr>
                  <m:sty m:val="i"/>
                </m:rPr>
                <m:t>p</m:t>
              </m:r>
            </m:sub>
          </m:sSub>
          <m:r>
            <m:rPr>
              <m:sty m:val="i"/>
            </m:rPr>
            <m:t>+</m:t>
          </m:r>
          <m:r>
            <m:rPr>
              <m:sty m:val="i"/>
            </m:rPr>
            <m:t>h</m:t>
          </m:r>
          <m:r>
            <m:rPr>
              <m:sty m:val="i"/>
            </m:rPr>
            <m:t>(</m:t>
          </m:r>
          <m:sSub>
            <m:e>
              <m:r>
                <m:rPr>
                  <m:sty m:val="i"/>
                </m:rPr>
                <m:t>s</m:t>
              </m:r>
            </m:e>
            <m:sub>
              <m:r>
                <m:rPr>
                  <m:sty m:val="p"/>
                </m:rPr>
                <m:t>reset</m:t>
              </m:r>
            </m:sub>
          </m:sSub>
          <m:r>
            <m:rPr>
              <m:sty m:val="i"/>
            </m:rPr>
            <m:t>)</m:t>
          </m:r>
          <m:r>
            <m:rPr>
              <m:sty m:val="i"/>
            </m:rPr>
            <m:t>}</m:t>
          </m:r>
        </m:oMath>
      </m:oMathPara>
      <w:r>
        <w:tab/>
      </w:r>
      <w:r>
        <w:rPr>
          <w:rFonts w:ascii="Times New Roman" w:hAnsi="Times New Roman" w:eastAsia="Times New Roman" w:cs="Times New Roman"/>
          <w:sz w:val="24"/>
          <w:szCs w:val="24"/>
        </w:rPr>
        <w:t>(18)</w:t>
      </w:r>
    </w:p>
    <w:p ns2:paraId="32C0335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with reference state h(s_reset) defined relative to the average cost g*. We solve (18) using relative value iteration (RVI) (Abounadi et al., 2001; Bertsekas, 1998; Howard, 1960; Puterman, 1994; Tijms, 2003) with sup-norm span convergence criterion 10⁻¹¹.</w:t>
      </w:r>
    </w:p>
    <w:p ns2:paraId="21FE19B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Threshold-policy restriction.</w:t>
      </w:r>
      <w:r>
        <w:rPr>
          <w:rFonts w:hint="default" w:ascii="Segoe UI" w:hAnsi="Segoe UI" w:eastAsia="Segoe UI" w:cs="Segoe UI"/>
          <w:i w:val="0"/>
          <w:iCs w:val="0"/>
          <w:caps w:val="0"/>
          <w:spacing w:val="0"/>
          <w:sz w:val="14"/>
          <w:szCs w:val="14"/>
          <w:shd w:val="clear" w:fill="FDFCFE"/>
        </w:rPr>
        <w:t> We do not establish threshold optimality of the unconstrained solution to (18). Instead, we </w:t>
      </w:r>
      <w:r>
        <w:rPr>
          <w:rStyle w:val="9"/>
          <w:rFonts w:hint="default" w:ascii="Segoe UI" w:hAnsi="Segoe UI" w:eastAsia="Segoe UI" w:cs="Segoe UI"/>
          <w:b/>
          <w:bCs/>
          <w:i w:val="0"/>
          <w:iCs w:val="0"/>
          <w:caps w:val="0"/>
          <w:spacing w:val="0"/>
          <w:sz w:val="14"/>
          <w:szCs w:val="14"/>
          <w:shd w:val="clear" w:fill="FDFCFE"/>
        </w:rPr>
        <w:t>restrict attention to the class of threshold policies</w:t>
      </w:r>
      <w:r>
        <w:rPr>
          <w:rFonts w:hint="default" w:ascii="Segoe UI" w:hAnsi="Segoe UI" w:eastAsia="Segoe UI" w:cs="Segoe UI"/>
          <w:i w:val="0"/>
          <w:iCs w:val="0"/>
          <w:caps w:val="0"/>
          <w:spacing w:val="0"/>
          <w:sz w:val="14"/>
          <w:szCs w:val="14"/>
          <w:shd w:val="clear" w:fill="FDFCFE"/>
        </w:rPr>
        <w:t> of the form π(s) = 1 if s ≤ s* and π(s) = 0 if s &gt; s*, parameterized by s* ∈ {0, 1, ..., S_max − 1}, and we compute the optimal threshold s* by exhaustive search. We verified by direct comparison with full-action RVI on a representative subset of configurations that the unrestricted optimum is a threshold policy in those cases; we report this as empirical evidence rather than a structural theorem. The threshold-policy class is therefore the primary object of our analysis, and "optimal threshold" throughout refers to the optimum within this class.</w:t>
      </w:r>
    </w:p>
    <w:p ns2:paraId="0D05F0E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For each candidate threshold s*, the average cost g(s*) is computed by RVI under the fixed threshold rule, with warm-starting from the value function of an adjacent threshold to accelerate convergence. The exhaustive search over s* ∈ {0, ..., s_reset − 1} is justified by Lemma 1 below; we comment on the search domain restriction following the lemma.</w:t>
      </w:r>
    </w:p>
    <w:p ns2:paraId="00BAF3C4">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5.2 Structural property: Lemma 1</w:t>
      </w:r>
    </w:p>
    <w:p ns2:paraId="08FAB4A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establish a conditional structural property of the optimal threshold within the threshold-policy class.</w:t>
      </w:r>
    </w:p>
    <w:p ns2:paraId="472E51A7">
      <w:pPr>
        <w:pStyle w:val="10"/>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i w:val="0"/>
          <w:iCs w:val="0"/>
          <w:caps w:val="0"/>
          <w:spacing w:val="0"/>
          <w:sz w:val="14"/>
          <w:szCs w:val="14"/>
        </w:rPr>
        <w:keepNext/>
      </w:pPr>
      <w:r>
        <w:rPr>
          <w:rFonts w:ascii="Times New Roman" w:hAnsi="Times New Roman" w:eastAsia="Times New Roman" w:cs="Times New Roman"/>
          <w:sz w:val="24"/>
          <w:szCs w:val="24"/>
          <w:b/>
        </w:rPr>
        <w:t>Lemma 1 (conditional). Let g_RTF denote the average cost of the threshold policy s* = 0 (run-to-failure). If g_RTF &lt; K_p, then any threshold policy with s* ≥ s_reset is strictly dominated by s* = 0, and the optimal threshold satisfies s* &lt; s_reset.</w:t>
      </w:r>
    </w:p>
    <w:p ns2:paraId="65CBCFA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Proof.</w:t>
      </w:r>
      <w:r>
        <w:rPr>
          <w:rFonts w:hint="default" w:ascii="Segoe UI" w:hAnsi="Segoe UI" w:eastAsia="Segoe UI" w:cs="Segoe UI"/>
          <w:i w:val="0"/>
          <w:iCs w:val="0"/>
          <w:caps w:val="0"/>
          <w:spacing w:val="0"/>
          <w:sz w:val="14"/>
          <w:szCs w:val="14"/>
          <w:shd w:val="clear" w:fill="FDFCFE"/>
        </w:rPr>
        <w:t> Consider any threshold s* ≥ s_reset. Immediately after a maintenance reset to s_reset, the threshold rule prescribes a second maintenance (since s_reset ≤ s*), returning the state to s_reset, triggering a third maintenance, and so on. The system enters a deterministic loop in which every period incurs the maintenance cost K_p, and continuation dynamics (1) are never executed. The long-run average cost under such a policy is exactly K_p, independent of the failure cost K_f and of the system parameters (p, λ, C). The run-to-failure policy s* = 0 has average cost g_RTF. Under the hypothesis g_RTF &lt; K_p, we therefore have g_RTF &lt; K_p ≤ g(s* ≥ s_reset), so any threshold s* ≥ s_reset is strictly dominated by s* = 0, and the optimal threshold lies in {0, 1, ..., s_reset − 1}. ∎</w:t>
      </w:r>
    </w:p>
    <w:p ns2:paraId="7869221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Discussion of the hypothesis.</w:t>
      </w:r>
      <w:r>
        <w:rPr>
          <w:rFonts w:hint="default" w:ascii="Segoe UI" w:hAnsi="Segoe UI" w:eastAsia="Segoe UI" w:cs="Segoe UI"/>
          <w:i w:val="0"/>
          <w:iCs w:val="0"/>
          <w:caps w:val="0"/>
          <w:spacing w:val="0"/>
          <w:sz w:val="14"/>
          <w:szCs w:val="14"/>
          <w:shd w:val="clear" w:fill="FDFCFE"/>
        </w:rPr>
        <w:t> The condition g_RTF &lt; K_p is equivalent to E[τ_RTF] &gt; K_f / K_p. It is </w:t>
      </w:r>
      <w:r>
        <w:rPr>
          <w:rStyle w:val="9"/>
          <w:rFonts w:hint="default" w:ascii="Segoe UI" w:hAnsi="Segoe UI" w:eastAsia="Segoe UI" w:cs="Segoe UI"/>
          <w:b/>
          <w:bCs/>
          <w:i w:val="0"/>
          <w:iCs w:val="0"/>
          <w:caps w:val="0"/>
          <w:spacing w:val="0"/>
          <w:sz w:val="14"/>
          <w:szCs w:val="14"/>
          <w:shd w:val="clear" w:fill="FDFCFE"/>
        </w:rPr>
        <w:t>not universal</w:t>
      </w:r>
      <w:r>
        <w:rPr>
          <w:rFonts w:hint="default" w:ascii="Segoe UI" w:hAnsi="Segoe UI" w:eastAsia="Segoe UI" w:cs="Segoe UI"/>
          <w:i w:val="0"/>
          <w:iCs w:val="0"/>
          <w:caps w:val="0"/>
          <w:spacing w:val="0"/>
          <w:sz w:val="14"/>
          <w:szCs w:val="14"/>
          <w:shd w:val="clear" w:fill="FDFCFE"/>
        </w:rPr>
        <w:t>: in configurations with very high failure cost ratio K_f/K_p combined with very short cycle time E[τ_RTF], the inequality may fail. Across the numerical configurations reported in Sections 5.4–5.6 and Section 6, we </w:t>
      </w:r>
      <w:r>
        <w:rPr>
          <w:rStyle w:val="9"/>
          <w:rFonts w:hint="default" w:ascii="Segoe UI" w:hAnsi="Segoe UI" w:eastAsia="Segoe UI" w:cs="Segoe UI"/>
          <w:b/>
          <w:bCs/>
          <w:i w:val="0"/>
          <w:iCs w:val="0"/>
          <w:caps w:val="0"/>
          <w:spacing w:val="0"/>
          <w:sz w:val="14"/>
          <w:szCs w:val="14"/>
          <w:shd w:val="clear" w:fill="FDFCFE"/>
        </w:rPr>
        <w:t>verify the condition empirically</w:t>
      </w:r>
      <w:r>
        <w:rPr>
          <w:rFonts w:hint="default" w:ascii="Segoe UI" w:hAnsi="Segoe UI" w:eastAsia="Segoe UI" w:cs="Segoe UI"/>
          <w:i w:val="0"/>
          <w:iCs w:val="0"/>
          <w:caps w:val="0"/>
          <w:spacing w:val="0"/>
          <w:sz w:val="14"/>
          <w:szCs w:val="14"/>
          <w:shd w:val="clear" w:fill="FDFCFE"/>
        </w:rPr>
        <w:t> for every configuration before reporting s*; in all cases reported, g_RTF &lt; K_p holds (numerical sanity-check in the code). In the few configurations near the failure-cost extremes where the condition is borderline, we also verify by direct comparison that no threshold s* ≥ s_reset improves on s* = 0. The lemma therefore justifies the exhaustive-search restriction s* ∈ {0, ..., s_reset − 1} used throughout, conditional on the verified hypothesis.</w:t>
      </w:r>
    </w:p>
    <w:p ns2:paraId="54020D7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The structural form s* &lt; s_reset is consistent with the control-limit results of van der Duyn Schouten and Vanneste (1995) and Kyriakidis and Dimitrakos (2006) for related buffer-and-maintenance MDPs.</w:t>
      </w:r>
    </w:p>
    <w:p ns2:paraId="1D9095E2">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5.3 Comparison with benchmarks</w:t>
      </w:r>
    </w:p>
    <w:p ns2:paraId="0A48BD4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compare the optimal threshold-class policy (CBM) against two structurally simpler benchmarks.</w:t>
      </w:r>
    </w:p>
    <w:p ns2:paraId="2C1817F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Run-to-failure (RTF)</w:t>
      </w:r>
      <w:r>
        <w:rPr>
          <w:rFonts w:hint="default" w:ascii="Segoe UI" w:hAnsi="Segoe UI" w:eastAsia="Segoe UI" w:cs="Segoe UI"/>
          <w:i w:val="0"/>
          <w:iCs w:val="0"/>
          <w:caps w:val="0"/>
          <w:spacing w:val="0"/>
          <w:sz w:val="14"/>
          <w:szCs w:val="14"/>
          <w:shd w:val="clear" w:fill="FDFCFE"/>
        </w:rPr>
        <w:t> corresponds to the threshold policy with s* = 0. The long-run average cost is g_RTF = K_f / E[τ], where E[τ] is the mean time to collapse from X₀ under continuation. RTF is contained in the threshold-policy class, so g_CBM ≤ g_RTF by construction.</w:t>
      </w:r>
    </w:p>
    <w:p ns2:paraId="69BB458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Age-based replacement (AB)</w:t>
      </w:r>
      <w:r>
        <w:rPr>
          <w:rFonts w:hint="default" w:ascii="Segoe UI" w:hAnsi="Segoe UI" w:eastAsia="Segoe UI" w:cs="Segoe UI"/>
          <w:i w:val="0"/>
          <w:iCs w:val="0"/>
          <w:caps w:val="0"/>
          <w:spacing w:val="0"/>
          <w:sz w:val="14"/>
          <w:szCs w:val="14"/>
          <w:shd w:val="clear" w:fill="FDFCFE"/>
        </w:rPr>
        <w:t> prescribes a preventive reset at a fixed age T, regardless of the current inventory state, with cost rate (14). We compute g_AB(T) exactly via forward propagation of the survival function, on the grid T ∈ {1, 2, ..., 5000}. We classify a configuration as </w:t>
      </w:r>
      <w:r>
        <w:rPr>
          <w:rStyle w:val="9"/>
          <w:rFonts w:hint="default" w:ascii="Segoe UI" w:hAnsi="Segoe UI" w:eastAsia="Segoe UI" w:cs="Segoe UI"/>
          <w:b/>
          <w:bCs/>
          <w:i w:val="0"/>
          <w:iCs w:val="0"/>
          <w:caps w:val="0"/>
          <w:spacing w:val="0"/>
          <w:sz w:val="14"/>
          <w:szCs w:val="14"/>
          <w:shd w:val="clear" w:fill="FDFCFE"/>
        </w:rPr>
        <w:t>boundary-divergent</w:t>
      </w:r>
      <w:r>
        <w:rPr>
          <w:rFonts w:hint="default" w:ascii="Segoe UI" w:hAnsi="Segoe UI" w:eastAsia="Segoe UI" w:cs="Segoe UI"/>
          <w:i w:val="0"/>
          <w:iCs w:val="0"/>
          <w:caps w:val="0"/>
          <w:spacing w:val="0"/>
          <w:sz w:val="14"/>
          <w:szCs w:val="14"/>
          <w:shd w:val="clear" w:fill="FDFCFE"/>
        </w:rPr>
        <w:t> if the numerical argmin of g_AB(T) is within 5 periods of T_max = 5000; in these cases we report g_AB^opt = g_RTF (since lim_{T→∞} g_AB(T) = g_RTF and the grid optimum has not yet stabilized).</w:t>
      </w:r>
    </w:p>
    <w:p ns2:paraId="5585FD3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Three structural relationships hold by construction or by direct verification:</w:t>
      </w:r>
    </w:p>
    <w:p ns2:paraId="082B0084">
      <w:pPr>
        <w:keepNext w:val="0"/>
        <w:keepLines w:val="0"/>
        <w:widowControl/>
        <w:numPr>
          <w:ilvl w:val="0"/>
          <w:numId w:val="1"/>
        </w:numPr>
        <w:suppressLineNumbers w:val="0"/>
        <w:spacing w:before="0" w:beforeAutospacing="0" w:after="0" w:afterAutospacing="0" w:line="480" w:lineRule="auto"/>
        <w:ind w:left="0" w:hanging="360"/>
      </w:pPr>
      <w:r>
        <w:rPr>
          <w:rFonts w:hint="default" w:ascii="Segoe UI" w:hAnsi="Segoe UI" w:eastAsia="Segoe UI" w:cs="Segoe UI"/>
          <w:i w:val="0"/>
          <w:iCs w:val="0"/>
          <w:caps w:val="0"/>
          <w:spacing w:val="0"/>
          <w:sz w:val="14"/>
          <w:szCs w:val="14"/>
          <w:bdr w:val="none" w:color="auto" w:sz="0" w:space="0"/>
          <w:shd w:val="clear" w:fill="FDFCFE"/>
        </w:rPr>
        <w:t>g_CBM ≤ g_RTF (threshold-policy nesting).</w:t>
      </w:r>
    </w:p>
    <w:p ns2:paraId="05D10F5F">
      <w:pPr>
        <w:keepNext w:val="0"/>
        <w:keepLines w:val="0"/>
        <w:widowControl/>
        <w:numPr>
          <w:ilvl w:val="0"/>
          <w:numId w:val="1"/>
        </w:numPr>
        <w:suppressLineNumbers w:val="0"/>
        <w:spacing w:before="0" w:beforeAutospacing="0" w:after="0" w:afterAutospacing="0" w:line="480" w:lineRule="auto"/>
        <w:ind w:left="0" w:hanging="360"/>
      </w:pPr>
      <w:r>
        <w:rPr>
          <w:rFonts w:hint="default" w:ascii="Segoe UI" w:hAnsi="Segoe UI" w:eastAsia="Segoe UI" w:cs="Segoe UI"/>
          <w:i w:val="0"/>
          <w:iCs w:val="0"/>
          <w:caps w:val="0"/>
          <w:spacing w:val="0"/>
          <w:sz w:val="14"/>
          <w:szCs w:val="14"/>
          <w:bdr w:val="none" w:color="auto" w:sz="0" w:space="0"/>
          <w:shd w:val="clear" w:fill="FDFCFE"/>
        </w:rPr>
        <w:t>lim_{T→∞} g_AB(T) = g_RTF (verified numerically: at T = 5000, |g_AB(T) − g_RTF| / g_RTF &lt; 0.01% in all configurations).</w:t>
      </w:r>
    </w:p>
    <w:p ns2:paraId="7C013A0B">
      <w:pPr>
        <w:keepNext w:val="0"/>
        <w:keepLines w:val="0"/>
        <w:widowControl/>
        <w:numPr>
          <w:ilvl w:val="0"/>
          <w:numId w:val="1"/>
        </w:numPr>
        <w:suppressLineNumbers w:val="0"/>
        <w:spacing w:before="0" w:beforeAutospacing="0" w:after="0" w:afterAutospacing="0" w:line="480" w:lineRule="auto"/>
        <w:ind w:left="0" w:hanging="360"/>
      </w:pPr>
      <w:r>
        <w:t>When the cycle-collapse distribution is DFR, g_AB(T) is monotone decreasing in T and the optimum is achieved at T = ∞, with g_AB^opt = g_RTF.</w:t>
      </w:r>
    </w:p>
    <w:p ns2:paraId="4CD7109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empirical comparison across the operating grid is detailed in Section 6.3.</w:t>
      </w:r>
    </w:p>
    <w:p ns2:paraId="14FE77F1">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5.4 Sensitivity analysis</w:t>
      </w:r>
    </w:p>
    <w:p ns2:paraId="032ACEF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examine the sensitivity of the optimal threshold and the cost reduction to the failure-to-maintenance cost ratio K_f / K_p, holding the operating point fixed at p = 0.15, λ/C = 0.80 (δ = 5). All cost numbers are reported in absolute units, with K_p = 10. Table 4 reports the results.</w:t>
      </w:r>
    </w:p>
    <w:p ns2:paraId="23D80B9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4.</w:t>
      </w:r>
      <w:r>
        <w:rPr>
          <w:rFonts w:hint="default" w:ascii="Segoe UI" w:hAnsi="Segoe UI" w:eastAsia="Segoe UI" w:cs="Segoe UI"/>
          <w:i w:val="0"/>
          <w:iCs w:val="0"/>
          <w:caps w:val="0"/>
          <w:spacing w:val="0"/>
          <w:sz w:val="14"/>
          <w:szCs w:val="14"/>
          <w:shd w:val="clear" w:fill="FDFCFE"/>
        </w:rPr>
        <w:t> Cost-ratio sensitivity at p = 0.15, λ/C = 0.80, δ = 5. Costs are absolute (K_p = 10). T*_AB denotes the numerical argmin of g_AB(T) over T ∈ {1, ..., 5000}.</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4"/>
        <w:gridCol w:w="314"/>
        <w:gridCol w:w="845"/>
        <w:gridCol w:w="845"/>
        <w:gridCol w:w="1120"/>
        <w:gridCol w:w="717"/>
        <w:gridCol w:w="2195"/>
      </w:tblGrid>
      <w:tr ns2:paraId="25C448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0CD2DC09">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K_f / K_p</w:t>
            </w:r>
          </w:p>
        </w:tc>
        <w:tc>
          <w:tcPr>
            <w:tcW w:w="0" w:type="auto"/>
            <w:shd w:val="clear"/>
            <w:tcMar>
              <w:bottom w:w="140" w:type="dxa"/>
            </w:tcMar>
            <w:vAlign w:val="bottom"/>
          </w:tcPr>
          <w:p ns2:paraId="4B141D5C">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w:t>
            </w:r>
          </w:p>
        </w:tc>
        <w:tc>
          <w:tcPr>
            <w:tcW w:w="0" w:type="auto"/>
            <w:shd w:val="clear"/>
            <w:tcMar>
              <w:bottom w:w="140" w:type="dxa"/>
            </w:tcMar>
            <w:vAlign w:val="bottom"/>
          </w:tcPr>
          <w:p ns2:paraId="4F3A8D27">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g_CBM</w:t>
            </w:r>
          </w:p>
        </w:tc>
        <w:tc>
          <w:tcPr>
            <w:tcW w:w="0" w:type="auto"/>
            <w:shd w:val="clear"/>
            <w:tcMar>
              <w:bottom w:w="140" w:type="dxa"/>
            </w:tcMar>
            <w:vAlign w:val="bottom"/>
          </w:tcPr>
          <w:p ns2:paraId="1493EF99">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g_RTF</w:t>
            </w:r>
          </w:p>
        </w:tc>
        <w:tc>
          <w:tcPr>
            <w:tcW w:w="0" w:type="auto"/>
            <w:shd w:val="clear"/>
            <w:tcMar>
              <w:bottom w:w="140" w:type="dxa"/>
            </w:tcMar>
            <w:vAlign w:val="bottom"/>
          </w:tcPr>
          <w:p ns2:paraId="0EA7EDE9">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g_AB^opt</w:t>
            </w:r>
          </w:p>
        </w:tc>
        <w:tc>
          <w:tcPr>
            <w:tcW w:w="0" w:type="auto"/>
            <w:shd w:val="clear"/>
            <w:tcMar>
              <w:bottom w:w="140" w:type="dxa"/>
            </w:tcMar>
            <w:vAlign w:val="bottom"/>
          </w:tcPr>
          <w:p ns2:paraId="1A28E7F7">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T*_AB</w:t>
            </w:r>
          </w:p>
        </w:tc>
        <w:tc>
          <w:tcPr>
            <w:tcW w:w="0" w:type="auto"/>
            <w:shd w:val="clear"/>
            <w:tcMar>
              <w:bottom w:w="140" w:type="dxa"/>
            </w:tcMar>
            <w:vAlign w:val="bottom"/>
          </w:tcPr>
          <w:p ns2:paraId="0B98FD8D">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Gain over AB^opt</w:t>
            </w:r>
          </w:p>
        </w:tc>
      </w:tr>
      <w:tr ns2:paraId="665FFC3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790E69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2D053BA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1C54CB2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1.339</w:t>
            </w:r>
          </w:p>
        </w:tc>
        <w:tc>
          <w:tcPr>
            <w:tcW w:w="0" w:type="auto"/>
            <w:shd w:val="clear"/>
            <w:tcMar>
              <w:top w:w="140" w:type="dxa"/>
              <w:bottom w:w="140" w:type="dxa"/>
            </w:tcMar>
            <w:vAlign w:val="top"/>
          </w:tcPr>
          <w:p ns2:paraId="54154AD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1.372</w:t>
            </w:r>
          </w:p>
        </w:tc>
        <w:tc>
          <w:tcPr>
            <w:tcW w:w="0" w:type="auto"/>
            <w:shd w:val="clear"/>
            <w:tcMar>
              <w:top w:w="140" w:type="dxa"/>
              <w:bottom w:w="140" w:type="dxa"/>
            </w:tcMar>
            <w:vAlign w:val="top"/>
          </w:tcPr>
          <w:p ns2:paraId="4919B1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1.372</w:t>
            </w:r>
          </w:p>
        </w:tc>
        <w:tc>
          <w:tcPr>
            <w:tcW w:w="0" w:type="auto"/>
            <w:shd w:val="clear"/>
            <w:tcMar>
              <w:top w:w="140" w:type="dxa"/>
              <w:bottom w:w="140" w:type="dxa"/>
            </w:tcMar>
            <w:vAlign w:val="top"/>
          </w:tcPr>
          <w:p ns2:paraId="3A4A39B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1683†</w:t>
            </w:r>
          </w:p>
        </w:tc>
        <w:tc>
          <w:tcPr>
            <w:tcW w:w="0" w:type="auto"/>
            <w:shd w:val="clear"/>
            <w:tcMar>
              <w:top w:w="140" w:type="dxa"/>
              <w:bottom w:w="140" w:type="dxa"/>
            </w:tcMar>
            <w:vAlign w:val="top"/>
          </w:tcPr>
          <w:p ns2:paraId="1F8C7BB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r>
      <w:tr ns2:paraId="5F0261B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0E7B1D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1D62D66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06CCA3D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2.458</w:t>
            </w:r>
          </w:p>
        </w:tc>
        <w:tc>
          <w:tcPr>
            <w:tcW w:w="0" w:type="auto"/>
            <w:shd w:val="clear"/>
            <w:tcMar>
              <w:top w:w="140" w:type="dxa"/>
              <w:bottom w:w="140" w:type="dxa"/>
            </w:tcMar>
            <w:vAlign w:val="top"/>
          </w:tcPr>
          <w:p ns2:paraId="241D15B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2.745</w:t>
            </w:r>
          </w:p>
        </w:tc>
        <w:tc>
          <w:tcPr>
            <w:tcW w:w="0" w:type="auto"/>
            <w:shd w:val="clear"/>
            <w:tcMar>
              <w:top w:w="140" w:type="dxa"/>
              <w:bottom w:w="140" w:type="dxa"/>
            </w:tcMar>
            <w:vAlign w:val="top"/>
          </w:tcPr>
          <w:p ns2:paraId="58AE7E6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2.745</w:t>
            </w:r>
          </w:p>
        </w:tc>
        <w:tc>
          <w:tcPr>
            <w:tcW w:w="0" w:type="auto"/>
            <w:shd w:val="clear"/>
            <w:tcMar>
              <w:top w:w="140" w:type="dxa"/>
              <w:bottom w:w="140" w:type="dxa"/>
            </w:tcMar>
            <w:vAlign w:val="top"/>
          </w:tcPr>
          <w:p ns2:paraId="29128E6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1683†</w:t>
            </w:r>
          </w:p>
        </w:tc>
        <w:tc>
          <w:tcPr>
            <w:tcW w:w="0" w:type="auto"/>
            <w:shd w:val="clear"/>
            <w:tcMar>
              <w:top w:w="140" w:type="dxa"/>
              <w:bottom w:w="140" w:type="dxa"/>
            </w:tcMar>
            <w:vAlign w:val="top"/>
          </w:tcPr>
          <w:p ns2:paraId="101EBBA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10.4%</w:t>
            </w:r>
          </w:p>
        </w:tc>
      </w:tr>
      <w:tr ns2:paraId="6DA3F4B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662D19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27BAE23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45</w:t>
            </w:r>
          </w:p>
        </w:tc>
        <w:tc>
          <w:tcPr>
            <w:tcW w:w="0" w:type="auto"/>
            <w:shd w:val="clear"/>
            <w:tcMar>
              <w:top w:w="140" w:type="dxa"/>
              <w:bottom w:w="140" w:type="dxa"/>
            </w:tcMar>
            <w:vAlign w:val="top"/>
          </w:tcPr>
          <w:p ns2:paraId="279AF36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4.599</w:t>
            </w:r>
          </w:p>
        </w:tc>
        <w:tc>
          <w:tcPr>
            <w:tcW w:w="0" w:type="auto"/>
            <w:shd w:val="clear"/>
            <w:tcMar>
              <w:top w:w="140" w:type="dxa"/>
              <w:bottom w:w="140" w:type="dxa"/>
            </w:tcMar>
            <w:vAlign w:val="top"/>
          </w:tcPr>
          <w:p ns2:paraId="3DFCC2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5.489</w:t>
            </w:r>
          </w:p>
        </w:tc>
        <w:tc>
          <w:tcPr>
            <w:tcW w:w="0" w:type="auto"/>
            <w:shd w:val="clear"/>
            <w:tcMar>
              <w:top w:w="140" w:type="dxa"/>
              <w:bottom w:w="140" w:type="dxa"/>
            </w:tcMar>
            <w:vAlign w:val="top"/>
          </w:tcPr>
          <w:p ns2:paraId="450BF09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5.489</w:t>
            </w:r>
          </w:p>
        </w:tc>
        <w:tc>
          <w:tcPr>
            <w:tcW w:w="0" w:type="auto"/>
            <w:shd w:val="clear"/>
            <w:tcMar>
              <w:top w:w="140" w:type="dxa"/>
              <w:bottom w:w="140" w:type="dxa"/>
            </w:tcMar>
            <w:vAlign w:val="top"/>
          </w:tcPr>
          <w:p ns2:paraId="4DBB825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1683†</w:t>
            </w:r>
          </w:p>
        </w:tc>
        <w:tc>
          <w:tcPr>
            <w:tcW w:w="0" w:type="auto"/>
            <w:shd w:val="clear"/>
            <w:tcMar>
              <w:top w:w="140" w:type="dxa"/>
              <w:bottom w:w="140" w:type="dxa"/>
            </w:tcMar>
            <w:vAlign w:val="top"/>
          </w:tcPr>
          <w:p ns2:paraId="022B462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16.2%</w:t>
            </w:r>
          </w:p>
        </w:tc>
      </w:tr>
      <w:tr ns2:paraId="42AAE6D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E5B77C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50</w:t>
            </w:r>
          </w:p>
        </w:tc>
        <w:tc>
          <w:tcPr>
            <w:tcW w:w="0" w:type="auto"/>
            <w:shd w:val="clear"/>
            <w:tcMar>
              <w:top w:w="140" w:type="dxa"/>
              <w:bottom w:w="140" w:type="dxa"/>
            </w:tcMar>
            <w:vAlign w:val="top"/>
          </w:tcPr>
          <w:p ns2:paraId="7FC2AAC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49</w:t>
            </w:r>
          </w:p>
        </w:tc>
        <w:tc>
          <w:tcPr>
            <w:tcW w:w="0" w:type="auto"/>
            <w:shd w:val="clear"/>
            <w:tcMar>
              <w:top w:w="140" w:type="dxa"/>
              <w:bottom w:w="140" w:type="dxa"/>
            </w:tcMar>
            <w:vAlign w:val="top"/>
          </w:tcPr>
          <w:p ns2:paraId="7DDD3A8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10.952</w:t>
            </w:r>
          </w:p>
        </w:tc>
        <w:tc>
          <w:tcPr>
            <w:tcW w:w="0" w:type="auto"/>
            <w:shd w:val="clear"/>
            <w:tcMar>
              <w:top w:w="140" w:type="dxa"/>
              <w:bottom w:w="140" w:type="dxa"/>
            </w:tcMar>
            <w:vAlign w:val="top"/>
          </w:tcPr>
          <w:p ns2:paraId="019B9D7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13.723</w:t>
            </w:r>
          </w:p>
        </w:tc>
        <w:tc>
          <w:tcPr>
            <w:tcW w:w="0" w:type="auto"/>
            <w:shd w:val="clear"/>
            <w:tcMar>
              <w:top w:w="140" w:type="dxa"/>
              <w:bottom w:w="140" w:type="dxa"/>
            </w:tcMar>
            <w:vAlign w:val="top"/>
          </w:tcPr>
          <w:p ns2:paraId="35C764E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13.723</w:t>
            </w:r>
          </w:p>
        </w:tc>
        <w:tc>
          <w:tcPr>
            <w:tcW w:w="0" w:type="auto"/>
            <w:shd w:val="clear"/>
            <w:tcMar>
              <w:top w:w="140" w:type="dxa"/>
              <w:bottom w:w="140" w:type="dxa"/>
            </w:tcMar>
            <w:vAlign w:val="top"/>
          </w:tcPr>
          <w:p ns2:paraId="2DBEE38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1683†</w:t>
            </w:r>
          </w:p>
        </w:tc>
        <w:tc>
          <w:tcPr>
            <w:tcW w:w="0" w:type="auto"/>
            <w:shd w:val="clear"/>
            <w:tcMar>
              <w:top w:w="140" w:type="dxa"/>
              <w:bottom w:w="140" w:type="dxa"/>
            </w:tcMar>
            <w:vAlign w:val="top"/>
          </w:tcPr>
          <w:p ns2:paraId="5D90EF8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20.2%</w:t>
            </w:r>
          </w:p>
        </w:tc>
      </w:tr>
      <w:tr ns2:paraId="7E1232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991E88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w:t>
            </w:r>
          </w:p>
        </w:tc>
        <w:tc>
          <w:tcPr>
            <w:tcW w:w="0" w:type="auto"/>
            <w:shd w:val="clear"/>
            <w:tcMar>
              <w:top w:w="140" w:type="dxa"/>
              <w:bottom w:w="140" w:type="dxa"/>
            </w:tcMar>
            <w:vAlign w:val="top"/>
          </w:tcPr>
          <w:p ns2:paraId="4D46602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49</w:t>
            </w:r>
          </w:p>
        </w:tc>
        <w:tc>
          <w:tcPr>
            <w:tcW w:w="0" w:type="auto"/>
            <w:shd w:val="clear"/>
            <w:tcMar>
              <w:top w:w="140" w:type="dxa"/>
              <w:bottom w:w="140" w:type="dxa"/>
            </w:tcMar>
            <w:vAlign w:val="top"/>
          </w:tcPr>
          <w:p ns2:paraId="6DFDC7F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21.529</w:t>
            </w:r>
          </w:p>
        </w:tc>
        <w:tc>
          <w:tcPr>
            <w:tcW w:w="0" w:type="auto"/>
            <w:shd w:val="clear"/>
            <w:tcMar>
              <w:top w:w="140" w:type="dxa"/>
              <w:bottom w:w="140" w:type="dxa"/>
            </w:tcMar>
            <w:vAlign w:val="top"/>
          </w:tcPr>
          <w:p ns2:paraId="55D8F83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27.446</w:t>
            </w:r>
          </w:p>
        </w:tc>
        <w:tc>
          <w:tcPr>
            <w:tcW w:w="0" w:type="auto"/>
            <w:shd w:val="clear"/>
            <w:tcMar>
              <w:top w:w="140" w:type="dxa"/>
              <w:bottom w:w="140" w:type="dxa"/>
            </w:tcMar>
            <w:vAlign w:val="top"/>
          </w:tcPr>
          <w:p ns2:paraId="2B79158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27.446</w:t>
            </w:r>
          </w:p>
        </w:tc>
        <w:tc>
          <w:tcPr>
            <w:tcW w:w="0" w:type="auto"/>
            <w:shd w:val="clear"/>
            <w:tcMar>
              <w:top w:w="140" w:type="dxa"/>
              <w:bottom w:w="140" w:type="dxa"/>
            </w:tcMar>
            <w:vAlign w:val="top"/>
          </w:tcPr>
          <w:p ns2:paraId="268CD7F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1683†</w:t>
            </w:r>
          </w:p>
        </w:tc>
        <w:tc>
          <w:tcPr>
            <w:tcW w:w="0" w:type="auto"/>
            <w:shd w:val="clear"/>
            <w:tcMar>
              <w:top w:w="140" w:type="dxa"/>
              <w:bottom w:w="140" w:type="dxa"/>
            </w:tcMar>
            <w:vAlign w:val="top"/>
          </w:tcPr>
          <w:p ns2:paraId="53179E2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21.6%</w:t>
            </w:r>
          </w:p>
        </w:tc>
      </w:tr>
    </w:tbl>
    <w:p ns2:paraId="7A1A026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 The reported argmin T</w:t>
      </w:r>
      <w:r>
        <w:rPr>
          <w:rStyle w:val="7"/>
          <w:rFonts w:hint="default" w:ascii="Segoe UI" w:hAnsi="Segoe UI" w:eastAsia="Segoe UI" w:cs="Segoe UI"/>
          <w:i w:val="0"/>
          <w:iCs w:val="0"/>
          <w:caps w:val="0"/>
          <w:spacing w:val="0"/>
          <w:sz w:val="14"/>
          <w:szCs w:val="14"/>
          <w:shd w:val="clear" w:fill="FDFCFE"/>
        </w:rPr>
        <w:t>_AB is identical across all five cost ratios. This reflects the </w:t>
      </w:r>
      <w:r>
        <w:rPr>
          <w:rStyle w:val="9"/>
          <w:rFonts w:hint="default" w:ascii="Segoe UI" w:hAnsi="Segoe UI" w:eastAsia="Segoe UI" w:cs="Segoe UI"/>
          <w:b/>
          <w:bCs/>
          <w:i w:val="0"/>
          <w:iCs w:val="0"/>
          <w:caps w:val="0"/>
          <w:spacing w:val="0"/>
          <w:sz w:val="14"/>
          <w:szCs w:val="14"/>
          <w:shd w:val="clear" w:fill="FDFCFE"/>
        </w:rPr>
        <w:t>flatness of g_AB(T) near its minimum</w:t>
      </w:r>
      <w:r>
        <w:rPr>
          <w:rStyle w:val="7"/>
          <w:rFonts w:hint="default" w:ascii="Segoe UI" w:hAnsi="Segoe UI" w:eastAsia="Segoe UI" w:cs="Segoe UI"/>
          <w:i w:val="0"/>
          <w:iCs w:val="0"/>
          <w:caps w:val="0"/>
          <w:spacing w:val="0"/>
          <w:sz w:val="14"/>
          <w:szCs w:val="14"/>
          <w:shd w:val="clear" w:fill="FDFCFE"/>
        </w:rPr>
        <w:t>: across this configuration, the relative range of g_AB(T) within ±100 periods of T</w:t>
      </w:r>
      <w:r>
        <w:rPr>
          <w:rFonts w:hint="default" w:ascii="Segoe UI" w:hAnsi="Segoe UI" w:eastAsia="Segoe UI" w:cs="Segoe UI"/>
          <w:i w:val="0"/>
          <w:iCs w:val="0"/>
          <w:caps w:val="0"/>
          <w:spacing w:val="0"/>
          <w:sz w:val="14"/>
          <w:szCs w:val="14"/>
          <w:shd w:val="clear" w:fill="FDFCFE"/>
        </w:rPr>
        <w:t>_AB is below 10⁻¹⁴ (machine precision for double-precision arithmetic). The minimum is therefore not economically distinguishable from any nearby T, and at this scale the age-based optimum is effectively degenerate. The economically meaningful comparison statistic is g_AB^opt; T*_AB is reported only for completeness.</w:t>
      </w:r>
    </w:p>
    <w:p ns2:paraId="33E257A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Three observations follow.</w:t>
      </w:r>
    </w:p>
    <w:p ns2:paraId="44CB88E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First, the optimal threshold s* increases monotonically with the cost ratio, from 20 at K_f/K_p = 5 to 49 at K_f/K_p = 100, approaching but not exceeding s_reset − 1 = 49, consistent with Lemma 1.</w:t>
      </w:r>
    </w:p>
    <w:p ns2:paraId="38EAF8B3">
      <w:pPr>
        <w:pStyle w:val="10"/>
        <w:keepNext w:val="0"/>
        <w:keepLines w:val="0"/>
        <w:widowControl/>
        <w:suppressLineNumbers w:val="0"/>
        <w:shd w:val="clear" w:fill="FDFCFE"/>
        <w:spacing w:before="0" w:beforeAutospacing="0" w:after="0" w:afterAutospacing="0" w:line="480" w:lineRule="auto"/>
        <w:ind w:left="0" w:right="0" w:firstLine="0"/>
        <w:rPr>
          <w:rFonts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Second, the cost reduction of CBM over the age-based optimum grows substantially with the cost ratio, from 2.5% at K_f/K_p = 5 to 21.6% at K_f/K_p = 100. The benefit of condition-based monitoring is most pronounced precisely in the operating regimes where reliability matters most economically.</w:t>
      </w:r>
    </w:p>
    <w:p ns2:paraId="30B2F89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Third, since g_AB^opt = g_RTF in this configuration (the age-based optimum coincides with run-to-failure due to flatness), the gain over RTF equals the gain over AB^opt. This is itself a manifestation of the DFR-economic signature: in this regime, age-based replacement provides no economic benefit over RTF, and the genuine policy improvement comes from condition-based monitoring.</w:t>
      </w:r>
    </w:p>
    <w:p ns2:paraId="3A0FEA5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threshold curve s*(p, δ) over the full feasible grid is reported in Table 5 and exhibits the expected qualitative structure: s* increases monotonically with p (more frequent disruptions justify higher thresholds) and decreases with δ (larger stability margins reduce the need for preventive intervention).</w:t>
      </w:r>
    </w:p>
    <w:p ns2:paraId="726674B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5.</w:t>
      </w:r>
      <w:r>
        <w:rPr>
          <w:rFonts w:hint="default" w:ascii="Segoe UI" w:hAnsi="Segoe UI" w:eastAsia="Segoe UI" w:cs="Segoe UI"/>
          <w:i w:val="0"/>
          <w:iCs w:val="0"/>
          <w:caps w:val="0"/>
          <w:spacing w:val="0"/>
          <w:sz w:val="14"/>
          <w:szCs w:val="14"/>
          <w:shd w:val="clear" w:fill="FDFCFE"/>
        </w:rPr>
        <w:t> Optimal threshold s*(p, λ/C) over the feasible operating grid (K_f/K_p = 10, K_p = 10).</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8"/>
        <w:gridCol w:w="920"/>
        <w:gridCol w:w="920"/>
        <w:gridCol w:w="920"/>
        <w:gridCol w:w="920"/>
        <w:gridCol w:w="921"/>
        <w:gridCol w:w="921"/>
      </w:tblGrid>
      <w:tr ns2:paraId="29D10D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0E23468C">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p \ λ/C</w:t>
            </w:r>
          </w:p>
        </w:tc>
        <w:tc>
          <w:tcPr>
            <w:tcW w:w="0" w:type="auto"/>
            <w:shd w:val="clear"/>
            <w:tcMar>
              <w:bottom w:w="140" w:type="dxa"/>
            </w:tcMar>
            <w:vAlign w:val="bottom"/>
          </w:tcPr>
          <w:p ns2:paraId="7A84BB45">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0.60</w:t>
            </w:r>
          </w:p>
        </w:tc>
        <w:tc>
          <w:tcPr>
            <w:tcW w:w="0" w:type="auto"/>
            <w:shd w:val="clear"/>
            <w:tcMar>
              <w:bottom w:w="140" w:type="dxa"/>
            </w:tcMar>
            <w:vAlign w:val="bottom"/>
          </w:tcPr>
          <w:p ns2:paraId="4B4D244A">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0.70</w:t>
            </w:r>
          </w:p>
        </w:tc>
        <w:tc>
          <w:tcPr>
            <w:tcW w:w="0" w:type="auto"/>
            <w:shd w:val="clear"/>
            <w:tcMar>
              <w:bottom w:w="140" w:type="dxa"/>
            </w:tcMar>
            <w:vAlign w:val="bottom"/>
          </w:tcPr>
          <w:p ns2:paraId="42595F71">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0.75</w:t>
            </w:r>
          </w:p>
        </w:tc>
        <w:tc>
          <w:tcPr>
            <w:tcW w:w="0" w:type="auto"/>
            <w:shd w:val="clear"/>
            <w:tcMar>
              <w:bottom w:w="140" w:type="dxa"/>
            </w:tcMar>
            <w:vAlign w:val="bottom"/>
          </w:tcPr>
          <w:p ns2:paraId="6F0E8C05">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0.80</w:t>
            </w:r>
          </w:p>
        </w:tc>
        <w:tc>
          <w:tcPr>
            <w:tcW w:w="0" w:type="auto"/>
            <w:shd w:val="clear"/>
            <w:tcMar>
              <w:bottom w:w="140" w:type="dxa"/>
            </w:tcMar>
            <w:vAlign w:val="bottom"/>
          </w:tcPr>
          <w:p ns2:paraId="46DC7840">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0.85</w:t>
            </w:r>
          </w:p>
        </w:tc>
        <w:tc>
          <w:tcPr>
            <w:tcW w:w="0" w:type="auto"/>
            <w:shd w:val="clear"/>
            <w:tcMar>
              <w:bottom w:w="140" w:type="dxa"/>
            </w:tcMar>
            <w:vAlign w:val="bottom"/>
          </w:tcPr>
          <w:p ns2:paraId="249543E0">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0.90</w:t>
            </w:r>
          </w:p>
        </w:tc>
      </w:tr>
      <w:tr ns2:paraId="656B1A3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929165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36CF329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2FAB378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4FBAFD6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15B172E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w:t>
            </w:r>
          </w:p>
        </w:tc>
        <w:tc>
          <w:tcPr>
            <w:tcW w:w="0" w:type="auto"/>
            <w:shd w:val="clear"/>
            <w:tcMar>
              <w:top w:w="140" w:type="dxa"/>
              <w:bottom w:w="140" w:type="dxa"/>
            </w:tcMar>
            <w:vAlign w:val="top"/>
          </w:tcPr>
          <w:p ns2:paraId="761556B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17</w:t>
            </w:r>
          </w:p>
        </w:tc>
        <w:tc>
          <w:tcPr>
            <w:tcW w:w="0" w:type="auto"/>
            <w:shd w:val="clear"/>
            <w:tcMar>
              <w:top w:w="140" w:type="dxa"/>
              <w:bottom w:w="140" w:type="dxa"/>
            </w:tcMar>
            <w:vAlign w:val="top"/>
          </w:tcPr>
          <w:p ns2:paraId="11E88EB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w:t>
            </w:r>
          </w:p>
        </w:tc>
      </w:tr>
      <w:tr ns2:paraId="672F205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3451D7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1FD695B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w:t>
            </w:r>
          </w:p>
        </w:tc>
        <w:tc>
          <w:tcPr>
            <w:tcW w:w="0" w:type="auto"/>
            <w:shd w:val="clear"/>
            <w:tcMar>
              <w:top w:w="140" w:type="dxa"/>
              <w:bottom w:w="140" w:type="dxa"/>
            </w:tcMar>
            <w:vAlign w:val="top"/>
          </w:tcPr>
          <w:p ns2:paraId="37D0158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65ED532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shd w:val="clear"/>
            <w:tcMar>
              <w:top w:w="140" w:type="dxa"/>
              <w:bottom w:w="140" w:type="dxa"/>
            </w:tcMar>
            <w:vAlign w:val="top"/>
          </w:tcPr>
          <w:p ns2:paraId="67B42FF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29</w:t>
            </w:r>
          </w:p>
        </w:tc>
        <w:tc>
          <w:tcPr>
            <w:tcW w:w="0" w:type="auto"/>
            <w:shd w:val="clear"/>
            <w:tcMar>
              <w:top w:w="140" w:type="dxa"/>
              <w:bottom w:w="140" w:type="dxa"/>
            </w:tcMar>
            <w:vAlign w:val="top"/>
          </w:tcPr>
          <w:p ns2:paraId="6245DD1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55D48C1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3D01403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A62D03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w:t>
            </w:r>
          </w:p>
        </w:tc>
        <w:tc>
          <w:tcPr>
            <w:tcW w:w="0" w:type="auto"/>
            <w:shd w:val="clear"/>
            <w:tcMar>
              <w:top w:w="140" w:type="dxa"/>
              <w:bottom w:w="140" w:type="dxa"/>
            </w:tcMar>
            <w:vAlign w:val="top"/>
          </w:tcPr>
          <w:p ns2:paraId="0444CA5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19</w:t>
            </w:r>
          </w:p>
        </w:tc>
        <w:tc>
          <w:tcPr>
            <w:tcW w:w="0" w:type="auto"/>
            <w:shd w:val="clear"/>
            <w:tcMar>
              <w:top w:w="140" w:type="dxa"/>
              <w:bottom w:w="140" w:type="dxa"/>
            </w:tcMar>
            <w:vAlign w:val="top"/>
          </w:tcPr>
          <w:p ns2:paraId="1257B40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shd w:val="clear"/>
            <w:tcMar>
              <w:top w:w="140" w:type="dxa"/>
              <w:bottom w:w="140" w:type="dxa"/>
            </w:tcMar>
            <w:vAlign w:val="top"/>
          </w:tcPr>
          <w:p ns2:paraId="3A64D0D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w:t>
            </w:r>
          </w:p>
        </w:tc>
        <w:tc>
          <w:tcPr>
            <w:tcW w:w="0" w:type="auto"/>
            <w:shd w:val="clear"/>
            <w:tcMar>
              <w:top w:w="140" w:type="dxa"/>
              <w:bottom w:w="140" w:type="dxa"/>
            </w:tcMar>
            <w:vAlign w:val="top"/>
          </w:tcPr>
          <w:p ns2:paraId="42F9E17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11FDE56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1A970B1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2DE1595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528258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0.20</w:t>
            </w:r>
          </w:p>
        </w:tc>
        <w:tc>
          <w:tcPr>
            <w:tcW w:w="0" w:type="auto"/>
            <w:shd w:val="clear"/>
            <w:tcMar>
              <w:top w:w="140" w:type="dxa"/>
              <w:bottom w:w="140" w:type="dxa"/>
            </w:tcMar>
            <w:vAlign w:val="top"/>
          </w:tcPr>
          <w:p ns2:paraId="3C97153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shd w:val="clear"/>
            <w:tcMar>
              <w:top w:w="140" w:type="dxa"/>
              <w:bottom w:w="140" w:type="dxa"/>
            </w:tcMar>
            <w:vAlign w:val="top"/>
          </w:tcPr>
          <w:p ns2:paraId="519FB52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37</w:t>
            </w:r>
          </w:p>
        </w:tc>
        <w:tc>
          <w:tcPr>
            <w:tcW w:w="0" w:type="auto"/>
            <w:shd w:val="clear"/>
            <w:tcMar>
              <w:top w:w="140" w:type="dxa"/>
              <w:bottom w:w="140" w:type="dxa"/>
            </w:tcMar>
            <w:vAlign w:val="top"/>
          </w:tcPr>
          <w:p ns2:paraId="33B721E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40</w:t>
            </w:r>
          </w:p>
        </w:tc>
        <w:tc>
          <w:tcPr>
            <w:tcW w:w="0" w:type="auto"/>
            <w:shd w:val="clear"/>
            <w:tcMar>
              <w:top w:w="140" w:type="dxa"/>
              <w:bottom w:w="140" w:type="dxa"/>
            </w:tcMar>
            <w:vAlign w:val="top"/>
          </w:tcPr>
          <w:p ns2:paraId="09017C3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63315C6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09F3E87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57F364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A56129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0.25</w:t>
            </w:r>
          </w:p>
        </w:tc>
        <w:tc>
          <w:tcPr>
            <w:tcW w:w="0" w:type="auto"/>
            <w:shd w:val="clear"/>
            <w:tcMar>
              <w:top w:w="140" w:type="dxa"/>
              <w:bottom w:w="140" w:type="dxa"/>
            </w:tcMar>
            <w:vAlign w:val="top"/>
          </w:tcPr>
          <w:p ns2:paraId="6065A38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29</w:t>
            </w:r>
          </w:p>
        </w:tc>
        <w:tc>
          <w:tcPr>
            <w:tcW w:w="0" w:type="auto"/>
            <w:shd w:val="clear"/>
            <w:tcMar>
              <w:top w:w="140" w:type="dxa"/>
              <w:bottom w:w="140" w:type="dxa"/>
            </w:tcMar>
            <w:vAlign w:val="top"/>
          </w:tcPr>
          <w:p ns2:paraId="13D0C13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41</w:t>
            </w:r>
          </w:p>
        </w:tc>
        <w:tc>
          <w:tcPr>
            <w:tcW w:w="0" w:type="auto"/>
            <w:shd w:val="clear"/>
            <w:tcMar>
              <w:top w:w="140" w:type="dxa"/>
              <w:bottom w:w="140" w:type="dxa"/>
            </w:tcMar>
            <w:vAlign w:val="top"/>
          </w:tcPr>
          <w:p ns2:paraId="207836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328E055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4F8E780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6E6BA13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7D6AEE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B36784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0.30</w:t>
            </w:r>
          </w:p>
        </w:tc>
        <w:tc>
          <w:tcPr>
            <w:tcW w:w="0" w:type="auto"/>
            <w:shd w:val="clear"/>
            <w:tcMar>
              <w:top w:w="140" w:type="dxa"/>
              <w:bottom w:w="140" w:type="dxa"/>
            </w:tcMar>
            <w:vAlign w:val="top"/>
          </w:tcPr>
          <w:p ns2:paraId="62063E4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w:t>
            </w:r>
          </w:p>
        </w:tc>
        <w:tc>
          <w:tcPr>
            <w:tcW w:w="0" w:type="auto"/>
            <w:shd w:val="clear"/>
            <w:tcMar>
              <w:top w:w="140" w:type="dxa"/>
              <w:bottom w:w="140" w:type="dxa"/>
            </w:tcMar>
            <w:vAlign w:val="top"/>
          </w:tcPr>
          <w:p ns2:paraId="6AF1B3A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3E44C25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2416F8D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2582604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shd w:val="clear"/>
            <w:tcMar>
              <w:top w:w="140" w:type="dxa"/>
              <w:bottom w:w="140" w:type="dxa"/>
            </w:tcMar>
            <w:vAlign w:val="top"/>
          </w:tcPr>
          <w:p ns2:paraId="2FD2045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bl>
    <w:p ns2:paraId="512BC3B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Empty cells correspond to δ ≤ 0 (excluded by Assumption 3).</w:t>
      </w:r>
    </w:p>
    <w:p ns2:paraId="79FD1494">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5.5 Capacity-robust thresholds</w:t>
      </w:r>
    </w:p>
    <w:p ns2:paraId="201E6F0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 central operational finding of this paper concerns the differential sensitivity of two summary statistics—the optimal threshold s* and the mean cycle time E[τ]—to variations in the system capacity S_max. We hold three operating points fixed and vary S_max from 100 to 300 in increments of 40, recomputing the MDP solution at each capacity. Table 6 reports the results.</w:t>
      </w:r>
    </w:p>
    <w:p ns2:paraId="43CF27B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6.</w:t>
      </w:r>
      <w:r>
        <w:rPr>
          <w:rFonts w:hint="default" w:ascii="Segoe UI" w:hAnsi="Segoe UI" w:eastAsia="Segoe UI" w:cs="Segoe UI"/>
          <w:i w:val="0"/>
          <w:iCs w:val="0"/>
          <w:caps w:val="0"/>
          <w:spacing w:val="0"/>
          <w:sz w:val="14"/>
          <w:szCs w:val="14"/>
          <w:shd w:val="clear" w:fill="FDFCFE"/>
        </w:rPr>
        <w:t> Capacity sensitivity of s* versus E[τ] (K_f/K_p = 10, K_p = 10, K_f = 100). Costs are absolute.</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9"/>
        <w:gridCol w:w="976"/>
        <w:gridCol w:w="766"/>
        <w:gridCol w:w="766"/>
        <w:gridCol w:w="766"/>
        <w:gridCol w:w="767"/>
      </w:tblGrid>
      <w:tr ns2:paraId="67458D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7BE09377">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Configuration</w:t>
            </w:r>
          </w:p>
        </w:tc>
        <w:tc>
          <w:tcPr>
            <w:tcW w:w="0" w:type="auto"/>
            <w:shd w:val="clear"/>
            <w:tcMar>
              <w:bottom w:w="140" w:type="dxa"/>
            </w:tcMar>
            <w:vAlign w:val="bottom"/>
          </w:tcPr>
          <w:p ns2:paraId="45F53D08">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S_max</w:t>
            </w:r>
          </w:p>
        </w:tc>
        <w:tc>
          <w:tcPr>
            <w:tcW w:w="0" w:type="auto"/>
            <w:shd w:val="clear"/>
            <w:tcMar>
              <w:bottom w:w="140" w:type="dxa"/>
            </w:tcMar>
            <w:vAlign w:val="bottom"/>
          </w:tcPr>
          <w:p ns2:paraId="775E405D">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E[τ]</w:t>
            </w:r>
          </w:p>
        </w:tc>
        <w:tc>
          <w:tcPr>
            <w:tcW w:w="0" w:type="auto"/>
            <w:shd w:val="clear"/>
            <w:tcMar>
              <w:bottom w:w="140" w:type="dxa"/>
            </w:tcMar>
            <w:vAlign w:val="bottom"/>
          </w:tcPr>
          <w:p ns2:paraId="0260C68D">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g_RTF</w:t>
            </w:r>
          </w:p>
        </w:tc>
        <w:tc>
          <w:tcPr>
            <w:tcW w:w="0" w:type="auto"/>
            <w:shd w:val="clear"/>
            <w:tcMar>
              <w:bottom w:w="140" w:type="dxa"/>
            </w:tcMar>
            <w:vAlign w:val="bottom"/>
          </w:tcPr>
          <w:p ns2:paraId="0E1B5503">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w:t>
            </w:r>
          </w:p>
        </w:tc>
        <w:tc>
          <w:tcPr>
            <w:tcW w:w="0" w:type="auto"/>
            <w:shd w:val="clear"/>
            <w:tcMar>
              <w:bottom w:w="140" w:type="dxa"/>
            </w:tcMar>
            <w:vAlign w:val="bottom"/>
          </w:tcPr>
          <w:p ns2:paraId="4F81194E">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g_CBM</w:t>
            </w:r>
          </w:p>
        </w:tc>
      </w:tr>
      <w:tr ns2:paraId="06EB58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1287C2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 = 0.15, λ/C = 0.80 (δ = 5)</w:t>
            </w:r>
          </w:p>
        </w:tc>
        <w:tc>
          <w:tcPr>
            <w:tcW w:w="0" w:type="auto"/>
            <w:shd w:val="clear"/>
            <w:tcMar>
              <w:top w:w="140" w:type="dxa"/>
              <w:bottom w:w="140" w:type="dxa"/>
            </w:tcMar>
            <w:vAlign w:val="top"/>
          </w:tcPr>
          <w:p ns2:paraId="0DD901A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w:t>
            </w:r>
          </w:p>
        </w:tc>
        <w:tc>
          <w:tcPr>
            <w:tcW w:w="0" w:type="auto"/>
            <w:shd w:val="clear"/>
            <w:tcMar>
              <w:top w:w="140" w:type="dxa"/>
              <w:bottom w:w="140" w:type="dxa"/>
            </w:tcMar>
            <w:vAlign w:val="top"/>
          </w:tcPr>
          <w:p ns2:paraId="0B8356F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17.1</w:t>
            </w:r>
          </w:p>
        </w:tc>
        <w:tc>
          <w:tcPr>
            <w:tcW w:w="0" w:type="auto"/>
            <w:shd w:val="clear"/>
            <w:tcMar>
              <w:top w:w="140" w:type="dxa"/>
              <w:bottom w:w="140" w:type="dxa"/>
            </w:tcMar>
            <w:vAlign w:val="top"/>
          </w:tcPr>
          <w:p ns2:paraId="56076CC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5.849</w:t>
            </w:r>
          </w:p>
        </w:tc>
        <w:tc>
          <w:tcPr>
            <w:tcW w:w="0" w:type="auto"/>
            <w:shd w:val="clear"/>
            <w:tcMar>
              <w:top w:w="140" w:type="dxa"/>
              <w:bottom w:w="140" w:type="dxa"/>
            </w:tcMar>
            <w:vAlign w:val="top"/>
          </w:tcPr>
          <w:p ns2:paraId="014E9DF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40</w:t>
            </w:r>
          </w:p>
        </w:tc>
        <w:tc>
          <w:tcPr>
            <w:tcW w:w="0" w:type="auto"/>
            <w:shd w:val="clear"/>
            <w:tcMar>
              <w:top w:w="140" w:type="dxa"/>
              <w:bottom w:w="140" w:type="dxa"/>
            </w:tcMar>
            <w:vAlign w:val="top"/>
          </w:tcPr>
          <w:p ns2:paraId="5DBEF74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4.972</w:t>
            </w:r>
          </w:p>
        </w:tc>
      </w:tr>
      <w:tr ns2:paraId="1CA7C9B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3B871AC">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64B44E7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140</w:t>
            </w:r>
          </w:p>
        </w:tc>
        <w:tc>
          <w:tcPr>
            <w:tcW w:w="0" w:type="auto"/>
            <w:shd w:val="clear"/>
            <w:tcMar>
              <w:top w:w="140" w:type="dxa"/>
              <w:bottom w:w="140" w:type="dxa"/>
            </w:tcMar>
            <w:vAlign w:val="top"/>
          </w:tcPr>
          <w:p ns2:paraId="621F311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23.1</w:t>
            </w:r>
          </w:p>
        </w:tc>
        <w:tc>
          <w:tcPr>
            <w:tcW w:w="0" w:type="auto"/>
            <w:shd w:val="clear"/>
            <w:tcMar>
              <w:top w:w="140" w:type="dxa"/>
              <w:bottom w:w="140" w:type="dxa"/>
            </w:tcMar>
            <w:vAlign w:val="top"/>
          </w:tcPr>
          <w:p ns2:paraId="288D48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4.321</w:t>
            </w:r>
          </w:p>
        </w:tc>
        <w:tc>
          <w:tcPr>
            <w:tcW w:w="0" w:type="auto"/>
            <w:shd w:val="clear"/>
            <w:tcMar>
              <w:top w:w="140" w:type="dxa"/>
              <w:bottom w:w="140" w:type="dxa"/>
            </w:tcMar>
            <w:vAlign w:val="top"/>
          </w:tcPr>
          <w:p ns2:paraId="6B91685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39</w:t>
            </w:r>
          </w:p>
        </w:tc>
        <w:tc>
          <w:tcPr>
            <w:tcW w:w="0" w:type="auto"/>
            <w:shd w:val="clear"/>
            <w:tcMar>
              <w:top w:w="140" w:type="dxa"/>
              <w:bottom w:w="140" w:type="dxa"/>
            </w:tcMar>
            <w:vAlign w:val="top"/>
          </w:tcPr>
          <w:p ns2:paraId="633E12F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4.034</w:t>
            </w:r>
          </w:p>
        </w:tc>
      </w:tr>
      <w:tr ns2:paraId="00C8300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DAB0C3E">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0934112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180</w:t>
            </w:r>
          </w:p>
        </w:tc>
        <w:tc>
          <w:tcPr>
            <w:tcW w:w="0" w:type="auto"/>
            <w:shd w:val="clear"/>
            <w:tcMar>
              <w:top w:w="140" w:type="dxa"/>
              <w:bottom w:w="140" w:type="dxa"/>
            </w:tcMar>
            <w:vAlign w:val="top"/>
          </w:tcPr>
          <w:p ns2:paraId="7C87864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36.4</w:t>
            </w:r>
          </w:p>
        </w:tc>
        <w:tc>
          <w:tcPr>
            <w:tcW w:w="0" w:type="auto"/>
            <w:shd w:val="clear"/>
            <w:tcMar>
              <w:top w:w="140" w:type="dxa"/>
              <w:bottom w:w="140" w:type="dxa"/>
            </w:tcMar>
            <w:vAlign w:val="top"/>
          </w:tcPr>
          <w:p ns2:paraId="579D523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2.745</w:t>
            </w:r>
          </w:p>
        </w:tc>
        <w:tc>
          <w:tcPr>
            <w:tcW w:w="0" w:type="auto"/>
            <w:shd w:val="clear"/>
            <w:tcMar>
              <w:top w:w="140" w:type="dxa"/>
              <w:bottom w:w="140" w:type="dxa"/>
            </w:tcMar>
            <w:vAlign w:val="top"/>
          </w:tcPr>
          <w:p ns2:paraId="622801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299A3A0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2.458</w:t>
            </w:r>
          </w:p>
        </w:tc>
      </w:tr>
      <w:tr ns2:paraId="114C90D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1056DB4">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4D546CA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220</w:t>
            </w:r>
          </w:p>
        </w:tc>
        <w:tc>
          <w:tcPr>
            <w:tcW w:w="0" w:type="auto"/>
            <w:shd w:val="clear"/>
            <w:tcMar>
              <w:top w:w="140" w:type="dxa"/>
              <w:bottom w:w="140" w:type="dxa"/>
            </w:tcMar>
            <w:vAlign w:val="top"/>
          </w:tcPr>
          <w:p ns2:paraId="0F15C21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50.3</w:t>
            </w:r>
          </w:p>
        </w:tc>
        <w:tc>
          <w:tcPr>
            <w:tcW w:w="0" w:type="auto"/>
            <w:shd w:val="clear"/>
            <w:tcMar>
              <w:top w:w="140" w:type="dxa"/>
              <w:bottom w:w="140" w:type="dxa"/>
            </w:tcMar>
            <w:vAlign w:val="top"/>
          </w:tcPr>
          <w:p ns2:paraId="45DAF62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1.989</w:t>
            </w:r>
          </w:p>
        </w:tc>
        <w:tc>
          <w:tcPr>
            <w:tcW w:w="0" w:type="auto"/>
            <w:shd w:val="clear"/>
            <w:tcMar>
              <w:top w:w="140" w:type="dxa"/>
              <w:bottom w:w="140" w:type="dxa"/>
            </w:tcMar>
            <w:vAlign w:val="top"/>
          </w:tcPr>
          <w:p ns2:paraId="156B64D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37</w:t>
            </w:r>
          </w:p>
        </w:tc>
        <w:tc>
          <w:tcPr>
            <w:tcW w:w="0" w:type="auto"/>
            <w:shd w:val="clear"/>
            <w:tcMar>
              <w:top w:w="140" w:type="dxa"/>
              <w:bottom w:w="140" w:type="dxa"/>
            </w:tcMar>
            <w:vAlign w:val="top"/>
          </w:tcPr>
          <w:p ns2:paraId="04BD542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1.809</w:t>
            </w:r>
          </w:p>
        </w:tc>
      </w:tr>
      <w:tr ns2:paraId="4C0C86A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042AC27">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1B0F301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260</w:t>
            </w:r>
          </w:p>
        </w:tc>
        <w:tc>
          <w:tcPr>
            <w:tcW w:w="0" w:type="auto"/>
            <w:shd w:val="clear"/>
            <w:tcMar>
              <w:top w:w="140" w:type="dxa"/>
              <w:bottom w:w="140" w:type="dxa"/>
            </w:tcMar>
            <w:vAlign w:val="top"/>
          </w:tcPr>
          <w:p ns2:paraId="749EFD2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70.4</w:t>
            </w:r>
          </w:p>
        </w:tc>
        <w:tc>
          <w:tcPr>
            <w:tcW w:w="0" w:type="auto"/>
            <w:shd w:val="clear"/>
            <w:tcMar>
              <w:top w:w="140" w:type="dxa"/>
              <w:bottom w:w="140" w:type="dxa"/>
            </w:tcMar>
            <w:vAlign w:val="top"/>
          </w:tcPr>
          <w:p ns2:paraId="2ED4959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1.421</w:t>
            </w:r>
          </w:p>
        </w:tc>
        <w:tc>
          <w:tcPr>
            <w:tcW w:w="0" w:type="auto"/>
            <w:shd w:val="clear"/>
            <w:tcMar>
              <w:top w:w="140" w:type="dxa"/>
              <w:bottom w:w="140" w:type="dxa"/>
            </w:tcMar>
            <w:vAlign w:val="top"/>
          </w:tcPr>
          <w:p ns2:paraId="690AE4F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37</w:t>
            </w:r>
          </w:p>
        </w:tc>
        <w:tc>
          <w:tcPr>
            <w:tcW w:w="0" w:type="auto"/>
            <w:shd w:val="clear"/>
            <w:tcMar>
              <w:top w:w="140" w:type="dxa"/>
              <w:bottom w:w="140" w:type="dxa"/>
            </w:tcMar>
            <w:vAlign w:val="top"/>
          </w:tcPr>
          <w:p ns2:paraId="536AD7E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1.280</w:t>
            </w:r>
          </w:p>
        </w:tc>
      </w:tr>
      <w:tr ns2:paraId="33C8CAB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5923245">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62EE68C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w:t>
            </w:r>
          </w:p>
        </w:tc>
        <w:tc>
          <w:tcPr>
            <w:tcW w:w="0" w:type="auto"/>
            <w:shd w:val="clear"/>
            <w:tcMar>
              <w:top w:w="140" w:type="dxa"/>
              <w:bottom w:w="140" w:type="dxa"/>
            </w:tcMar>
            <w:vAlign w:val="top"/>
          </w:tcPr>
          <w:p ns2:paraId="4EF5D60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95.1</w:t>
            </w:r>
          </w:p>
        </w:tc>
        <w:tc>
          <w:tcPr>
            <w:tcW w:w="0" w:type="auto"/>
            <w:shd w:val="clear"/>
            <w:tcMar>
              <w:top w:w="140" w:type="dxa"/>
              <w:bottom w:w="140" w:type="dxa"/>
            </w:tcMar>
            <w:vAlign w:val="top"/>
          </w:tcPr>
          <w:p ns2:paraId="209D683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1.051</w:t>
            </w:r>
          </w:p>
        </w:tc>
        <w:tc>
          <w:tcPr>
            <w:tcW w:w="0" w:type="auto"/>
            <w:shd w:val="clear"/>
            <w:tcMar>
              <w:top w:w="140" w:type="dxa"/>
              <w:bottom w:w="140" w:type="dxa"/>
            </w:tcMar>
            <w:vAlign w:val="top"/>
          </w:tcPr>
          <w:p ns2:paraId="3512CE2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37</w:t>
            </w:r>
          </w:p>
        </w:tc>
        <w:tc>
          <w:tcPr>
            <w:tcW w:w="0" w:type="auto"/>
            <w:shd w:val="clear"/>
            <w:tcMar>
              <w:top w:w="140" w:type="dxa"/>
              <w:bottom w:w="140" w:type="dxa"/>
            </w:tcMar>
            <w:vAlign w:val="top"/>
          </w:tcPr>
          <w:p ns2:paraId="181463E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0.949</w:t>
            </w:r>
          </w:p>
        </w:tc>
      </w:tr>
      <w:tr ns2:paraId="42BFF0E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7041822">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6906F858">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Variation</w:t>
            </w:r>
          </w:p>
        </w:tc>
        <w:tc>
          <w:tcPr>
            <w:tcW w:w="0" w:type="auto"/>
            <w:shd w:val="clear"/>
            <w:tcMar>
              <w:top w:w="140" w:type="dxa"/>
              <w:bottom w:w="140" w:type="dxa"/>
            </w:tcMar>
            <w:vAlign w:val="top"/>
          </w:tcPr>
          <w:p ns2:paraId="3CD7E5AE">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5.6×</w:t>
            </w:r>
          </w:p>
        </w:tc>
        <w:tc>
          <w:tcPr>
            <w:tcW w:w="0" w:type="auto"/>
            <w:shd w:val="clear"/>
            <w:tcMar>
              <w:top w:w="140" w:type="dxa"/>
              <w:bottom w:w="140" w:type="dxa"/>
            </w:tcMar>
            <w:vAlign w:val="top"/>
          </w:tcPr>
          <w:p ns2:paraId="2A6F5A86">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5.6×</w:t>
            </w:r>
          </w:p>
        </w:tc>
        <w:tc>
          <w:tcPr>
            <w:tcW w:w="0" w:type="auto"/>
            <w:shd w:val="clear"/>
            <w:tcMar>
              <w:top w:w="140" w:type="dxa"/>
              <w:bottom w:w="140" w:type="dxa"/>
            </w:tcMar>
            <w:vAlign w:val="top"/>
          </w:tcPr>
          <w:p ns2:paraId="24792B6A">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3 units</w:t>
            </w:r>
          </w:p>
        </w:tc>
        <w:tc>
          <w:tcPr>
            <w:tcW w:w="0" w:type="auto"/>
            <w:shd w:val="clear"/>
            <w:tcMar>
              <w:top w:w="140" w:type="dxa"/>
              <w:bottom w:w="140" w:type="dxa"/>
            </w:tcMar>
            <w:vAlign w:val="top"/>
          </w:tcPr>
          <w:p ns2:paraId="3F8E2B30">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5.2×</w:t>
            </w:r>
          </w:p>
        </w:tc>
      </w:tr>
      <w:tr ns2:paraId="1DBB57F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265AD9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 = 0.10, λ/C = 0.85 (δ = 5)</w:t>
            </w:r>
          </w:p>
        </w:tc>
        <w:tc>
          <w:tcPr>
            <w:tcW w:w="0" w:type="auto"/>
            <w:shd w:val="clear"/>
            <w:tcMar>
              <w:top w:w="140" w:type="dxa"/>
              <w:bottom w:w="140" w:type="dxa"/>
            </w:tcMar>
            <w:vAlign w:val="top"/>
          </w:tcPr>
          <w:p ns2:paraId="25BA5F8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w:t>
            </w:r>
          </w:p>
        </w:tc>
        <w:tc>
          <w:tcPr>
            <w:tcW w:w="0" w:type="auto"/>
            <w:shd w:val="clear"/>
            <w:tcMar>
              <w:top w:w="140" w:type="dxa"/>
              <w:bottom w:w="140" w:type="dxa"/>
            </w:tcMar>
            <w:vAlign w:val="top"/>
          </w:tcPr>
          <w:p ns2:paraId="69AFD2C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24.9</w:t>
            </w:r>
          </w:p>
        </w:tc>
        <w:tc>
          <w:tcPr>
            <w:tcW w:w="0" w:type="auto"/>
            <w:shd w:val="clear"/>
            <w:tcMar>
              <w:top w:w="140" w:type="dxa"/>
              <w:bottom w:w="140" w:type="dxa"/>
            </w:tcMar>
            <w:vAlign w:val="top"/>
          </w:tcPr>
          <w:p ns2:paraId="40C940E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4.017</w:t>
            </w:r>
          </w:p>
        </w:tc>
        <w:tc>
          <w:tcPr>
            <w:tcW w:w="0" w:type="auto"/>
            <w:shd w:val="clear"/>
            <w:tcMar>
              <w:top w:w="140" w:type="dxa"/>
              <w:bottom w:w="140" w:type="dxa"/>
            </w:tcMar>
            <w:vAlign w:val="top"/>
          </w:tcPr>
          <w:p ns2:paraId="0B61386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3B0F88F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3.557</w:t>
            </w:r>
          </w:p>
        </w:tc>
      </w:tr>
      <w:tr ns2:paraId="2BBFC81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ADDCF1E">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51F585C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140</w:t>
            </w:r>
          </w:p>
        </w:tc>
        <w:tc>
          <w:tcPr>
            <w:tcW w:w="0" w:type="auto"/>
            <w:shd w:val="clear"/>
            <w:tcMar>
              <w:top w:w="140" w:type="dxa"/>
              <w:bottom w:w="140" w:type="dxa"/>
            </w:tcMar>
            <w:vAlign w:val="top"/>
          </w:tcPr>
          <w:p ns2:paraId="639AC31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35.6</w:t>
            </w:r>
          </w:p>
        </w:tc>
        <w:tc>
          <w:tcPr>
            <w:tcW w:w="0" w:type="auto"/>
            <w:shd w:val="clear"/>
            <w:tcMar>
              <w:top w:w="140" w:type="dxa"/>
              <w:bottom w:w="140" w:type="dxa"/>
            </w:tcMar>
            <w:vAlign w:val="top"/>
          </w:tcPr>
          <w:p ns2:paraId="352470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2.808</w:t>
            </w:r>
          </w:p>
        </w:tc>
        <w:tc>
          <w:tcPr>
            <w:tcW w:w="0" w:type="auto"/>
            <w:shd w:val="clear"/>
            <w:tcMar>
              <w:top w:w="140" w:type="dxa"/>
              <w:bottom w:w="140" w:type="dxa"/>
            </w:tcMar>
            <w:vAlign w:val="top"/>
          </w:tcPr>
          <w:p ns2:paraId="209F993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429CAF0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2.684</w:t>
            </w:r>
          </w:p>
        </w:tc>
      </w:tr>
      <w:tr ns2:paraId="12484BE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4227E11">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0C7D51B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180</w:t>
            </w:r>
          </w:p>
        </w:tc>
        <w:tc>
          <w:tcPr>
            <w:tcW w:w="0" w:type="auto"/>
            <w:shd w:val="clear"/>
            <w:tcMar>
              <w:top w:w="140" w:type="dxa"/>
              <w:bottom w:w="140" w:type="dxa"/>
            </w:tcMar>
            <w:vAlign w:val="top"/>
          </w:tcPr>
          <w:p ns2:paraId="10F275B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58.0</w:t>
            </w:r>
          </w:p>
        </w:tc>
        <w:tc>
          <w:tcPr>
            <w:tcW w:w="0" w:type="auto"/>
            <w:shd w:val="clear"/>
            <w:tcMar>
              <w:top w:w="140" w:type="dxa"/>
              <w:bottom w:w="140" w:type="dxa"/>
            </w:tcMar>
            <w:vAlign w:val="top"/>
          </w:tcPr>
          <w:p ns2:paraId="6064892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1.725</w:t>
            </w:r>
          </w:p>
        </w:tc>
        <w:tc>
          <w:tcPr>
            <w:tcW w:w="0" w:type="auto"/>
            <w:shd w:val="clear"/>
            <w:tcMar>
              <w:top w:w="140" w:type="dxa"/>
              <w:bottom w:w="140" w:type="dxa"/>
            </w:tcMar>
            <w:vAlign w:val="top"/>
          </w:tcPr>
          <w:p ns2:paraId="537C1E0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5549D20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1.583</w:t>
            </w:r>
          </w:p>
        </w:tc>
      </w:tr>
      <w:tr ns2:paraId="68629C9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4793C9E">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53992FE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220</w:t>
            </w:r>
          </w:p>
        </w:tc>
        <w:tc>
          <w:tcPr>
            <w:tcW w:w="0" w:type="auto"/>
            <w:shd w:val="clear"/>
            <w:tcMar>
              <w:top w:w="140" w:type="dxa"/>
              <w:bottom w:w="140" w:type="dxa"/>
            </w:tcMar>
            <w:vAlign w:val="top"/>
          </w:tcPr>
          <w:p ns2:paraId="3BAC44C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85.2</w:t>
            </w:r>
          </w:p>
        </w:tc>
        <w:tc>
          <w:tcPr>
            <w:tcW w:w="0" w:type="auto"/>
            <w:shd w:val="clear"/>
            <w:tcMar>
              <w:top w:w="140" w:type="dxa"/>
              <w:bottom w:w="140" w:type="dxa"/>
            </w:tcMar>
            <w:vAlign w:val="top"/>
          </w:tcPr>
          <w:p ns2:paraId="30EE156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1.173</w:t>
            </w:r>
          </w:p>
        </w:tc>
        <w:tc>
          <w:tcPr>
            <w:tcW w:w="0" w:type="auto"/>
            <w:shd w:val="clear"/>
            <w:tcMar>
              <w:top w:w="140" w:type="dxa"/>
              <w:bottom w:w="140" w:type="dxa"/>
            </w:tcMar>
            <w:vAlign w:val="top"/>
          </w:tcPr>
          <w:p ns2:paraId="1E5AAC6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0E91ADC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1.092</w:t>
            </w:r>
          </w:p>
        </w:tc>
      </w:tr>
      <w:tr ns2:paraId="03DC05F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4EBFC9E">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7B15D94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260</w:t>
            </w:r>
          </w:p>
        </w:tc>
        <w:tc>
          <w:tcPr>
            <w:tcW w:w="0" w:type="auto"/>
            <w:shd w:val="clear"/>
            <w:tcMar>
              <w:top w:w="140" w:type="dxa"/>
              <w:bottom w:w="140" w:type="dxa"/>
            </w:tcMar>
            <w:vAlign w:val="top"/>
          </w:tcPr>
          <w:p ns2:paraId="064BC24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125.9</w:t>
            </w:r>
          </w:p>
        </w:tc>
        <w:tc>
          <w:tcPr>
            <w:tcW w:w="0" w:type="auto"/>
            <w:shd w:val="clear"/>
            <w:tcMar>
              <w:top w:w="140" w:type="dxa"/>
              <w:bottom w:w="140" w:type="dxa"/>
            </w:tcMar>
            <w:vAlign w:val="top"/>
          </w:tcPr>
          <w:p ns2:paraId="4D2A96D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0.795</w:t>
            </w:r>
          </w:p>
        </w:tc>
        <w:tc>
          <w:tcPr>
            <w:tcW w:w="0" w:type="auto"/>
            <w:shd w:val="clear"/>
            <w:tcMar>
              <w:top w:w="140" w:type="dxa"/>
              <w:bottom w:w="140" w:type="dxa"/>
            </w:tcMar>
            <w:vAlign w:val="top"/>
          </w:tcPr>
          <w:p ns2:paraId="3BDE8F3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5DB257A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0.731</w:t>
            </w:r>
          </w:p>
        </w:tc>
      </w:tr>
      <w:tr ns2:paraId="3F83D94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8A638A7">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0C2E250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w:t>
            </w:r>
          </w:p>
        </w:tc>
        <w:tc>
          <w:tcPr>
            <w:tcW w:w="0" w:type="auto"/>
            <w:shd w:val="clear"/>
            <w:tcMar>
              <w:top w:w="140" w:type="dxa"/>
              <w:bottom w:w="140" w:type="dxa"/>
            </w:tcMar>
            <w:vAlign w:val="top"/>
          </w:tcPr>
          <w:p ns2:paraId="5212957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181.0</w:t>
            </w:r>
          </w:p>
        </w:tc>
        <w:tc>
          <w:tcPr>
            <w:tcW w:w="0" w:type="auto"/>
            <w:shd w:val="clear"/>
            <w:tcMar>
              <w:top w:w="140" w:type="dxa"/>
              <w:bottom w:w="140" w:type="dxa"/>
            </w:tcMar>
            <w:vAlign w:val="top"/>
          </w:tcPr>
          <w:p ns2:paraId="5E7CBDA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0.553</w:t>
            </w:r>
          </w:p>
        </w:tc>
        <w:tc>
          <w:tcPr>
            <w:tcW w:w="0" w:type="auto"/>
            <w:shd w:val="clear"/>
            <w:tcMar>
              <w:top w:w="140" w:type="dxa"/>
              <w:bottom w:w="140" w:type="dxa"/>
            </w:tcMar>
            <w:vAlign w:val="top"/>
          </w:tcPr>
          <w:p ns2:paraId="4ED77B6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4C0DF6E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0.510</w:t>
            </w:r>
          </w:p>
        </w:tc>
      </w:tr>
      <w:tr ns2:paraId="20F0BB5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BBFCB24">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4756AD22">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Variation</w:t>
            </w:r>
          </w:p>
        </w:tc>
        <w:tc>
          <w:tcPr>
            <w:tcW w:w="0" w:type="auto"/>
            <w:shd w:val="clear"/>
            <w:tcMar>
              <w:top w:w="140" w:type="dxa"/>
              <w:bottom w:w="140" w:type="dxa"/>
            </w:tcMar>
            <w:vAlign w:val="top"/>
          </w:tcPr>
          <w:p ns2:paraId="762D153A">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7.3×</w:t>
            </w:r>
          </w:p>
        </w:tc>
        <w:tc>
          <w:tcPr>
            <w:tcW w:w="0" w:type="auto"/>
            <w:shd w:val="clear"/>
            <w:tcMar>
              <w:top w:w="140" w:type="dxa"/>
              <w:bottom w:w="140" w:type="dxa"/>
            </w:tcMar>
            <w:vAlign w:val="top"/>
          </w:tcPr>
          <w:p ns2:paraId="6A3FB286">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7.3×</w:t>
            </w:r>
          </w:p>
        </w:tc>
        <w:tc>
          <w:tcPr>
            <w:tcW w:w="0" w:type="auto"/>
            <w:shd w:val="clear"/>
            <w:tcMar>
              <w:top w:w="140" w:type="dxa"/>
              <w:bottom w:w="140" w:type="dxa"/>
            </w:tcMar>
            <w:vAlign w:val="top"/>
          </w:tcPr>
          <w:p ns2:paraId="34796D96">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0 units</w:t>
            </w:r>
          </w:p>
        </w:tc>
        <w:tc>
          <w:tcPr>
            <w:tcW w:w="0" w:type="auto"/>
            <w:shd w:val="clear"/>
            <w:tcMar>
              <w:top w:w="140" w:type="dxa"/>
              <w:bottom w:w="140" w:type="dxa"/>
            </w:tcMar>
            <w:vAlign w:val="top"/>
          </w:tcPr>
          <w:p ns2:paraId="5E7E7F73">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7.0×</w:t>
            </w:r>
          </w:p>
        </w:tc>
      </w:tr>
      <w:tr ns2:paraId="74F23B5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EDC2C3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 = 0.05, λ/C = 0.80 (δ = 15)</w:t>
            </w:r>
          </w:p>
        </w:tc>
        <w:tc>
          <w:tcPr>
            <w:tcW w:w="0" w:type="auto"/>
            <w:shd w:val="clear"/>
            <w:tcMar>
              <w:top w:w="140" w:type="dxa"/>
              <w:bottom w:w="140" w:type="dxa"/>
            </w:tcMar>
            <w:vAlign w:val="top"/>
          </w:tcPr>
          <w:p ns2:paraId="642BCE9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w:t>
            </w:r>
          </w:p>
        </w:tc>
        <w:tc>
          <w:tcPr>
            <w:tcW w:w="0" w:type="auto"/>
            <w:shd w:val="clear"/>
            <w:tcMar>
              <w:top w:w="140" w:type="dxa"/>
              <w:bottom w:w="140" w:type="dxa"/>
            </w:tcMar>
            <w:vAlign w:val="top"/>
          </w:tcPr>
          <w:p ns2:paraId="46C3EE8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116.5</w:t>
            </w:r>
          </w:p>
        </w:tc>
        <w:tc>
          <w:tcPr>
            <w:tcW w:w="0" w:type="auto"/>
            <w:shd w:val="clear"/>
            <w:tcMar>
              <w:top w:w="140" w:type="dxa"/>
              <w:bottom w:w="140" w:type="dxa"/>
            </w:tcMar>
            <w:vAlign w:val="top"/>
          </w:tcPr>
          <w:p ns2:paraId="7FDC787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0.858</w:t>
            </w:r>
          </w:p>
        </w:tc>
        <w:tc>
          <w:tcPr>
            <w:tcW w:w="0" w:type="auto"/>
            <w:shd w:val="clear"/>
            <w:tcMar>
              <w:top w:w="140" w:type="dxa"/>
              <w:bottom w:w="140" w:type="dxa"/>
            </w:tcMar>
            <w:vAlign w:val="top"/>
          </w:tcPr>
          <w:p ns2:paraId="7694F42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6407457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0.856</w:t>
            </w:r>
          </w:p>
        </w:tc>
      </w:tr>
      <w:tr ns2:paraId="01A28D0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A4AF51A">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563A73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140</w:t>
            </w:r>
          </w:p>
        </w:tc>
        <w:tc>
          <w:tcPr>
            <w:tcW w:w="0" w:type="auto"/>
            <w:shd w:val="clear"/>
            <w:tcMar>
              <w:top w:w="140" w:type="dxa"/>
              <w:bottom w:w="140" w:type="dxa"/>
            </w:tcMar>
            <w:vAlign w:val="top"/>
          </w:tcPr>
          <w:p ns2:paraId="10C901E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222.2</w:t>
            </w:r>
          </w:p>
        </w:tc>
        <w:tc>
          <w:tcPr>
            <w:tcW w:w="0" w:type="auto"/>
            <w:shd w:val="clear"/>
            <w:tcMar>
              <w:top w:w="140" w:type="dxa"/>
              <w:bottom w:w="140" w:type="dxa"/>
            </w:tcMar>
            <w:vAlign w:val="top"/>
          </w:tcPr>
          <w:p ns2:paraId="7038DEE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0.450</w:t>
            </w:r>
          </w:p>
        </w:tc>
        <w:tc>
          <w:tcPr>
            <w:tcW w:w="0" w:type="auto"/>
            <w:shd w:val="clear"/>
            <w:tcMar>
              <w:top w:w="140" w:type="dxa"/>
              <w:bottom w:w="140" w:type="dxa"/>
            </w:tcMar>
            <w:vAlign w:val="top"/>
          </w:tcPr>
          <w:p ns2:paraId="0191487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w:t>
            </w:r>
          </w:p>
        </w:tc>
        <w:tc>
          <w:tcPr>
            <w:tcW w:w="0" w:type="auto"/>
            <w:shd w:val="clear"/>
            <w:tcMar>
              <w:top w:w="140" w:type="dxa"/>
              <w:bottom w:w="140" w:type="dxa"/>
            </w:tcMar>
            <w:vAlign w:val="top"/>
          </w:tcPr>
          <w:p ns2:paraId="758929C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0.449</w:t>
            </w:r>
          </w:p>
        </w:tc>
      </w:tr>
      <w:tr ns2:paraId="3230C1C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94DE78A">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0067AAD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180</w:t>
            </w:r>
          </w:p>
        </w:tc>
        <w:tc>
          <w:tcPr>
            <w:tcW w:w="0" w:type="auto"/>
            <w:shd w:val="clear"/>
            <w:tcMar>
              <w:top w:w="140" w:type="dxa"/>
              <w:bottom w:w="140" w:type="dxa"/>
            </w:tcMar>
            <w:vAlign w:val="top"/>
          </w:tcPr>
          <w:p ns2:paraId="08845FF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794.0</w:t>
            </w:r>
          </w:p>
        </w:tc>
        <w:tc>
          <w:tcPr>
            <w:tcW w:w="0" w:type="auto"/>
            <w:shd w:val="clear"/>
            <w:tcMar>
              <w:top w:w="140" w:type="dxa"/>
              <w:bottom w:w="140" w:type="dxa"/>
            </w:tcMar>
            <w:vAlign w:val="top"/>
          </w:tcPr>
          <w:p ns2:paraId="2543F54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0.126</w:t>
            </w:r>
          </w:p>
        </w:tc>
        <w:tc>
          <w:tcPr>
            <w:tcW w:w="0" w:type="auto"/>
            <w:shd w:val="clear"/>
            <w:tcMar>
              <w:top w:w="140" w:type="dxa"/>
              <w:bottom w:w="140" w:type="dxa"/>
            </w:tcMar>
            <w:vAlign w:val="top"/>
          </w:tcPr>
          <w:p ns2:paraId="0D047B5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w:t>
            </w:r>
          </w:p>
        </w:tc>
        <w:tc>
          <w:tcPr>
            <w:tcW w:w="0" w:type="auto"/>
            <w:shd w:val="clear"/>
            <w:tcMar>
              <w:top w:w="140" w:type="dxa"/>
              <w:bottom w:w="140" w:type="dxa"/>
            </w:tcMar>
            <w:vAlign w:val="top"/>
          </w:tcPr>
          <w:p ns2:paraId="623F72C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0.125</w:t>
            </w:r>
          </w:p>
        </w:tc>
      </w:tr>
      <w:tr ns2:paraId="0302B2B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3977907">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286B498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220</w:t>
            </w:r>
          </w:p>
        </w:tc>
        <w:tc>
          <w:tcPr>
            <w:tcW w:w="0" w:type="auto"/>
            <w:shd w:val="clear"/>
            <w:tcMar>
              <w:top w:w="140" w:type="dxa"/>
              <w:bottom w:w="140" w:type="dxa"/>
            </w:tcMar>
            <w:vAlign w:val="top"/>
          </w:tcPr>
          <w:p ns2:paraId="610AF73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1981.8</w:t>
            </w:r>
          </w:p>
        </w:tc>
        <w:tc>
          <w:tcPr>
            <w:tcW w:w="0" w:type="auto"/>
            <w:shd w:val="clear"/>
            <w:tcMar>
              <w:top w:w="140" w:type="dxa"/>
              <w:bottom w:w="140" w:type="dxa"/>
            </w:tcMar>
            <w:vAlign w:val="top"/>
          </w:tcPr>
          <w:p ns2:paraId="4129DB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0.050</w:t>
            </w:r>
          </w:p>
        </w:tc>
        <w:tc>
          <w:tcPr>
            <w:tcW w:w="0" w:type="auto"/>
            <w:shd w:val="clear"/>
            <w:tcMar>
              <w:top w:w="140" w:type="dxa"/>
              <w:bottom w:w="140" w:type="dxa"/>
            </w:tcMar>
            <w:vAlign w:val="top"/>
          </w:tcPr>
          <w:p ns2:paraId="7065201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w:t>
            </w:r>
          </w:p>
        </w:tc>
        <w:tc>
          <w:tcPr>
            <w:tcW w:w="0" w:type="auto"/>
            <w:shd w:val="clear"/>
            <w:tcMar>
              <w:top w:w="140" w:type="dxa"/>
              <w:bottom w:w="140" w:type="dxa"/>
            </w:tcMar>
            <w:vAlign w:val="top"/>
          </w:tcPr>
          <w:p ns2:paraId="7B176D1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0.050</w:t>
            </w:r>
          </w:p>
        </w:tc>
      </w:tr>
      <w:tr ns2:paraId="6BD44FE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206D1E1">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0F360CA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260</w:t>
            </w:r>
          </w:p>
        </w:tc>
        <w:tc>
          <w:tcPr>
            <w:tcW w:w="0" w:type="auto"/>
            <w:shd w:val="clear"/>
            <w:tcMar>
              <w:top w:w="140" w:type="dxa"/>
              <w:bottom w:w="140" w:type="dxa"/>
            </w:tcMar>
            <w:vAlign w:val="top"/>
          </w:tcPr>
          <w:p ns2:paraId="3D6EFBF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6148.6</w:t>
            </w:r>
          </w:p>
        </w:tc>
        <w:tc>
          <w:tcPr>
            <w:tcW w:w="0" w:type="auto"/>
            <w:shd w:val="clear"/>
            <w:tcMar>
              <w:top w:w="140" w:type="dxa"/>
              <w:bottom w:w="140" w:type="dxa"/>
            </w:tcMar>
            <w:vAlign w:val="top"/>
          </w:tcPr>
          <w:p ns2:paraId="47034BA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0.016</w:t>
            </w:r>
          </w:p>
        </w:tc>
        <w:tc>
          <w:tcPr>
            <w:tcW w:w="0" w:type="auto"/>
            <w:shd w:val="clear"/>
            <w:tcMar>
              <w:top w:w="140" w:type="dxa"/>
              <w:bottom w:w="140" w:type="dxa"/>
            </w:tcMar>
            <w:vAlign w:val="top"/>
          </w:tcPr>
          <w:p ns2:paraId="31BD646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9</w:t>
            </w:r>
          </w:p>
        </w:tc>
        <w:tc>
          <w:tcPr>
            <w:tcW w:w="0" w:type="auto"/>
            <w:shd w:val="clear"/>
            <w:tcMar>
              <w:top w:w="140" w:type="dxa"/>
              <w:bottom w:w="140" w:type="dxa"/>
            </w:tcMar>
            <w:vAlign w:val="top"/>
          </w:tcPr>
          <w:p ns2:paraId="6D2177A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0.016</w:t>
            </w:r>
          </w:p>
        </w:tc>
      </w:tr>
      <w:tr ns2:paraId="48C571C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6E792F3">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5D5DAB0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w:t>
            </w:r>
          </w:p>
        </w:tc>
        <w:tc>
          <w:tcPr>
            <w:tcW w:w="0" w:type="auto"/>
            <w:shd w:val="clear"/>
            <w:tcMar>
              <w:top w:w="140" w:type="dxa"/>
              <w:bottom w:w="140" w:type="dxa"/>
            </w:tcMar>
            <w:vAlign w:val="top"/>
          </w:tcPr>
          <w:p ns2:paraId="10F3A63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16801.0</w:t>
            </w:r>
          </w:p>
        </w:tc>
        <w:tc>
          <w:tcPr>
            <w:tcW w:w="0" w:type="auto"/>
            <w:shd w:val="clear"/>
            <w:tcMar>
              <w:top w:w="140" w:type="dxa"/>
              <w:bottom w:w="140" w:type="dxa"/>
            </w:tcMar>
            <w:vAlign w:val="top"/>
          </w:tcPr>
          <w:p ns2:paraId="3F827BA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0.006</w:t>
            </w:r>
          </w:p>
        </w:tc>
        <w:tc>
          <w:tcPr>
            <w:tcW w:w="0" w:type="auto"/>
            <w:shd w:val="clear"/>
            <w:tcMar>
              <w:top w:w="140" w:type="dxa"/>
              <w:bottom w:w="140" w:type="dxa"/>
            </w:tcMar>
            <w:vAlign w:val="top"/>
          </w:tcPr>
          <w:p ns2:paraId="5054DEE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9</w:t>
            </w:r>
          </w:p>
        </w:tc>
        <w:tc>
          <w:tcPr>
            <w:tcW w:w="0" w:type="auto"/>
            <w:shd w:val="clear"/>
            <w:tcMar>
              <w:top w:w="140" w:type="dxa"/>
              <w:bottom w:w="140" w:type="dxa"/>
            </w:tcMar>
            <w:vAlign w:val="top"/>
          </w:tcPr>
          <w:p ns2:paraId="23222B4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0.006</w:t>
            </w:r>
          </w:p>
        </w:tc>
      </w:tr>
      <w:tr ns2:paraId="646CF7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AD08900">
            <w:pPr>
              <w:rPr>
                <w:rFonts w:hint="eastAsia" w:ascii="SimSun"/>
                <w:sz w:val="18"/>
                <w:szCs w:val="18"/>
                <w:vertAlign w:val="baseline"/>
              </w:rPr>
              <w:spacing w:line="240" w:lineRule="auto" w:before="0" w:after="0"/>
            </w:pPr>
          </w:p>
        </w:tc>
        <w:tc>
          <w:tcPr>
            <w:tcW w:w="0" w:type="auto"/>
            <w:shd w:val="clear"/>
            <w:tcMar>
              <w:top w:w="140" w:type="dxa"/>
              <w:bottom w:w="140" w:type="dxa"/>
            </w:tcMar>
            <w:vAlign w:val="top"/>
          </w:tcPr>
          <w:p ns2:paraId="15699A6A">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Variation</w:t>
            </w:r>
          </w:p>
        </w:tc>
        <w:tc>
          <w:tcPr>
            <w:tcW w:w="0" w:type="auto"/>
            <w:shd w:val="clear"/>
            <w:tcMar>
              <w:top w:w="140" w:type="dxa"/>
              <w:bottom w:w="140" w:type="dxa"/>
            </w:tcMar>
            <w:vAlign w:val="top"/>
          </w:tcPr>
          <w:p ns2:paraId="77381CEA">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144.2×</w:t>
            </w:r>
          </w:p>
        </w:tc>
        <w:tc>
          <w:tcPr>
            <w:tcW w:w="0" w:type="auto"/>
            <w:shd w:val="clear"/>
            <w:tcMar>
              <w:top w:w="140" w:type="dxa"/>
              <w:bottom w:w="140" w:type="dxa"/>
            </w:tcMar>
            <w:vAlign w:val="top"/>
          </w:tcPr>
          <w:p ns2:paraId="40A313D3">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144.2×</w:t>
            </w:r>
          </w:p>
        </w:tc>
        <w:tc>
          <w:tcPr>
            <w:tcW w:w="0" w:type="auto"/>
            <w:shd w:val="clear"/>
            <w:tcMar>
              <w:top w:w="140" w:type="dxa"/>
              <w:bottom w:w="140" w:type="dxa"/>
            </w:tcMar>
            <w:vAlign w:val="top"/>
          </w:tcPr>
          <w:p ns2:paraId="3A081331">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4 units</w:t>
            </w:r>
          </w:p>
        </w:tc>
        <w:tc>
          <w:tcPr>
            <w:tcW w:w="0" w:type="auto"/>
            <w:shd w:val="clear"/>
            <w:tcMar>
              <w:top w:w="140" w:type="dxa"/>
              <w:bottom w:w="140" w:type="dxa"/>
            </w:tcMar>
            <w:vAlign w:val="top"/>
          </w:tcPr>
          <w:p ns2:paraId="75547C8C">
            <w:pPr>
              <w:keepNext w:val="0"/>
              <w:keepLines w:val="0"/>
              <w:widowControl/>
              <w:suppressLineNumbers w:val="0"/>
              <w:spacing w:line="240" w:lineRule="auto" w:before="0" w:after="0"/>
              <w:ind w:left="0" w:firstLine="0"/>
              <w:jc w:val="left"/>
              <w:textAlignment w:val="baseline"/>
              <w:rPr>
                <w:sz w:val="18"/>
                <w:szCs w:val="18"/>
              </w:rPr>
            </w:pPr>
            <w:r>
              <w:rPr>
                <w:rStyle w:val="9"/>
                <w:rFonts w:ascii="SimSun" w:hAnsi="SimSun" w:eastAsia="SimSun" w:cs="SimSun"/>
                <w:b/>
                <w:bCs/>
                <w:kern w:val="0"/>
                <w:sz w:val="18"/>
                <w:szCs w:val="18"/>
                <w:vertAlign w:val="baseline"/>
                <w:lang w:val="en-US" w:eastAsia="zh-CN" w:bidi="ar"/>
              </w:rPr>
              <w:t>144.0×</w:t>
            </w:r>
          </w:p>
        </w:tc>
      </w:tr>
    </w:tbl>
    <w:p ns2:paraId="0D07114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decoupling is striking. Across the threefold capacity variation S_max ∈ [100, 300]:</w:t>
      </w:r>
    </w:p>
    <w:p ns2:paraId="660A1393">
      <w:pPr>
        <w:keepNext w:val="0"/>
        <w:keepLines w:val="0"/>
        <w:widowControl/>
        <w:numPr>
          <w:ilvl w:val="0"/>
          <w:numId w:val="2"/>
        </w:numPr>
        <w:suppressLineNumbers w:val="0"/>
        <w:spacing w:before="0" w:beforeAutospacing="0" w:after="0" w:afterAutospacing="0" w:line="480" w:lineRule="auto"/>
        <w:ind w:left="0" w:hanging="360"/>
      </w:pPr>
      <w:r>
        <w:rPr>
          <w:rFonts w:hint="default" w:ascii="Segoe UI" w:hAnsi="Segoe UI" w:eastAsia="Segoe UI" w:cs="Segoe UI"/>
          <w:i w:val="0"/>
          <w:iCs w:val="0"/>
          <w:caps w:val="0"/>
          <w:spacing w:val="0"/>
          <w:sz w:val="14"/>
          <w:szCs w:val="14"/>
          <w:bdr w:val="none" w:color="auto" w:sz="0" w:space="0"/>
          <w:shd w:val="clear" w:fill="FDFCFE"/>
        </w:rPr>
        <w:t>The mean cycle time E[τ] varies by factors of 5.6×, 7.3×, and 144.2× across the three configurations. This is the expected behavior: a larger storage ceiling provides more headroom, dramatically extending the typical time to collapse.</w:t>
      </w:r>
    </w:p>
    <w:p ns2:paraId="4A8E4A36">
      <w:pPr>
        <w:keepNext w:val="0"/>
        <w:keepLines w:val="0"/>
        <w:widowControl/>
        <w:numPr>
          <w:ilvl w:val="0"/>
          <w:numId w:val="2"/>
        </w:numPr>
        <w:suppressLineNumbers w:val="0"/>
        <w:spacing w:before="0" w:beforeAutospacing="0" w:after="0" w:afterAutospacing="0" w:line="480" w:lineRule="auto"/>
        <w:ind w:left="0" w:hanging="360"/>
      </w:pPr>
      <w:r>
        <w:rPr>
          <w:rFonts w:hint="default" w:ascii="Segoe UI" w:hAnsi="Segoe UI" w:eastAsia="Segoe UI" w:cs="Segoe UI"/>
          <w:i w:val="0"/>
          <w:iCs w:val="0"/>
          <w:caps w:val="0"/>
          <w:spacing w:val="0"/>
          <w:sz w:val="14"/>
          <w:szCs w:val="14"/>
          <w:bdr w:val="none" w:color="auto" w:sz="0" w:space="0"/>
          <w:shd w:val="clear" w:fill="FDFCFE"/>
        </w:rPr>
        <w:t>The long-run cost g_RTF varies by the same factors (since g_RTF = K_f / E[τ] for fixed K_f).</w:t>
      </w:r>
    </w:p>
    <w:p ns2:paraId="265DDF3E">
      <w:pPr>
        <w:keepNext w:val="0"/>
        <w:keepLines w:val="0"/>
        <w:widowControl/>
        <w:numPr>
          <w:ilvl w:val="0"/>
          <w:numId w:val="2"/>
        </w:numPr>
        <w:suppressLineNumbers w:val="0"/>
        <w:spacing w:before="0" w:beforeAutospacing="0" w:after="0" w:afterAutospacing="0" w:line="480" w:lineRule="auto"/>
        <w:ind w:left="0" w:hanging="360"/>
      </w:pPr>
      <w:r>
        <w:rPr>
          <w:rFonts w:hint="default" w:ascii="Segoe UI" w:hAnsi="Segoe UI" w:eastAsia="Segoe UI" w:cs="Segoe UI"/>
          <w:i w:val="0"/>
          <w:iCs w:val="0"/>
          <w:caps w:val="0"/>
          <w:spacing w:val="0"/>
          <w:sz w:val="14"/>
          <w:szCs w:val="14"/>
          <w:bdr w:val="none" w:color="auto" w:sz="0" w:space="0"/>
          <w:shd w:val="clear" w:fill="FDFCFE"/>
        </w:rPr>
        <w:t>The optimal threshold s* varies by 3 units, 0 units, and 4 units respectively. In the second configuration (p = 0.10, λ/C = 0.85), s* is identically equal to 34 across all six capacity values.</w:t>
      </w:r>
    </w:p>
    <w:p ns2:paraId="703C5C7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decoupling has a direct operational implication. The threshold s* is the actionable parameter from the practitioner's perspective: it is the buffer level at which preventive replenishment is triggered. The mean cycle time E[τ] is a system performance summary, useful for forecasting collapse frequency but not directly actionable. The fact that s* is substantially more stable than E[τ] under capacity variation means that a practitioner who calibrates the threshold on a representative capacity value—say, an average warehouse size in a fleet of facilities—can deploy that threshold across the fleet with negligible loss of optimality, even when individual facility capacities differ by factors of 2× or 3×.</w:t>
      </w:r>
    </w:p>
    <w:p ns2:paraId="6C8FEC8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note that s* is not literally invariant to S_max. The variation of up to 4 units across the tested range corresponds to approximately 8% of the reset level s_reset = X₀ = 50. We therefore use the term "substantially more stable than E[τ]" rather than "invariant."</w:t>
      </w:r>
    </w:p>
    <w:p ns2:paraId="44F21AE7">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5.6 Robustness to parameter misspecification</w:t>
      </w:r>
    </w:p>
    <w:p ns2:paraId="78D85C8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MDP threshold policy depends on accurate knowledge of the disruption rate p and the demand rate λ. In practice, both are estimated from historical data and are subject to estimation error. We assess the sensitivity of policy performance to misspecification by computing the regret incurred when the threshold is calibrated under a perturbed parameter and applied to the system at the true parameter:</w:t>
      </w:r>
    </w:p>
    <w:p ns2:paraId="38F6A247">
      <w:pPr>
        <w:pStyle w:val="10"/>
        <w:keepNext w:val="0"/>
        <w:keepLines w:val="0"/>
        <w:widowControl/>
        <w:suppressLineNumbers w:val="0"/>
        <w:jc w:val="center"/>
        <w:spacing w:line="360" w:lineRule="auto" w:before="120" w:after="120"/>
        <w:tabs>
          <w:tab w:val="center" w:pos="4680"/>
          <w:tab w:val="right" w:pos="9360"/>
        </w:tabs>
      </w:pPr>
      <w:r>
        <w:tab/>
      </w:r>
      <m:oMathPara>
        <m:oMath>
          <m:r>
            <m:rPr>
              <m:sty m:val="p"/>
            </m:rPr>
            <m:t>regret</m:t>
          </m:r>
          <m:r>
            <m:rPr>
              <m:sty m:val="i"/>
            </m:rPr>
            <m:t>(</m:t>
          </m:r>
          <m:acc>
            <m:accPr>
              <m:chr m:val="^"/>
            </m:accPr>
            <m:e>
              <m:r>
                <m:rPr>
                  <m:sty m:val="i"/>
                </m:rPr>
                <m:t>p</m:t>
              </m:r>
            </m:e>
          </m:acc>
          <m:r>
            <m:rPr>
              <m:sty m:val="i"/>
            </m:rPr>
            <m:t>,</m:t>
          </m:r>
          <m:acc>
            <m:accPr>
              <m:chr m:val="^"/>
            </m:accPr>
            <m:e>
              <m:r>
                <m:rPr>
                  <m:sty m:val="i"/>
                </m:rPr>
                <m:t>λ</m:t>
              </m:r>
            </m:e>
          </m:acc>
          <m:r>
            <m:rPr>
              <m:sty m:val="i"/>
            </m:rPr>
            <m:t>)</m:t>
          </m:r>
          <m:r>
            <m:rPr>
              <m:sty m:val="i"/>
            </m:rPr>
            <m:t>=</m:t>
          </m:r>
          <m:f>
            <m:num>
              <m:r>
                <m:rPr>
                  <m:sty m:val="i"/>
                </m:rPr>
                <m:t>g</m:t>
              </m:r>
              <m:r>
                <m:rPr>
                  <m:sty m:val="i"/>
                </m:rPr>
                <m:t>(</m:t>
              </m:r>
              <m:sSup>
                <m:e>
                  <m:r>
                    <m:rPr>
                      <m:sty m:val="i"/>
                    </m:rPr>
                    <m:t>s</m:t>
                  </m:r>
                </m:e>
                <m:sup>
                  <m:r>
                    <m:rPr>
                      <m:sty m:val="i"/>
                    </m:rPr>
                    <m:t>*</m:t>
                  </m:r>
                </m:sup>
              </m:sSup>
              <m:r>
                <m:rPr>
                  <m:sty m:val="i"/>
                </m:rPr>
                <m:t>(</m:t>
              </m:r>
              <m:acc>
                <m:accPr>
                  <m:chr m:val="^"/>
                </m:accPr>
                <m:e>
                  <m:r>
                    <m:rPr>
                      <m:sty m:val="i"/>
                    </m:rPr>
                    <m:t>p</m:t>
                  </m:r>
                </m:e>
              </m:acc>
              <m:r>
                <m:rPr>
                  <m:sty m:val="i"/>
                </m:rPr>
                <m:t>,</m:t>
              </m:r>
              <m:acc>
                <m:accPr>
                  <m:chr m:val="^"/>
                </m:accPr>
                <m:e>
                  <m:r>
                    <m:rPr>
                      <m:sty m:val="i"/>
                    </m:rPr>
                    <m:t>λ</m:t>
                  </m:r>
                </m:e>
              </m:acc>
              <m:r>
                <m:rPr>
                  <m:sty m:val="i"/>
                </m:rPr>
                <m:t>)</m:t>
              </m:r>
              <m:r>
                <m:rPr>
                  <m:sty m:val="i"/>
                </m:rPr>
                <m:t>;</m:t>
              </m:r>
              <m:sSub>
                <m:e>
                  <m:r>
                    <m:rPr>
                      <m:sty m:val="i"/>
                    </m:rPr>
                    <m:t>p</m:t>
                  </m:r>
                </m:e>
                <m:sub>
                  <m:r>
                    <m:rPr>
                      <m:sty m:val="p"/>
                    </m:rPr>
                    <m:t>true</m:t>
                  </m:r>
                </m:sub>
              </m:sSub>
              <m:r>
                <m:rPr>
                  <m:sty m:val="i"/>
                </m:rPr>
                <m:t>,</m:t>
              </m:r>
              <m:sSub>
                <m:e>
                  <m:r>
                    <m:rPr>
                      <m:sty m:val="i"/>
                    </m:rPr>
                    <m:t>λ</m:t>
                  </m:r>
                </m:e>
                <m:sub>
                  <m:r>
                    <m:rPr>
                      <m:sty m:val="p"/>
                    </m:rPr>
                    <m:t>true</m:t>
                  </m:r>
                </m:sub>
              </m:sSub>
              <m:r>
                <m:rPr>
                  <m:sty m:val="i"/>
                </m:rPr>
                <m:t>)</m:t>
              </m:r>
              <m:r>
                <m:rPr>
                  <m:sty m:val="i"/>
                </m:rPr>
                <m:t>-</m:t>
              </m:r>
              <m:r>
                <m:rPr>
                  <m:sty m:val="i"/>
                </m:rPr>
                <m:t>g</m:t>
              </m:r>
              <m:r>
                <m:rPr>
                  <m:sty m:val="i"/>
                </m:rPr>
                <m:t>(</m:t>
              </m:r>
              <m:sSup>
                <m:e>
                  <m:r>
                    <m:rPr>
                      <m:sty m:val="i"/>
                    </m:rPr>
                    <m:t>s</m:t>
                  </m:r>
                </m:e>
                <m:sup>
                  <m:r>
                    <m:rPr>
                      <m:sty m:val="i"/>
                    </m:rPr>
                    <m:t>*</m:t>
                  </m:r>
                </m:sup>
              </m:sSup>
              <m:r>
                <m:rPr>
                  <m:sty m:val="i"/>
                </m:rPr>
                <m:t>(</m:t>
              </m:r>
              <m:sSub>
                <m:e>
                  <m:r>
                    <m:rPr>
                      <m:sty m:val="i"/>
                    </m:rPr>
                    <m:t>p</m:t>
                  </m:r>
                </m:e>
                <m:sub>
                  <m:r>
                    <m:rPr>
                      <m:sty m:val="p"/>
                    </m:rPr>
                    <m:t>true</m:t>
                  </m:r>
                </m:sub>
              </m:sSub>
              <m:r>
                <m:rPr>
                  <m:sty m:val="i"/>
                </m:rPr>
                <m:t>,</m:t>
              </m:r>
              <m:sSub>
                <m:e>
                  <m:r>
                    <m:rPr>
                      <m:sty m:val="i"/>
                    </m:rPr>
                    <m:t>λ</m:t>
                  </m:r>
                </m:e>
                <m:sub>
                  <m:r>
                    <m:rPr>
                      <m:sty m:val="p"/>
                    </m:rPr>
                    <m:t>true</m:t>
                  </m:r>
                </m:sub>
              </m:sSub>
              <m:r>
                <m:rPr>
                  <m:sty m:val="i"/>
                </m:rPr>
                <m:t>)</m:t>
              </m:r>
              <m:r>
                <m:rPr>
                  <m:sty m:val="i"/>
                </m:rPr>
                <m:t>;</m:t>
              </m:r>
              <m:sSub>
                <m:e>
                  <m:r>
                    <m:rPr>
                      <m:sty m:val="i"/>
                    </m:rPr>
                    <m:t>p</m:t>
                  </m:r>
                </m:e>
                <m:sub>
                  <m:r>
                    <m:rPr>
                      <m:sty m:val="p"/>
                    </m:rPr>
                    <m:t>true</m:t>
                  </m:r>
                </m:sub>
              </m:sSub>
              <m:r>
                <m:rPr>
                  <m:sty m:val="i"/>
                </m:rPr>
                <m:t>,</m:t>
              </m:r>
              <m:sSub>
                <m:e>
                  <m:r>
                    <m:rPr>
                      <m:sty m:val="i"/>
                    </m:rPr>
                    <m:t>λ</m:t>
                  </m:r>
                </m:e>
                <m:sub>
                  <m:r>
                    <m:rPr>
                      <m:sty m:val="p"/>
                    </m:rPr>
                    <m:t>true</m:t>
                  </m:r>
                </m:sub>
              </m:sSub>
              <m:r>
                <m:rPr>
                  <m:sty m:val="i"/>
                </m:rPr>
                <m:t>)</m:t>
              </m:r>
            </m:num>
            <m:den>
              <m:r>
                <m:rPr>
                  <m:sty m:val="i"/>
                </m:rPr>
                <m:t>g</m:t>
              </m:r>
              <m:r>
                <m:rPr>
                  <m:sty m:val="i"/>
                </m:rPr>
                <m:t>(</m:t>
              </m:r>
              <m:sSup>
                <m:e>
                  <m:r>
                    <m:rPr>
                      <m:sty m:val="i"/>
                    </m:rPr>
                    <m:t>s</m:t>
                  </m:r>
                </m:e>
                <m:sup>
                  <m:r>
                    <m:rPr>
                      <m:sty m:val="i"/>
                    </m:rPr>
                    <m:t>*</m:t>
                  </m:r>
                </m:sup>
              </m:sSup>
              <m:r>
                <m:rPr>
                  <m:sty m:val="i"/>
                </m:rPr>
                <m:t>(</m:t>
              </m:r>
              <m:sSub>
                <m:e>
                  <m:r>
                    <m:rPr>
                      <m:sty m:val="i"/>
                    </m:rPr>
                    <m:t>p</m:t>
                  </m:r>
                </m:e>
                <m:sub>
                  <m:r>
                    <m:rPr>
                      <m:sty m:val="p"/>
                    </m:rPr>
                    <m:t>true</m:t>
                  </m:r>
                </m:sub>
              </m:sSub>
              <m:r>
                <m:rPr>
                  <m:sty m:val="i"/>
                </m:rPr>
                <m:t>,</m:t>
              </m:r>
              <m:sSub>
                <m:e>
                  <m:r>
                    <m:rPr>
                      <m:sty m:val="i"/>
                    </m:rPr>
                    <m:t>λ</m:t>
                  </m:r>
                </m:e>
                <m:sub>
                  <m:r>
                    <m:rPr>
                      <m:sty m:val="p"/>
                    </m:rPr>
                    <m:t>true</m:t>
                  </m:r>
                </m:sub>
              </m:sSub>
              <m:r>
                <m:rPr>
                  <m:sty m:val="i"/>
                </m:rPr>
                <m:t>)</m:t>
              </m:r>
              <m:r>
                <m:rPr>
                  <m:sty m:val="i"/>
                </m:rPr>
                <m:t>;</m:t>
              </m:r>
              <m:sSub>
                <m:e>
                  <m:r>
                    <m:rPr>
                      <m:sty m:val="i"/>
                    </m:rPr>
                    <m:t>p</m:t>
                  </m:r>
                </m:e>
                <m:sub>
                  <m:r>
                    <m:rPr>
                      <m:sty m:val="p"/>
                    </m:rPr>
                    <m:t>true</m:t>
                  </m:r>
                </m:sub>
              </m:sSub>
              <m:r>
                <m:rPr>
                  <m:sty m:val="i"/>
                </m:rPr>
                <m:t>,</m:t>
              </m:r>
              <m:sSub>
                <m:e>
                  <m:r>
                    <m:rPr>
                      <m:sty m:val="i"/>
                    </m:rPr>
                    <m:t>λ</m:t>
                  </m:r>
                </m:e>
                <m:sub>
                  <m:r>
                    <m:rPr>
                      <m:sty m:val="p"/>
                    </m:rPr>
                    <m:t>true</m:t>
                  </m:r>
                </m:sub>
              </m:sSub>
              <m:r>
                <m:rPr>
                  <m:sty m:val="i"/>
                </m:rPr>
                <m:t>)</m:t>
              </m:r>
            </m:den>
          </m:f>
        </m:oMath>
      </m:oMathPara>
      <w:r>
        <w:tab/>
      </w:r>
      <w:r>
        <w:rPr>
          <w:rFonts w:ascii="Times New Roman" w:hAnsi="Times New Roman" w:eastAsia="Times New Roman" w:cs="Times New Roman"/>
          <w:sz w:val="24"/>
          <w:szCs w:val="24"/>
        </w:rPr>
        <w:t>(19)</w:t>
      </w:r>
    </w:p>
    <w:p ns2:paraId="7F63FD6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evaluate regret at the configuration p_true = 0.15, λ_true = 80 for parameter errors of ±10%, ±20%, and ±30% in each of p and λ separately. Table 7 reports the results.</w:t>
      </w:r>
    </w:p>
    <w:p ns2:paraId="0FC321C1">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7.</w:t>
      </w:r>
      <w:r>
        <w:rPr>
          <w:rFonts w:hint="default" w:ascii="Segoe UI" w:hAnsi="Segoe UI" w:eastAsia="Segoe UI" w:cs="Segoe UI"/>
          <w:i w:val="0"/>
          <w:iCs w:val="0"/>
          <w:caps w:val="0"/>
          <w:spacing w:val="0"/>
          <w:sz w:val="14"/>
          <w:szCs w:val="14"/>
          <w:shd w:val="clear" w:fill="FDFCFE"/>
        </w:rPr>
        <w:t> Regret under parameter misspecification at p_true = 0.15, λ_true = 80.</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4"/>
        <w:gridCol w:w="699"/>
        <w:gridCol w:w="1746"/>
        <w:gridCol w:w="1091"/>
        <w:gridCol w:w="830"/>
      </w:tblGrid>
      <w:tr ns2:paraId="356877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12758160">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Misspecified parameter</w:t>
            </w:r>
          </w:p>
        </w:tc>
        <w:tc>
          <w:tcPr>
            <w:tcW w:w="0" w:type="auto"/>
            <w:shd w:val="clear"/>
            <w:tcMar>
              <w:bottom w:w="140" w:type="dxa"/>
            </w:tcMar>
            <w:vAlign w:val="bottom"/>
          </w:tcPr>
          <w:p ns2:paraId="6823511E">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Error</w:t>
            </w:r>
          </w:p>
        </w:tc>
        <w:tc>
          <w:tcPr>
            <w:tcW w:w="0" w:type="auto"/>
            <w:shd w:val="clear"/>
            <w:tcMar>
              <w:bottom w:w="140" w:type="dxa"/>
            </w:tcMar>
            <w:vAlign w:val="bottom"/>
          </w:tcPr>
          <w:p ns2:paraId="66CBE6E1">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s*(estimated)</w:t>
            </w:r>
          </w:p>
        </w:tc>
        <w:tc>
          <w:tcPr>
            <w:tcW w:w="0" w:type="auto"/>
            <w:shd w:val="clear"/>
            <w:tcMar>
              <w:bottom w:w="140" w:type="dxa"/>
            </w:tcMar>
            <w:vAlign w:val="bottom"/>
          </w:tcPr>
          <w:p ns2:paraId="743400AD">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s*(true)</w:t>
            </w:r>
          </w:p>
        </w:tc>
        <w:tc>
          <w:tcPr>
            <w:tcW w:w="0" w:type="auto"/>
            <w:shd w:val="clear"/>
            <w:tcMar>
              <w:bottom w:w="140" w:type="dxa"/>
            </w:tcMar>
            <w:vAlign w:val="bottom"/>
          </w:tcPr>
          <w:p ns2:paraId="7138C741">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Regret</w:t>
            </w:r>
          </w:p>
        </w:tc>
      </w:tr>
      <w:tr ns2:paraId="2185F61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5C7DAB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71526CC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shd w:val="clear"/>
            <w:tcMar>
              <w:top w:w="140" w:type="dxa"/>
              <w:bottom w:w="140" w:type="dxa"/>
            </w:tcMar>
            <w:vAlign w:val="top"/>
          </w:tcPr>
          <w:p ns2:paraId="692F992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shd w:val="clear"/>
            <w:tcMar>
              <w:top w:w="140" w:type="dxa"/>
              <w:bottom w:w="140" w:type="dxa"/>
            </w:tcMar>
            <w:vAlign w:val="top"/>
          </w:tcPr>
          <w:p ns2:paraId="44D1E39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624A197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0.575%</w:t>
            </w:r>
          </w:p>
        </w:tc>
      </w:tr>
      <w:tr ns2:paraId="55A8D44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95ADF5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4CECBEA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66F2716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33</w:t>
            </w:r>
          </w:p>
        </w:tc>
        <w:tc>
          <w:tcPr>
            <w:tcW w:w="0" w:type="auto"/>
            <w:shd w:val="clear"/>
            <w:tcMar>
              <w:top w:w="140" w:type="dxa"/>
              <w:bottom w:w="140" w:type="dxa"/>
            </w:tcMar>
            <w:vAlign w:val="top"/>
          </w:tcPr>
          <w:p ns2:paraId="517BC43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568F122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0.212%</w:t>
            </w:r>
          </w:p>
        </w:tc>
      </w:tr>
      <w:tr ns2:paraId="11D45FB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04C7C44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6F0A06F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3109AF8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36</w:t>
            </w:r>
          </w:p>
        </w:tc>
        <w:tc>
          <w:tcPr>
            <w:tcW w:w="0" w:type="auto"/>
            <w:shd w:val="clear"/>
            <w:tcMar>
              <w:top w:w="140" w:type="dxa"/>
              <w:bottom w:w="140" w:type="dxa"/>
            </w:tcMar>
            <w:vAlign w:val="top"/>
          </w:tcPr>
          <w:p ns2:paraId="085CE77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7919A0D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0.027%</w:t>
            </w:r>
          </w:p>
        </w:tc>
      </w:tr>
      <w:tr ns2:paraId="7579FDC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AD08DF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13A5180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2F752AB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509D841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513D9F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0.000%</w:t>
            </w:r>
          </w:p>
        </w:tc>
      </w:tr>
      <w:tr ns2:paraId="54CF01A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E949C3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1B391B9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46E0C17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40</w:t>
            </w:r>
          </w:p>
        </w:tc>
        <w:tc>
          <w:tcPr>
            <w:tcW w:w="0" w:type="auto"/>
            <w:shd w:val="clear"/>
            <w:tcMar>
              <w:top w:w="140" w:type="dxa"/>
              <w:bottom w:w="140" w:type="dxa"/>
            </w:tcMar>
            <w:vAlign w:val="top"/>
          </w:tcPr>
          <w:p ns2:paraId="6E388E6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1E0040B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0.049%</w:t>
            </w:r>
          </w:p>
        </w:tc>
      </w:tr>
      <w:tr ns2:paraId="2C9D20D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468387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1AD9259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435B5A1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41</w:t>
            </w:r>
          </w:p>
        </w:tc>
        <w:tc>
          <w:tcPr>
            <w:tcW w:w="0" w:type="auto"/>
            <w:shd w:val="clear"/>
            <w:tcMar>
              <w:top w:w="140" w:type="dxa"/>
              <w:bottom w:w="140" w:type="dxa"/>
            </w:tcMar>
            <w:vAlign w:val="top"/>
          </w:tcPr>
          <w:p ns2:paraId="3F1DECF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767CBDD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0.101%</w:t>
            </w:r>
          </w:p>
        </w:tc>
      </w:tr>
      <w:tr ns2:paraId="68F2FA1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842FEF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232766F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shd w:val="clear"/>
            <w:tcMar>
              <w:top w:w="140" w:type="dxa"/>
              <w:bottom w:w="140" w:type="dxa"/>
            </w:tcMar>
            <w:vAlign w:val="top"/>
          </w:tcPr>
          <w:p ns2:paraId="7A84058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43</w:t>
            </w:r>
          </w:p>
        </w:tc>
        <w:tc>
          <w:tcPr>
            <w:tcW w:w="0" w:type="auto"/>
            <w:shd w:val="clear"/>
            <w:tcMar>
              <w:top w:w="140" w:type="dxa"/>
              <w:bottom w:w="140" w:type="dxa"/>
            </w:tcMar>
            <w:vAlign w:val="top"/>
          </w:tcPr>
          <w:p ns2:paraId="6E80DC2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3213903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0.265%</w:t>
            </w:r>
          </w:p>
        </w:tc>
      </w:tr>
      <w:tr ns2:paraId="4F0E778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40A5C3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6F96BA3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shd w:val="clear"/>
            <w:tcMar>
              <w:top w:w="140" w:type="dxa"/>
              <w:bottom w:w="140" w:type="dxa"/>
            </w:tcMar>
            <w:vAlign w:val="top"/>
          </w:tcPr>
          <w:p ns2:paraId="03A7F3F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14</w:t>
            </w:r>
          </w:p>
        </w:tc>
        <w:tc>
          <w:tcPr>
            <w:tcW w:w="0" w:type="auto"/>
            <w:shd w:val="clear"/>
            <w:tcMar>
              <w:top w:w="140" w:type="dxa"/>
              <w:bottom w:w="140" w:type="dxa"/>
            </w:tcMar>
            <w:vAlign w:val="top"/>
          </w:tcPr>
          <w:p ns2:paraId="1A17B12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7C8FB11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5.315%</w:t>
            </w:r>
          </w:p>
        </w:tc>
      </w:tr>
      <w:tr ns2:paraId="0CBF1C6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AC7685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06253C8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342EB61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24</w:t>
            </w:r>
          </w:p>
        </w:tc>
        <w:tc>
          <w:tcPr>
            <w:tcW w:w="0" w:type="auto"/>
            <w:shd w:val="clear"/>
            <w:tcMar>
              <w:top w:w="140" w:type="dxa"/>
              <w:bottom w:w="140" w:type="dxa"/>
            </w:tcMar>
            <w:vAlign w:val="top"/>
          </w:tcPr>
          <w:p ns2:paraId="5B7202D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50398E2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1.839%</w:t>
            </w:r>
          </w:p>
        </w:tc>
      </w:tr>
      <w:tr ns2:paraId="74E5660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9AB33F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2C0D1F0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06DEE66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33</w:t>
            </w:r>
          </w:p>
        </w:tc>
        <w:tc>
          <w:tcPr>
            <w:tcW w:w="0" w:type="auto"/>
            <w:shd w:val="clear"/>
            <w:tcMar>
              <w:top w:w="140" w:type="dxa"/>
              <w:bottom w:w="140" w:type="dxa"/>
            </w:tcMar>
            <w:vAlign w:val="top"/>
          </w:tcPr>
          <w:p ns2:paraId="6B1C6FC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6F7D16F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0.212%</w:t>
            </w:r>
          </w:p>
        </w:tc>
      </w:tr>
      <w:tr ns2:paraId="379345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ED36C5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6743DE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7E8E42E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3EB8CDD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766E827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0.000%</w:t>
            </w:r>
          </w:p>
        </w:tc>
      </w:tr>
    </w:tbl>
    <w:p ns2:paraId="13962791">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Two patterns emerge. First, regret is below 1% for parameter errors of up to ±30% in p, indicating that the policy is highly robust to misspecification of the disruption rate. Second, regret is bounded by 6% for parameter errors of up to ±30% in λ, with the largest regret of 5.3% occurring at λ̂ = 0.7 · λ_true. The asymmetry reflects the structural role of the two parameters: p enters the cost only through the cycle frequency, while λ enters the drift directly via δ = (1−p)C − λ, so a misspecified λ has a larger leverage on the optimal threshold.</w:t>
      </w:r>
    </w:p>
    <w:p ns2:paraId="764C8E8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robustness profile complements the capacity invariance result of Section 5.5. Together, the two results suggest that the threshold policy is operationally deployable in settings where neither the system capacity nor the underlying parameters are known precisely.</w:t>
      </w:r>
    </w:p>
    <w:p ns2:paraId="0EF74FAB">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2" ns4:spt="1" style="height:1.5pt;width:432pt;" fillcolor="#A0A0A0" filled="t" stroked="f" coordsize="21600,21600" ns4:hr="t" ns4:hrstd="t" ns4:hralign="center">
            <ns3:path/>
            <ns3:fill on="t" focussize="0,0"/>
            <ns3:stroke on="f"/>
            <ns3:imagedata ns4:title=""/>
            <ns4:lock ns3:ext="edit"/>
            <ns5:wrap type="none"/>
            <ns5:anchorlock/>
          </ns3:rect>
        </w:pict>
      </w:r>
    </w:p>
    <w:p ns2:paraId="479F568B">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6. Numerical evidence and policy performance</w:t>
      </w:r>
    </w:p>
    <w:p ns2:paraId="09DBD0F2">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6.1 Experimental setup</w:t>
      </w:r>
    </w:p>
    <w:p ns2:paraId="5E48FFE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All numerical experiments use the baseline parameter set X₀ = 50, C = 100, S_max = 180 unless otherwise stated. The operating grid spans p ∈ {0.05, 0.10, 0.15, 0.20, 0.25, 0.30} and λ/C ∈ {0.60, 0.70, 0.75, 0.80, 0.85, 0.90}, yielding 36 candidate configurations of which 21 satisfy the stability condition δ &gt; 0. The cost ratio K_f/K_p is varied across {5, 10, 20, 50, 100}, with K_p = 10 fixed and K_f/K_p = 10 used as the default for grid-wide experiments. All MDP solutions are computed by relative value iteration on the threshold-restricted policy class as described in Section 5.1.</w:t>
      </w:r>
    </w:p>
    <w:p ns2:paraId="21DE0E7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For the IG calibration of Section 3.2, the simulator uses 1.5×10⁴ replications per design point with horizon 3×10⁵ periods, on the unbounded version of the recursion (no upper cap). We do not use antithetic variates. Configurations with fewer than 500 observed collapses are excluded; the 42 design points reported in Section 3.2 are the post-filter retained sample from the candidate grid.</w:t>
      </w:r>
    </w:p>
    <w:p ns2:paraId="65ADF6BD">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6.2 Sanity checks</w:t>
      </w:r>
    </w:p>
    <w:p ns2:paraId="0EEFFAC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summarize the verification checks performed on the numerical pipeline. First, the transition kernel satisfies row-sum conservation to numerical precision: the maximum row-sum error across all configurations is below 5 × 10⁻¹⁵, and the maximum elementwise difference against an independent reference computed via scipy.stats.poisson is below 5 × 10⁻¹⁵. Second, the conditional Lemma 1 hypothesis g_RTF &lt; K_p is verified numerically for every configuration in the parameter sweep before reporting s*. Third, the structural inequality g_CBM ≤ g_RTF holds in all configurations, with equality occurring exactly when s* = 0. Fourth, the limit lim_{T→∞} g_AB(T) = g_RTF is verified to within 0.01% relative error at T = 5000 in all configurations. Fifth, the cost landscape g(s*) over the admissible threshold range {0, ..., s_reset − 1} is unimodal in every configuration examined.</w:t>
      </w:r>
    </w:p>
    <w:p ns2:paraId="6A563D8B">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6.3 Heatmap over the operating grid</w:t>
      </w:r>
    </w:p>
    <w:p ns2:paraId="241360D1">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Table 8 reports the threshold and cost-reduction summary across the 21 feasible configurations of the operating grid at K_f/K_p = 10. Two diagnostic categories are reported: configurations in which the age-based numerical optimum is boundary-divergent (T</w:t>
      </w:r>
      <w:r>
        <w:rPr>
          <w:rStyle w:val="7"/>
          <w:rFonts w:hint="default" w:ascii="Segoe UI" w:hAnsi="Segoe UI" w:eastAsia="Segoe UI" w:cs="Segoe UI"/>
          <w:i w:val="0"/>
          <w:iCs w:val="0"/>
          <w:caps w:val="0"/>
          <w:spacing w:val="0"/>
          <w:sz w:val="14"/>
          <w:szCs w:val="14"/>
          <w:shd w:val="clear" w:fill="FDFCFE"/>
        </w:rPr>
        <w:t>_AB ≥ T_max − 5, meaning g_AB^opt is set to g_RTF), and configurations exhibiting the </w:t>
      </w:r>
      <w:r>
        <w:rPr>
          <w:rStyle w:val="9"/>
          <w:rFonts w:hint="default" w:ascii="Segoe UI" w:hAnsi="Segoe UI" w:eastAsia="Segoe UI" w:cs="Segoe UI"/>
          <w:b/>
          <w:bCs/>
          <w:i w:val="0"/>
          <w:iCs w:val="0"/>
          <w:caps w:val="0"/>
          <w:spacing w:val="0"/>
          <w:sz w:val="14"/>
          <w:szCs w:val="14"/>
          <w:shd w:val="clear" w:fill="FDFCFE"/>
        </w:rPr>
        <w:t>DFR-economic signature</w:t>
      </w:r>
      <w:r>
        <w:rPr>
          <w:rStyle w:val="7"/>
          <w:rFonts w:hint="default" w:ascii="Segoe UI" w:hAnsi="Segoe UI" w:eastAsia="Segoe UI" w:cs="Segoe UI"/>
          <w:i w:val="0"/>
          <w:iCs w:val="0"/>
          <w:caps w:val="0"/>
          <w:spacing w:val="0"/>
          <w:sz w:val="14"/>
          <w:szCs w:val="14"/>
          <w:shd w:val="clear" w:fill="FDFCFE"/>
        </w:rPr>
        <w:t> (g_AB^opt − g_RTF less than 1% of g_RTF, regardless of whether T</w:t>
      </w:r>
      <w:r>
        <w:rPr>
          <w:rFonts w:hint="default" w:ascii="Segoe UI" w:hAnsi="Segoe UI" w:eastAsia="Segoe UI" w:cs="Segoe UI"/>
          <w:i w:val="0"/>
          <w:iCs w:val="0"/>
          <w:caps w:val="0"/>
          <w:spacing w:val="0"/>
          <w:sz w:val="14"/>
          <w:szCs w:val="14"/>
          <w:shd w:val="clear" w:fill="FDFCFE"/>
        </w:rPr>
        <w:t>_AB is interior or boundary).</w:t>
      </w:r>
    </w:p>
    <w:p ns2:paraId="760760DF">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8.</w:t>
      </w:r>
      <w:r>
        <w:rPr>
          <w:rFonts w:hint="default" w:ascii="Segoe UI" w:hAnsi="Segoe UI" w:eastAsia="Segoe UI" w:cs="Segoe UI"/>
          <w:i w:val="0"/>
          <w:iCs w:val="0"/>
          <w:caps w:val="0"/>
          <w:spacing w:val="0"/>
          <w:sz w:val="14"/>
          <w:szCs w:val="14"/>
          <w:shd w:val="clear" w:fill="FDFCFE"/>
        </w:rPr>
        <w:t> Operating grid summary at K_f/K_p = 10 (K_p = 10, K_f = 100).</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649"/>
        <w:gridCol w:w="655"/>
        <w:gridCol w:w="352"/>
        <w:gridCol w:w="353"/>
        <w:gridCol w:w="1250"/>
        <w:gridCol w:w="2468"/>
        <w:gridCol w:w="1563"/>
      </w:tblGrid>
      <w:tr ns2:paraId="265D97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07AB6A5B">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p</w:t>
            </w:r>
          </w:p>
        </w:tc>
        <w:tc>
          <w:tcPr>
            <w:tcW w:w="0" w:type="auto"/>
            <w:shd w:val="clear"/>
            <w:tcMar>
              <w:bottom w:w="140" w:type="dxa"/>
            </w:tcMar>
            <w:vAlign w:val="bottom"/>
          </w:tcPr>
          <w:p ns2:paraId="2B3AC775">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λ/C</w:t>
            </w:r>
          </w:p>
        </w:tc>
        <w:tc>
          <w:tcPr>
            <w:tcW w:w="0" w:type="auto"/>
            <w:shd w:val="clear"/>
            <w:tcMar>
              <w:bottom w:w="140" w:type="dxa"/>
            </w:tcMar>
            <w:vAlign w:val="bottom"/>
          </w:tcPr>
          <w:p ns2:paraId="68C37C62">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δ</w:t>
            </w:r>
          </w:p>
        </w:tc>
        <w:tc>
          <w:tcPr>
            <w:tcW w:w="0" w:type="auto"/>
            <w:shd w:val="clear"/>
            <w:tcMar>
              <w:bottom w:w="140" w:type="dxa"/>
            </w:tcMar>
            <w:vAlign w:val="bottom"/>
          </w:tcPr>
          <w:p ns2:paraId="56672375">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w:t>
            </w:r>
          </w:p>
        </w:tc>
        <w:tc>
          <w:tcPr>
            <w:tcW w:w="0" w:type="auto"/>
            <w:shd w:val="clear"/>
            <w:tcMar>
              <w:bottom w:w="140" w:type="dxa"/>
            </w:tcMar>
            <w:vAlign w:val="bottom"/>
          </w:tcPr>
          <w:p ns2:paraId="16CB94E1">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T*_AB</w:t>
            </w:r>
          </w:p>
        </w:tc>
        <w:tc>
          <w:tcPr>
            <w:tcW w:w="0" w:type="auto"/>
            <w:shd w:val="clear"/>
            <w:tcMar>
              <w:bottom w:w="140" w:type="dxa"/>
            </w:tcMar>
            <w:vAlign w:val="bottom"/>
          </w:tcPr>
          <w:p ns2:paraId="09E41C5E">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Gain over AB^opt</w:t>
            </w:r>
          </w:p>
        </w:tc>
        <w:tc>
          <w:tcPr>
            <w:tcW w:w="0" w:type="auto"/>
            <w:shd w:val="clear"/>
            <w:tcMar>
              <w:bottom w:w="140" w:type="dxa"/>
            </w:tcMar>
            <w:vAlign w:val="bottom"/>
          </w:tcPr>
          <w:p ns2:paraId="0C36B56F">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Diagnostic</w:t>
            </w:r>
          </w:p>
        </w:tc>
      </w:tr>
      <w:tr ns2:paraId="1AE6F41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978986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7B6CCD3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0.60</w:t>
            </w:r>
          </w:p>
        </w:tc>
        <w:tc>
          <w:tcPr>
            <w:tcW w:w="0" w:type="auto"/>
            <w:shd w:val="clear"/>
            <w:tcMar>
              <w:top w:w="140" w:type="dxa"/>
              <w:bottom w:w="140" w:type="dxa"/>
            </w:tcMar>
            <w:vAlign w:val="top"/>
          </w:tcPr>
          <w:p ns2:paraId="64BF68D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w:t>
            </w:r>
          </w:p>
        </w:tc>
        <w:tc>
          <w:tcPr>
            <w:tcW w:w="0" w:type="auto"/>
            <w:shd w:val="clear"/>
            <w:tcMar>
              <w:top w:w="140" w:type="dxa"/>
              <w:bottom w:w="140" w:type="dxa"/>
            </w:tcMar>
            <w:vAlign w:val="top"/>
          </w:tcPr>
          <w:p ns2:paraId="1D40DF5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16CEE9A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30E2F7D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w:t>
            </w:r>
          </w:p>
        </w:tc>
        <w:tc>
          <w:tcPr>
            <w:tcW w:w="0" w:type="auto"/>
            <w:shd w:val="clear"/>
            <w:tcMar>
              <w:top w:w="140" w:type="dxa"/>
              <w:bottom w:w="140" w:type="dxa"/>
            </w:tcMar>
            <w:vAlign w:val="top"/>
          </w:tcPr>
          <w:p ns2:paraId="0F7C338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DFR-econ</w:t>
            </w:r>
          </w:p>
        </w:tc>
      </w:tr>
      <w:tr ns2:paraId="16A6A8A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FE771F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59D47C8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0.70</w:t>
            </w:r>
          </w:p>
        </w:tc>
        <w:tc>
          <w:tcPr>
            <w:tcW w:w="0" w:type="auto"/>
            <w:shd w:val="clear"/>
            <w:tcMar>
              <w:top w:w="140" w:type="dxa"/>
              <w:bottom w:w="140" w:type="dxa"/>
            </w:tcMar>
            <w:vAlign w:val="top"/>
          </w:tcPr>
          <w:p ns2:paraId="5EC46F8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shd w:val="clear"/>
            <w:tcMar>
              <w:top w:w="140" w:type="dxa"/>
              <w:bottom w:w="140" w:type="dxa"/>
            </w:tcMar>
            <w:vAlign w:val="top"/>
          </w:tcPr>
          <w:p ns2:paraId="07032FD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322E679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2A17A98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w:t>
            </w:r>
          </w:p>
        </w:tc>
        <w:tc>
          <w:tcPr>
            <w:tcW w:w="0" w:type="auto"/>
            <w:shd w:val="clear"/>
            <w:tcMar>
              <w:top w:w="140" w:type="dxa"/>
              <w:bottom w:w="140" w:type="dxa"/>
            </w:tcMar>
            <w:vAlign w:val="top"/>
          </w:tcPr>
          <w:p ns2:paraId="7E97CC2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DFR-econ</w:t>
            </w:r>
          </w:p>
        </w:tc>
      </w:tr>
      <w:tr ns2:paraId="39BE88B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2EA5F8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184426F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0.75</w:t>
            </w:r>
          </w:p>
        </w:tc>
        <w:tc>
          <w:tcPr>
            <w:tcW w:w="0" w:type="auto"/>
            <w:shd w:val="clear"/>
            <w:tcMar>
              <w:top w:w="140" w:type="dxa"/>
              <w:bottom w:w="140" w:type="dxa"/>
            </w:tcMar>
            <w:vAlign w:val="top"/>
          </w:tcPr>
          <w:p ns2:paraId="1161674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5A0E3E7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shd w:val="clear"/>
            <w:tcMar>
              <w:top w:w="140" w:type="dxa"/>
              <w:bottom w:w="140" w:type="dxa"/>
            </w:tcMar>
            <w:vAlign w:val="top"/>
          </w:tcPr>
          <w:p ns2:paraId="55D3CB9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18BEE89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w:t>
            </w:r>
          </w:p>
        </w:tc>
        <w:tc>
          <w:tcPr>
            <w:tcW w:w="0" w:type="auto"/>
            <w:shd w:val="clear"/>
            <w:tcMar>
              <w:top w:w="140" w:type="dxa"/>
              <w:bottom w:w="140" w:type="dxa"/>
            </w:tcMar>
            <w:vAlign w:val="top"/>
          </w:tcPr>
          <w:p ns2:paraId="6ACCEB5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DFR-econ</w:t>
            </w:r>
          </w:p>
        </w:tc>
      </w:tr>
      <w:tr ns2:paraId="487D81A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2A4629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714B0B2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0.80</w:t>
            </w:r>
          </w:p>
        </w:tc>
        <w:tc>
          <w:tcPr>
            <w:tcW w:w="0" w:type="auto"/>
            <w:shd w:val="clear"/>
            <w:tcMar>
              <w:top w:w="140" w:type="dxa"/>
              <w:bottom w:w="140" w:type="dxa"/>
            </w:tcMar>
            <w:vAlign w:val="top"/>
          </w:tcPr>
          <w:p ns2:paraId="5B72445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15</w:t>
            </w:r>
          </w:p>
        </w:tc>
        <w:tc>
          <w:tcPr>
            <w:tcW w:w="0" w:type="auto"/>
            <w:shd w:val="clear"/>
            <w:tcMar>
              <w:top w:w="140" w:type="dxa"/>
              <w:bottom w:w="140" w:type="dxa"/>
            </w:tcMar>
            <w:vAlign w:val="top"/>
          </w:tcPr>
          <w:p ns2:paraId="410CF48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w:t>
            </w:r>
          </w:p>
        </w:tc>
        <w:tc>
          <w:tcPr>
            <w:tcW w:w="0" w:type="auto"/>
            <w:shd w:val="clear"/>
            <w:tcMar>
              <w:top w:w="140" w:type="dxa"/>
              <w:bottom w:w="140" w:type="dxa"/>
            </w:tcMar>
            <w:vAlign w:val="top"/>
          </w:tcPr>
          <w:p ns2:paraId="2EE0ECC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2501432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0.4%</w:t>
            </w:r>
          </w:p>
        </w:tc>
        <w:tc>
          <w:tcPr>
            <w:tcW w:w="0" w:type="auto"/>
            <w:shd w:val="clear"/>
            <w:tcMar>
              <w:top w:w="140" w:type="dxa"/>
              <w:bottom w:w="140" w:type="dxa"/>
            </w:tcMar>
            <w:vAlign w:val="top"/>
          </w:tcPr>
          <w:p ns2:paraId="6BD1219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DFR-econ</w:t>
            </w:r>
          </w:p>
        </w:tc>
      </w:tr>
      <w:tr ns2:paraId="0B94CC8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281FAB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5A87FC6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0.85</w:t>
            </w:r>
          </w:p>
        </w:tc>
        <w:tc>
          <w:tcPr>
            <w:tcW w:w="0" w:type="auto"/>
            <w:shd w:val="clear"/>
            <w:tcMar>
              <w:top w:w="140" w:type="dxa"/>
              <w:bottom w:w="140" w:type="dxa"/>
            </w:tcMar>
            <w:vAlign w:val="top"/>
          </w:tcPr>
          <w:p ns2:paraId="1EAA659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1C51CB4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17</w:t>
            </w:r>
          </w:p>
        </w:tc>
        <w:tc>
          <w:tcPr>
            <w:tcW w:w="0" w:type="auto"/>
            <w:shd w:val="clear"/>
            <w:tcMar>
              <w:top w:w="140" w:type="dxa"/>
              <w:bottom w:w="140" w:type="dxa"/>
            </w:tcMar>
            <w:vAlign w:val="top"/>
          </w:tcPr>
          <w:p ns2:paraId="6FC7490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0110A69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w:t>
            </w:r>
          </w:p>
        </w:tc>
        <w:tc>
          <w:tcPr>
            <w:tcW w:w="0" w:type="auto"/>
            <w:shd w:val="clear"/>
            <w:tcMar>
              <w:top w:w="140" w:type="dxa"/>
              <w:bottom w:w="140" w:type="dxa"/>
            </w:tcMar>
            <w:vAlign w:val="top"/>
          </w:tcPr>
          <w:p ns2:paraId="78E99DA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4965481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162632F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0.05</w:t>
            </w:r>
          </w:p>
        </w:tc>
        <w:tc>
          <w:tcPr>
            <w:tcW w:w="0" w:type="auto"/>
            <w:shd w:val="clear"/>
            <w:tcMar>
              <w:top w:w="140" w:type="dxa"/>
              <w:bottom w:w="140" w:type="dxa"/>
            </w:tcMar>
            <w:vAlign w:val="top"/>
          </w:tcPr>
          <w:p ns2:paraId="4EE560A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0.90</w:t>
            </w:r>
          </w:p>
        </w:tc>
        <w:tc>
          <w:tcPr>
            <w:tcW w:w="0" w:type="auto"/>
            <w:shd w:val="clear"/>
            <w:tcMar>
              <w:top w:w="140" w:type="dxa"/>
              <w:bottom w:w="140" w:type="dxa"/>
            </w:tcMar>
            <w:vAlign w:val="top"/>
          </w:tcPr>
          <w:p ns2:paraId="1A54C1A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78204D8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w:t>
            </w:r>
          </w:p>
        </w:tc>
        <w:tc>
          <w:tcPr>
            <w:tcW w:w="0" w:type="auto"/>
            <w:shd w:val="clear"/>
            <w:tcMar>
              <w:top w:w="140" w:type="dxa"/>
              <w:bottom w:w="140" w:type="dxa"/>
            </w:tcMar>
            <w:vAlign w:val="top"/>
          </w:tcPr>
          <w:p ns2:paraId="77EEBFE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finite</w:t>
            </w:r>
          </w:p>
        </w:tc>
        <w:tc>
          <w:tcPr>
            <w:tcW w:w="0" w:type="auto"/>
            <w:shd w:val="clear"/>
            <w:tcMar>
              <w:top w:w="140" w:type="dxa"/>
              <w:bottom w:w="140" w:type="dxa"/>
            </w:tcMar>
            <w:vAlign w:val="top"/>
          </w:tcPr>
          <w:p ns2:paraId="2F18314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6.1%</w:t>
            </w:r>
          </w:p>
        </w:tc>
        <w:tc>
          <w:tcPr>
            <w:tcW w:w="0" w:type="auto"/>
            <w:shd w:val="clear"/>
            <w:tcMar>
              <w:top w:w="140" w:type="dxa"/>
              <w:bottom w:w="140" w:type="dxa"/>
            </w:tcMar>
            <w:vAlign w:val="top"/>
          </w:tcPr>
          <w:p ns2:paraId="61AC247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6EB21D3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15CF49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15286F9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0.60</w:t>
            </w:r>
          </w:p>
        </w:tc>
        <w:tc>
          <w:tcPr>
            <w:tcW w:w="0" w:type="auto"/>
            <w:shd w:val="clear"/>
            <w:tcMar>
              <w:top w:w="140" w:type="dxa"/>
              <w:bottom w:w="140" w:type="dxa"/>
            </w:tcMar>
            <w:vAlign w:val="top"/>
          </w:tcPr>
          <w:p ns2:paraId="0A88FFC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shd w:val="clear"/>
            <w:tcMar>
              <w:top w:w="140" w:type="dxa"/>
              <w:bottom w:w="140" w:type="dxa"/>
            </w:tcMar>
            <w:vAlign w:val="top"/>
          </w:tcPr>
          <w:p ns2:paraId="675F41E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7</w:t>
            </w:r>
          </w:p>
        </w:tc>
        <w:tc>
          <w:tcPr>
            <w:tcW w:w="0" w:type="auto"/>
            <w:shd w:val="clear"/>
            <w:tcMar>
              <w:top w:w="140" w:type="dxa"/>
              <w:bottom w:w="140" w:type="dxa"/>
            </w:tcMar>
            <w:vAlign w:val="top"/>
          </w:tcPr>
          <w:p ns2:paraId="2C5A984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758B79E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w:t>
            </w:r>
          </w:p>
        </w:tc>
        <w:tc>
          <w:tcPr>
            <w:tcW w:w="0" w:type="auto"/>
            <w:shd w:val="clear"/>
            <w:tcMar>
              <w:top w:w="140" w:type="dxa"/>
              <w:bottom w:w="140" w:type="dxa"/>
            </w:tcMar>
            <w:vAlign w:val="top"/>
          </w:tcPr>
          <w:p ns2:paraId="40CB36E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DFR-econ</w:t>
            </w:r>
          </w:p>
        </w:tc>
      </w:tr>
      <w:tr ns2:paraId="0112EE6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DC4C96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7B9E7EE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0.70</w:t>
            </w:r>
          </w:p>
        </w:tc>
        <w:tc>
          <w:tcPr>
            <w:tcW w:w="0" w:type="auto"/>
            <w:shd w:val="clear"/>
            <w:tcMar>
              <w:top w:w="140" w:type="dxa"/>
              <w:bottom w:w="140" w:type="dxa"/>
            </w:tcMar>
            <w:vAlign w:val="top"/>
          </w:tcPr>
          <w:p ns2:paraId="7D95B72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520C8E3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59D1352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4812D7C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w:t>
            </w:r>
          </w:p>
        </w:tc>
        <w:tc>
          <w:tcPr>
            <w:tcW w:w="0" w:type="auto"/>
            <w:shd w:val="clear"/>
            <w:tcMar>
              <w:top w:w="140" w:type="dxa"/>
              <w:bottom w:w="140" w:type="dxa"/>
            </w:tcMar>
            <w:vAlign w:val="top"/>
          </w:tcPr>
          <w:p ns2:paraId="6F57237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23CA3EB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66D23C5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11BF47E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0.75</w:t>
            </w:r>
          </w:p>
        </w:tc>
        <w:tc>
          <w:tcPr>
            <w:tcW w:w="0" w:type="auto"/>
            <w:shd w:val="clear"/>
            <w:tcMar>
              <w:top w:w="140" w:type="dxa"/>
              <w:bottom w:w="140" w:type="dxa"/>
            </w:tcMar>
            <w:vAlign w:val="top"/>
          </w:tcPr>
          <w:p ns2:paraId="525DBF4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15</w:t>
            </w:r>
          </w:p>
        </w:tc>
        <w:tc>
          <w:tcPr>
            <w:tcW w:w="0" w:type="auto"/>
            <w:shd w:val="clear"/>
            <w:tcMar>
              <w:top w:w="140" w:type="dxa"/>
              <w:bottom w:w="140" w:type="dxa"/>
            </w:tcMar>
            <w:vAlign w:val="top"/>
          </w:tcPr>
          <w:p ns2:paraId="3ECACBF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shd w:val="clear"/>
            <w:tcMar>
              <w:top w:w="140" w:type="dxa"/>
              <w:bottom w:w="140" w:type="dxa"/>
            </w:tcMar>
            <w:vAlign w:val="top"/>
          </w:tcPr>
          <w:p ns2:paraId="08D826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5C91BE3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2A9F535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760E4F8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E443DE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31D5F77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0.80</w:t>
            </w:r>
          </w:p>
        </w:tc>
        <w:tc>
          <w:tcPr>
            <w:tcW w:w="0" w:type="auto"/>
            <w:shd w:val="clear"/>
            <w:tcMar>
              <w:top w:w="140" w:type="dxa"/>
              <w:bottom w:w="140" w:type="dxa"/>
            </w:tcMar>
            <w:vAlign w:val="top"/>
          </w:tcPr>
          <w:p ns2:paraId="014D6F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066F5CF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29</w:t>
            </w:r>
          </w:p>
        </w:tc>
        <w:tc>
          <w:tcPr>
            <w:tcW w:w="0" w:type="auto"/>
            <w:shd w:val="clear"/>
            <w:tcMar>
              <w:top w:w="140" w:type="dxa"/>
              <w:bottom w:w="140" w:type="dxa"/>
            </w:tcMar>
            <w:vAlign w:val="top"/>
          </w:tcPr>
          <w:p ns2:paraId="41CB5CF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4583</w:t>
            </w:r>
          </w:p>
        </w:tc>
        <w:tc>
          <w:tcPr>
            <w:tcW w:w="0" w:type="auto"/>
            <w:shd w:val="clear"/>
            <w:tcMar>
              <w:top w:w="140" w:type="dxa"/>
              <w:bottom w:w="140" w:type="dxa"/>
            </w:tcMar>
            <w:vAlign w:val="top"/>
          </w:tcPr>
          <w:p ns2:paraId="2AB257A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6.4%</w:t>
            </w:r>
          </w:p>
        </w:tc>
        <w:tc>
          <w:tcPr>
            <w:tcW w:w="0" w:type="auto"/>
            <w:shd w:val="clear"/>
            <w:tcMar>
              <w:top w:w="140" w:type="dxa"/>
              <w:bottom w:w="140" w:type="dxa"/>
            </w:tcMar>
            <w:vAlign w:val="top"/>
          </w:tcPr>
          <w:p ns2:paraId="31033F4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1BFFC6E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1339688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w:t>
            </w:r>
          </w:p>
        </w:tc>
        <w:tc>
          <w:tcPr>
            <w:tcW w:w="0" w:type="auto"/>
            <w:shd w:val="clear"/>
            <w:tcMar>
              <w:top w:w="140" w:type="dxa"/>
              <w:bottom w:w="140" w:type="dxa"/>
            </w:tcMar>
            <w:vAlign w:val="top"/>
          </w:tcPr>
          <w:p ns2:paraId="36BE634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0.85</w:t>
            </w:r>
          </w:p>
        </w:tc>
        <w:tc>
          <w:tcPr>
            <w:tcW w:w="0" w:type="auto"/>
            <w:shd w:val="clear"/>
            <w:tcMar>
              <w:top w:w="140" w:type="dxa"/>
              <w:bottom w:w="140" w:type="dxa"/>
            </w:tcMar>
            <w:vAlign w:val="top"/>
          </w:tcPr>
          <w:p ns2:paraId="1E02936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7BF1FB6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shd w:val="clear"/>
            <w:tcMar>
              <w:top w:w="140" w:type="dxa"/>
              <w:bottom w:w="140" w:type="dxa"/>
            </w:tcMar>
            <w:vAlign w:val="top"/>
          </w:tcPr>
          <w:p ns2:paraId="090E959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2603</w:t>
            </w:r>
          </w:p>
        </w:tc>
        <w:tc>
          <w:tcPr>
            <w:tcW w:w="0" w:type="auto"/>
            <w:shd w:val="clear"/>
            <w:tcMar>
              <w:top w:w="140" w:type="dxa"/>
              <w:bottom w:w="140" w:type="dxa"/>
            </w:tcMar>
            <w:vAlign w:val="top"/>
          </w:tcPr>
          <w:p ns2:paraId="55A7F7D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8.2%</w:t>
            </w:r>
          </w:p>
        </w:tc>
        <w:tc>
          <w:tcPr>
            <w:tcW w:w="0" w:type="auto"/>
            <w:shd w:val="clear"/>
            <w:tcMar>
              <w:top w:w="140" w:type="dxa"/>
              <w:bottom w:w="140" w:type="dxa"/>
            </w:tcMar>
            <w:vAlign w:val="top"/>
          </w:tcPr>
          <w:p ns2:paraId="34F34B5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50B7B62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0DC824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w:t>
            </w:r>
          </w:p>
        </w:tc>
        <w:tc>
          <w:tcPr>
            <w:tcW w:w="0" w:type="auto"/>
            <w:shd w:val="clear"/>
            <w:tcMar>
              <w:top w:w="140" w:type="dxa"/>
              <w:bottom w:w="140" w:type="dxa"/>
            </w:tcMar>
            <w:vAlign w:val="top"/>
          </w:tcPr>
          <w:p ns2:paraId="6B8A1F6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0.60</w:t>
            </w:r>
          </w:p>
        </w:tc>
        <w:tc>
          <w:tcPr>
            <w:tcW w:w="0" w:type="auto"/>
            <w:shd w:val="clear"/>
            <w:tcMar>
              <w:top w:w="140" w:type="dxa"/>
              <w:bottom w:w="140" w:type="dxa"/>
            </w:tcMar>
            <w:vAlign w:val="top"/>
          </w:tcPr>
          <w:p ns2:paraId="1F91A88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shd w:val="clear"/>
            <w:tcMar>
              <w:top w:w="140" w:type="dxa"/>
              <w:bottom w:w="140" w:type="dxa"/>
            </w:tcMar>
            <w:vAlign w:val="top"/>
          </w:tcPr>
          <w:p ns2:paraId="5A433B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19</w:t>
            </w:r>
          </w:p>
        </w:tc>
        <w:tc>
          <w:tcPr>
            <w:tcW w:w="0" w:type="auto"/>
            <w:shd w:val="clear"/>
            <w:tcMar>
              <w:top w:w="140" w:type="dxa"/>
              <w:bottom w:w="140" w:type="dxa"/>
            </w:tcMar>
            <w:vAlign w:val="top"/>
          </w:tcPr>
          <w:p ns2:paraId="13F8F97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boundary</w:t>
            </w:r>
          </w:p>
        </w:tc>
        <w:tc>
          <w:tcPr>
            <w:tcW w:w="0" w:type="auto"/>
            <w:shd w:val="clear"/>
            <w:tcMar>
              <w:top w:w="140" w:type="dxa"/>
              <w:bottom w:w="140" w:type="dxa"/>
            </w:tcMar>
            <w:vAlign w:val="top"/>
          </w:tcPr>
          <w:p ns2:paraId="38D580E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2.7%</w:t>
            </w:r>
          </w:p>
        </w:tc>
        <w:tc>
          <w:tcPr>
            <w:tcW w:w="0" w:type="auto"/>
            <w:shd w:val="clear"/>
            <w:tcMar>
              <w:top w:w="140" w:type="dxa"/>
              <w:bottom w:w="140" w:type="dxa"/>
            </w:tcMar>
            <w:vAlign w:val="top"/>
          </w:tcPr>
          <w:p ns2:paraId="4C98141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1B5B252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53963D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w:t>
            </w:r>
          </w:p>
        </w:tc>
        <w:tc>
          <w:tcPr>
            <w:tcW w:w="0" w:type="auto"/>
            <w:shd w:val="clear"/>
            <w:tcMar>
              <w:top w:w="140" w:type="dxa"/>
              <w:bottom w:w="140" w:type="dxa"/>
            </w:tcMar>
            <w:vAlign w:val="top"/>
          </w:tcPr>
          <w:p ns2:paraId="37905FA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0.70</w:t>
            </w:r>
          </w:p>
        </w:tc>
        <w:tc>
          <w:tcPr>
            <w:tcW w:w="0" w:type="auto"/>
            <w:shd w:val="clear"/>
            <w:tcMar>
              <w:top w:w="140" w:type="dxa"/>
              <w:bottom w:w="140" w:type="dxa"/>
            </w:tcMar>
            <w:vAlign w:val="top"/>
          </w:tcPr>
          <w:p ns2:paraId="650012D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15</w:t>
            </w:r>
          </w:p>
        </w:tc>
        <w:tc>
          <w:tcPr>
            <w:tcW w:w="0" w:type="auto"/>
            <w:shd w:val="clear"/>
            <w:tcMar>
              <w:top w:w="140" w:type="dxa"/>
              <w:bottom w:w="140" w:type="dxa"/>
            </w:tcMar>
            <w:vAlign w:val="top"/>
          </w:tcPr>
          <w:p ns2:paraId="2AA55D6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shd w:val="clear"/>
            <w:tcMar>
              <w:top w:w="140" w:type="dxa"/>
              <w:bottom w:w="140" w:type="dxa"/>
            </w:tcMar>
            <w:vAlign w:val="top"/>
          </w:tcPr>
          <w:p ns2:paraId="1E242CF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4253</w:t>
            </w:r>
          </w:p>
        </w:tc>
        <w:tc>
          <w:tcPr>
            <w:tcW w:w="0" w:type="auto"/>
            <w:shd w:val="clear"/>
            <w:tcMar>
              <w:top w:w="140" w:type="dxa"/>
              <w:bottom w:w="140" w:type="dxa"/>
            </w:tcMar>
            <w:vAlign w:val="top"/>
          </w:tcPr>
          <w:p ns2:paraId="6313827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6.4%</w:t>
            </w:r>
          </w:p>
        </w:tc>
        <w:tc>
          <w:tcPr>
            <w:tcW w:w="0" w:type="auto"/>
            <w:shd w:val="clear"/>
            <w:tcMar>
              <w:top w:w="140" w:type="dxa"/>
              <w:bottom w:w="140" w:type="dxa"/>
            </w:tcMar>
            <w:vAlign w:val="top"/>
          </w:tcPr>
          <w:p ns2:paraId="43AA01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58ECE9D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39737E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w:t>
            </w:r>
          </w:p>
        </w:tc>
        <w:tc>
          <w:tcPr>
            <w:tcW w:w="0" w:type="auto"/>
            <w:shd w:val="clear"/>
            <w:tcMar>
              <w:top w:w="140" w:type="dxa"/>
              <w:bottom w:w="140" w:type="dxa"/>
            </w:tcMar>
            <w:vAlign w:val="top"/>
          </w:tcPr>
          <w:p ns2:paraId="2FAE4CD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0.75</w:t>
            </w:r>
          </w:p>
        </w:tc>
        <w:tc>
          <w:tcPr>
            <w:tcW w:w="0" w:type="auto"/>
            <w:shd w:val="clear"/>
            <w:tcMar>
              <w:top w:w="140" w:type="dxa"/>
              <w:bottom w:w="140" w:type="dxa"/>
            </w:tcMar>
            <w:vAlign w:val="top"/>
          </w:tcPr>
          <w:p ns2:paraId="53D8D54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67D9ADE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w:t>
            </w:r>
          </w:p>
        </w:tc>
        <w:tc>
          <w:tcPr>
            <w:tcW w:w="0" w:type="auto"/>
            <w:shd w:val="clear"/>
            <w:tcMar>
              <w:top w:w="140" w:type="dxa"/>
              <w:bottom w:w="140" w:type="dxa"/>
            </w:tcMar>
            <w:vAlign w:val="top"/>
          </w:tcPr>
          <w:p ns2:paraId="4B4C2F5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2695</w:t>
            </w:r>
          </w:p>
        </w:tc>
        <w:tc>
          <w:tcPr>
            <w:tcW w:w="0" w:type="auto"/>
            <w:shd w:val="clear"/>
            <w:tcMar>
              <w:top w:w="140" w:type="dxa"/>
              <w:bottom w:w="140" w:type="dxa"/>
            </w:tcMar>
            <w:vAlign w:val="top"/>
          </w:tcPr>
          <w:p ns2:paraId="5AA19ED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8.8%</w:t>
            </w:r>
          </w:p>
        </w:tc>
        <w:tc>
          <w:tcPr>
            <w:tcW w:w="0" w:type="auto"/>
            <w:shd w:val="clear"/>
            <w:tcMar>
              <w:top w:w="140" w:type="dxa"/>
              <w:bottom w:w="140" w:type="dxa"/>
            </w:tcMar>
            <w:vAlign w:val="top"/>
          </w:tcPr>
          <w:p ns2:paraId="677FB2A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628FEF3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DFE21C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w:t>
            </w:r>
          </w:p>
        </w:tc>
        <w:tc>
          <w:tcPr>
            <w:tcW w:w="0" w:type="auto"/>
            <w:shd w:val="clear"/>
            <w:tcMar>
              <w:top w:w="140" w:type="dxa"/>
              <w:bottom w:w="140" w:type="dxa"/>
            </w:tcMar>
            <w:vAlign w:val="top"/>
          </w:tcPr>
          <w:p ns2:paraId="5C8FD1B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0.80</w:t>
            </w:r>
          </w:p>
        </w:tc>
        <w:tc>
          <w:tcPr>
            <w:tcW w:w="0" w:type="auto"/>
            <w:shd w:val="clear"/>
            <w:tcMar>
              <w:top w:w="140" w:type="dxa"/>
              <w:bottom w:w="140" w:type="dxa"/>
            </w:tcMar>
            <w:vAlign w:val="top"/>
          </w:tcPr>
          <w:p ns2:paraId="4EC1720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0D0FA1C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shd w:val="clear"/>
            <w:tcMar>
              <w:top w:w="140" w:type="dxa"/>
              <w:bottom w:w="140" w:type="dxa"/>
            </w:tcMar>
            <w:vAlign w:val="top"/>
          </w:tcPr>
          <w:p ns2:paraId="39A6615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1683</w:t>
            </w:r>
          </w:p>
        </w:tc>
        <w:tc>
          <w:tcPr>
            <w:tcW w:w="0" w:type="auto"/>
            <w:shd w:val="clear"/>
            <w:tcMar>
              <w:top w:w="140" w:type="dxa"/>
              <w:bottom w:w="140" w:type="dxa"/>
            </w:tcMar>
            <w:vAlign w:val="top"/>
          </w:tcPr>
          <w:p ns2:paraId="6861FF4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10.4%</w:t>
            </w:r>
          </w:p>
        </w:tc>
        <w:tc>
          <w:tcPr>
            <w:tcW w:w="0" w:type="auto"/>
            <w:shd w:val="clear"/>
            <w:tcMar>
              <w:top w:w="140" w:type="dxa"/>
              <w:bottom w:w="140" w:type="dxa"/>
            </w:tcMar>
            <w:vAlign w:val="top"/>
          </w:tcPr>
          <w:p ns2:paraId="6D28B16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293CEFD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CACCBC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0.20</w:t>
            </w:r>
          </w:p>
        </w:tc>
        <w:tc>
          <w:tcPr>
            <w:tcW w:w="0" w:type="auto"/>
            <w:shd w:val="clear"/>
            <w:tcMar>
              <w:top w:w="140" w:type="dxa"/>
              <w:bottom w:w="140" w:type="dxa"/>
            </w:tcMar>
            <w:vAlign w:val="top"/>
          </w:tcPr>
          <w:p ns2:paraId="0CE63E7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0.60</w:t>
            </w:r>
          </w:p>
        </w:tc>
        <w:tc>
          <w:tcPr>
            <w:tcW w:w="0" w:type="auto"/>
            <w:shd w:val="clear"/>
            <w:tcMar>
              <w:top w:w="140" w:type="dxa"/>
              <w:bottom w:w="140" w:type="dxa"/>
            </w:tcMar>
            <w:vAlign w:val="top"/>
          </w:tcPr>
          <w:p ns2:paraId="5E3D537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shd w:val="clear"/>
            <w:tcMar>
              <w:top w:w="140" w:type="dxa"/>
              <w:bottom w:w="140" w:type="dxa"/>
            </w:tcMar>
            <w:vAlign w:val="top"/>
          </w:tcPr>
          <w:p ns2:paraId="2550FA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shd w:val="clear"/>
            <w:tcMar>
              <w:top w:w="140" w:type="dxa"/>
              <w:bottom w:w="140" w:type="dxa"/>
            </w:tcMar>
            <w:vAlign w:val="top"/>
          </w:tcPr>
          <w:p ns2:paraId="7C1E927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4711</w:t>
            </w:r>
          </w:p>
        </w:tc>
        <w:tc>
          <w:tcPr>
            <w:tcW w:w="0" w:type="auto"/>
            <w:shd w:val="clear"/>
            <w:tcMar>
              <w:top w:w="140" w:type="dxa"/>
              <w:bottom w:w="140" w:type="dxa"/>
            </w:tcMar>
            <w:vAlign w:val="top"/>
          </w:tcPr>
          <w:p ns2:paraId="7882B95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5.4%</w:t>
            </w:r>
          </w:p>
        </w:tc>
        <w:tc>
          <w:tcPr>
            <w:tcW w:w="0" w:type="auto"/>
            <w:shd w:val="clear"/>
            <w:tcMar>
              <w:top w:w="140" w:type="dxa"/>
              <w:bottom w:w="140" w:type="dxa"/>
            </w:tcMar>
            <w:vAlign w:val="top"/>
          </w:tcPr>
          <w:p ns2:paraId="36D1B1A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3A31E25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4FA6EF8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0.20</w:t>
            </w:r>
          </w:p>
        </w:tc>
        <w:tc>
          <w:tcPr>
            <w:tcW w:w="0" w:type="auto"/>
            <w:shd w:val="clear"/>
            <w:tcMar>
              <w:top w:w="140" w:type="dxa"/>
              <w:bottom w:w="140" w:type="dxa"/>
            </w:tcMar>
            <w:vAlign w:val="top"/>
          </w:tcPr>
          <w:p ns2:paraId="5BE7C14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0.70</w:t>
            </w:r>
          </w:p>
        </w:tc>
        <w:tc>
          <w:tcPr>
            <w:tcW w:w="0" w:type="auto"/>
            <w:shd w:val="clear"/>
            <w:tcMar>
              <w:top w:w="140" w:type="dxa"/>
              <w:bottom w:w="140" w:type="dxa"/>
            </w:tcMar>
            <w:vAlign w:val="top"/>
          </w:tcPr>
          <w:p ns2:paraId="39CD81E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01A5C3D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37</w:t>
            </w:r>
          </w:p>
        </w:tc>
        <w:tc>
          <w:tcPr>
            <w:tcW w:w="0" w:type="auto"/>
            <w:shd w:val="clear"/>
            <w:tcMar>
              <w:top w:w="140" w:type="dxa"/>
              <w:bottom w:w="140" w:type="dxa"/>
            </w:tcMar>
            <w:vAlign w:val="top"/>
          </w:tcPr>
          <w:p ns2:paraId="699B81A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1915</w:t>
            </w:r>
          </w:p>
        </w:tc>
        <w:tc>
          <w:tcPr>
            <w:tcW w:w="0" w:type="auto"/>
            <w:shd w:val="clear"/>
            <w:tcMar>
              <w:top w:w="140" w:type="dxa"/>
              <w:bottom w:w="140" w:type="dxa"/>
            </w:tcMar>
            <w:vAlign w:val="top"/>
          </w:tcPr>
          <w:p ns2:paraId="53F1D48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10.5%</w:t>
            </w:r>
          </w:p>
        </w:tc>
        <w:tc>
          <w:tcPr>
            <w:tcW w:w="0" w:type="auto"/>
            <w:shd w:val="clear"/>
            <w:tcMar>
              <w:top w:w="140" w:type="dxa"/>
              <w:bottom w:w="140" w:type="dxa"/>
            </w:tcMar>
            <w:vAlign w:val="top"/>
          </w:tcPr>
          <w:p ns2:paraId="6EBDD04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3699AAC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C7E138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0.20</w:t>
            </w:r>
          </w:p>
        </w:tc>
        <w:tc>
          <w:tcPr>
            <w:tcW w:w="0" w:type="auto"/>
            <w:shd w:val="clear"/>
            <w:tcMar>
              <w:top w:w="140" w:type="dxa"/>
              <w:bottom w:w="140" w:type="dxa"/>
            </w:tcMar>
            <w:vAlign w:val="top"/>
          </w:tcPr>
          <w:p ns2:paraId="5B4F09A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0.75</w:t>
            </w:r>
          </w:p>
        </w:tc>
        <w:tc>
          <w:tcPr>
            <w:tcW w:w="0" w:type="auto"/>
            <w:shd w:val="clear"/>
            <w:tcMar>
              <w:top w:w="140" w:type="dxa"/>
              <w:bottom w:w="140" w:type="dxa"/>
            </w:tcMar>
            <w:vAlign w:val="top"/>
          </w:tcPr>
          <w:p ns2:paraId="0AD4A78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793F53B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40</w:t>
            </w:r>
          </w:p>
        </w:tc>
        <w:tc>
          <w:tcPr>
            <w:tcW w:w="0" w:type="auto"/>
            <w:shd w:val="clear"/>
            <w:tcMar>
              <w:top w:w="140" w:type="dxa"/>
              <w:bottom w:w="140" w:type="dxa"/>
            </w:tcMar>
            <w:vAlign w:val="top"/>
          </w:tcPr>
          <w:p ns2:paraId="467167C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1291</w:t>
            </w:r>
          </w:p>
        </w:tc>
        <w:tc>
          <w:tcPr>
            <w:tcW w:w="0" w:type="auto"/>
            <w:shd w:val="clear"/>
            <w:tcMar>
              <w:top w:w="140" w:type="dxa"/>
              <w:bottom w:w="140" w:type="dxa"/>
            </w:tcMar>
            <w:vAlign w:val="top"/>
          </w:tcPr>
          <w:p ns2:paraId="024138D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12.3%</w:t>
            </w:r>
          </w:p>
        </w:tc>
        <w:tc>
          <w:tcPr>
            <w:tcW w:w="0" w:type="auto"/>
            <w:shd w:val="clear"/>
            <w:tcMar>
              <w:top w:w="140" w:type="dxa"/>
              <w:bottom w:w="140" w:type="dxa"/>
            </w:tcMar>
            <w:vAlign w:val="top"/>
          </w:tcPr>
          <w:p ns2:paraId="4814BB2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1AE6AB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50DE4E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0.25</w:t>
            </w:r>
          </w:p>
        </w:tc>
        <w:tc>
          <w:tcPr>
            <w:tcW w:w="0" w:type="auto"/>
            <w:shd w:val="clear"/>
            <w:tcMar>
              <w:top w:w="140" w:type="dxa"/>
              <w:bottom w:w="140" w:type="dxa"/>
            </w:tcMar>
            <w:vAlign w:val="top"/>
          </w:tcPr>
          <w:p ns2:paraId="2A7D0A7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0.60</w:t>
            </w:r>
          </w:p>
        </w:tc>
        <w:tc>
          <w:tcPr>
            <w:tcW w:w="0" w:type="auto"/>
            <w:shd w:val="clear"/>
            <w:tcMar>
              <w:top w:w="140" w:type="dxa"/>
              <w:bottom w:w="140" w:type="dxa"/>
            </w:tcMar>
            <w:vAlign w:val="top"/>
          </w:tcPr>
          <w:p ns2:paraId="664E858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15</w:t>
            </w:r>
          </w:p>
        </w:tc>
        <w:tc>
          <w:tcPr>
            <w:tcW w:w="0" w:type="auto"/>
            <w:shd w:val="clear"/>
            <w:tcMar>
              <w:top w:w="140" w:type="dxa"/>
              <w:bottom w:w="140" w:type="dxa"/>
            </w:tcMar>
            <w:vAlign w:val="top"/>
          </w:tcPr>
          <w:p ns2:paraId="155DF1C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29</w:t>
            </w:r>
          </w:p>
        </w:tc>
        <w:tc>
          <w:tcPr>
            <w:tcW w:w="0" w:type="auto"/>
            <w:shd w:val="clear"/>
            <w:tcMar>
              <w:top w:w="140" w:type="dxa"/>
              <w:bottom w:w="140" w:type="dxa"/>
            </w:tcMar>
            <w:vAlign w:val="top"/>
          </w:tcPr>
          <w:p ns2:paraId="5D51D17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2350</w:t>
            </w:r>
          </w:p>
        </w:tc>
        <w:tc>
          <w:tcPr>
            <w:tcW w:w="0" w:type="auto"/>
            <w:shd w:val="clear"/>
            <w:tcMar>
              <w:top w:w="140" w:type="dxa"/>
              <w:bottom w:w="140" w:type="dxa"/>
            </w:tcMar>
            <w:vAlign w:val="top"/>
          </w:tcPr>
          <w:p ns2:paraId="29ED2F2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8.0%</w:t>
            </w:r>
          </w:p>
        </w:tc>
        <w:tc>
          <w:tcPr>
            <w:tcW w:w="0" w:type="auto"/>
            <w:shd w:val="clear"/>
            <w:tcMar>
              <w:top w:w="140" w:type="dxa"/>
              <w:bottom w:w="140" w:type="dxa"/>
            </w:tcMar>
            <w:vAlign w:val="top"/>
          </w:tcPr>
          <w:p ns2:paraId="20A1692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0F0A139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21BA36B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0.25</w:t>
            </w:r>
          </w:p>
        </w:tc>
        <w:tc>
          <w:tcPr>
            <w:tcW w:w="0" w:type="auto"/>
            <w:shd w:val="clear"/>
            <w:tcMar>
              <w:top w:w="140" w:type="dxa"/>
              <w:bottom w:w="140" w:type="dxa"/>
            </w:tcMar>
            <w:vAlign w:val="top"/>
          </w:tcPr>
          <w:p ns2:paraId="4568AEC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0.70</w:t>
            </w:r>
          </w:p>
        </w:tc>
        <w:tc>
          <w:tcPr>
            <w:tcW w:w="0" w:type="auto"/>
            <w:shd w:val="clear"/>
            <w:tcMar>
              <w:top w:w="140" w:type="dxa"/>
              <w:bottom w:w="140" w:type="dxa"/>
            </w:tcMar>
            <w:vAlign w:val="top"/>
          </w:tcPr>
          <w:p ns2:paraId="0350AF3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shd w:val="clear"/>
            <w:tcMar>
              <w:top w:w="140" w:type="dxa"/>
              <w:bottom w:w="140" w:type="dxa"/>
            </w:tcMar>
            <w:vAlign w:val="top"/>
          </w:tcPr>
          <w:p ns2:paraId="4CF5825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41</w:t>
            </w:r>
          </w:p>
        </w:tc>
        <w:tc>
          <w:tcPr>
            <w:tcW w:w="0" w:type="auto"/>
            <w:shd w:val="clear"/>
            <w:tcMar>
              <w:top w:w="140" w:type="dxa"/>
              <w:bottom w:w="140" w:type="dxa"/>
            </w:tcMar>
            <w:vAlign w:val="top"/>
          </w:tcPr>
          <w:p ns2:paraId="3749B2B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1057</w:t>
            </w:r>
          </w:p>
        </w:tc>
        <w:tc>
          <w:tcPr>
            <w:tcW w:w="0" w:type="auto"/>
            <w:shd w:val="clear"/>
            <w:tcMar>
              <w:top w:w="140" w:type="dxa"/>
              <w:bottom w:w="140" w:type="dxa"/>
            </w:tcMar>
            <w:vAlign w:val="top"/>
          </w:tcPr>
          <w:p ns2:paraId="471044C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13.7%</w:t>
            </w:r>
          </w:p>
        </w:tc>
        <w:tc>
          <w:tcPr>
            <w:tcW w:w="0" w:type="auto"/>
            <w:shd w:val="clear"/>
            <w:tcMar>
              <w:top w:w="140" w:type="dxa"/>
              <w:bottom w:w="140" w:type="dxa"/>
            </w:tcMar>
            <w:vAlign w:val="top"/>
          </w:tcPr>
          <w:p ns2:paraId="2F810BA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r ns2:paraId="4B6C86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89BB34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0.30</w:t>
            </w:r>
          </w:p>
        </w:tc>
        <w:tc>
          <w:tcPr>
            <w:tcW w:w="0" w:type="auto"/>
            <w:shd w:val="clear"/>
            <w:tcMar>
              <w:top w:w="140" w:type="dxa"/>
              <w:bottom w:w="140" w:type="dxa"/>
            </w:tcMar>
            <w:vAlign w:val="top"/>
          </w:tcPr>
          <w:p ns2:paraId="70DC56D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0.60</w:t>
            </w:r>
          </w:p>
        </w:tc>
        <w:tc>
          <w:tcPr>
            <w:tcW w:w="0" w:type="auto"/>
            <w:shd w:val="clear"/>
            <w:tcMar>
              <w:top w:w="140" w:type="dxa"/>
              <w:bottom w:w="140" w:type="dxa"/>
            </w:tcMar>
            <w:vAlign w:val="top"/>
          </w:tcPr>
          <w:p ns2:paraId="3F6036D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shd w:val="clear"/>
            <w:tcMar>
              <w:top w:w="140" w:type="dxa"/>
              <w:bottom w:w="140" w:type="dxa"/>
            </w:tcMar>
            <w:vAlign w:val="top"/>
          </w:tcPr>
          <w:p ns2:paraId="6E94A94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35</w:t>
            </w:r>
          </w:p>
        </w:tc>
        <w:tc>
          <w:tcPr>
            <w:tcW w:w="0" w:type="auto"/>
            <w:shd w:val="clear"/>
            <w:tcMar>
              <w:top w:w="140" w:type="dxa"/>
              <w:bottom w:w="140" w:type="dxa"/>
            </w:tcMar>
            <w:vAlign w:val="top"/>
          </w:tcPr>
          <w:p ns2:paraId="55D444C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1348</w:t>
            </w:r>
          </w:p>
        </w:tc>
        <w:tc>
          <w:tcPr>
            <w:tcW w:w="0" w:type="auto"/>
            <w:shd w:val="clear"/>
            <w:tcMar>
              <w:top w:w="140" w:type="dxa"/>
              <w:bottom w:w="140" w:type="dxa"/>
            </w:tcMar>
            <w:vAlign w:val="top"/>
          </w:tcPr>
          <w:p ns2:paraId="40078BC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10.5%</w:t>
            </w:r>
          </w:p>
        </w:tc>
        <w:tc>
          <w:tcPr>
            <w:tcW w:w="0" w:type="auto"/>
            <w:shd w:val="clear"/>
            <w:tcMar>
              <w:top w:w="140" w:type="dxa"/>
              <w:bottom w:w="140" w:type="dxa"/>
            </w:tcMar>
            <w:vAlign w:val="top"/>
          </w:tcPr>
          <w:p ns2:paraId="0E9BE1B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r>
    </w:tbl>
    <w:p ns2:paraId="0EA3A52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Across the 21 feasible configurations:</w:t>
      </w:r>
    </w:p>
    <w:p ns2:paraId="2A902BD1">
      <w:pPr>
        <w:keepNext w:val="0"/>
        <w:keepLines w:val="0"/>
        <w:widowControl/>
        <w:numPr>
          <w:ilvl w:val="0"/>
          <w:numId w:val="3"/>
        </w:numPr>
        <w:suppressLineNumbers w:val="0"/>
        <w:spacing w:before="0" w:beforeAutospacing="0" w:after="0" w:afterAutospacing="0" w:line="480" w:lineRule="auto"/>
        <w:ind w:left="0" w:hanging="360"/>
      </w:pPr>
      <w:r>
        <w:rPr>
          <w:rStyle w:val="9"/>
          <w:rFonts w:hint="default" w:ascii="Segoe UI" w:hAnsi="Segoe UI" w:eastAsia="Segoe UI" w:cs="Segoe UI"/>
          <w:b/>
          <w:bCs/>
          <w:i w:val="0"/>
          <w:iCs w:val="0"/>
          <w:caps w:val="0"/>
          <w:spacing w:val="0"/>
          <w:sz w:val="14"/>
          <w:szCs w:val="14"/>
          <w:bdr w:val="none" w:color="auto" w:sz="0" w:space="0"/>
          <w:shd w:val="clear" w:fill="FDFCFE"/>
        </w:rPr>
        <w:t>5 configurations (23.8%)</w:t>
      </w:r>
      <w:r>
        <w:rPr>
          <w:rFonts w:hint="default" w:ascii="Segoe UI" w:hAnsi="Segoe UI" w:eastAsia="Segoe UI" w:cs="Segoe UI"/>
          <w:i w:val="0"/>
          <w:iCs w:val="0"/>
          <w:caps w:val="0"/>
          <w:spacing w:val="0"/>
          <w:sz w:val="14"/>
          <w:szCs w:val="14"/>
          <w:bdr w:val="none" w:color="auto" w:sz="0" w:space="0"/>
          <w:shd w:val="clear" w:fill="FDFCFE"/>
        </w:rPr>
        <w:t> exhibit the DFR-economic signature with the gain over AB^opt below 1%, reflecting that age-based replacement provides essentially no benefit over RTF in these configurations.</w:t>
      </w:r>
    </w:p>
    <w:p ns2:paraId="0FA29BC0">
      <w:pPr>
        <w:keepNext w:val="0"/>
        <w:keepLines w:val="0"/>
        <w:widowControl/>
        <w:numPr>
          <w:ilvl w:val="0"/>
          <w:numId w:val="3"/>
        </w:numPr>
        <w:suppressLineNumbers w:val="0"/>
        <w:spacing w:before="0" w:beforeAutospacing="0" w:after="0" w:afterAutospacing="0" w:line="480" w:lineRule="auto"/>
        <w:ind w:left="0" w:hanging="360"/>
      </w:pPr>
      <w:r>
        <w:rPr>
          <w:rStyle w:val="9"/>
          <w:rFonts w:hint="default" w:ascii="Segoe UI" w:hAnsi="Segoe UI" w:eastAsia="Segoe UI" w:cs="Segoe UI"/>
          <w:b/>
          <w:bCs/>
          <w:i w:val="0"/>
          <w:iCs w:val="0"/>
          <w:caps w:val="0"/>
          <w:spacing w:val="0"/>
          <w:sz w:val="14"/>
          <w:szCs w:val="14"/>
          <w:bdr w:val="none" w:color="auto" w:sz="0" w:space="0"/>
          <w:shd w:val="clear" w:fill="FDFCFE"/>
        </w:rPr>
        <w:t>9 additional configurations (42.9%)</w:t>
      </w:r>
      <w:r>
        <w:rPr>
          <w:rFonts w:hint="default" w:ascii="Segoe UI" w:hAnsi="Segoe UI" w:eastAsia="Segoe UI" w:cs="Segoe UI"/>
          <w:i w:val="0"/>
          <w:iCs w:val="0"/>
          <w:caps w:val="0"/>
          <w:spacing w:val="0"/>
          <w:sz w:val="14"/>
          <w:szCs w:val="14"/>
          <w:bdr w:val="none" w:color="auto" w:sz="0" w:space="0"/>
          <w:shd w:val="clear" w:fill="FDFCFE"/>
        </w:rPr>
        <w:t> have boundary-divergent T*_AB but a non-negligible gain over RTF; these correspond to the strict-smoothed-DFR regime where AB degenerates to RTF and CBM provides the genuine improvement.</w:t>
      </w:r>
    </w:p>
    <w:p ns2:paraId="066DC1A0">
      <w:pPr>
        <w:keepNext w:val="0"/>
        <w:keepLines w:val="0"/>
        <w:widowControl/>
        <w:numPr>
          <w:ilvl w:val="0"/>
          <w:numId w:val="3"/>
        </w:numPr>
        <w:suppressLineNumbers w:val="0"/>
        <w:spacing w:before="0" w:beforeAutospacing="0" w:after="0" w:afterAutospacing="0" w:line="480" w:lineRule="auto"/>
        <w:ind w:left="0" w:hanging="360"/>
      </w:pPr>
      <w:r>
        <w:rPr>
          <w:rStyle w:val="9"/>
          <w:rFonts w:hint="default" w:ascii="Segoe UI" w:hAnsi="Segoe UI" w:eastAsia="Segoe UI" w:cs="Segoe UI"/>
          <w:b/>
          <w:bCs/>
          <w:i w:val="0"/>
          <w:iCs w:val="0"/>
          <w:caps w:val="0"/>
          <w:spacing w:val="0"/>
          <w:sz w:val="14"/>
          <w:szCs w:val="14"/>
          <w:bdr w:val="none" w:color="auto" w:sz="0" w:space="0"/>
          <w:shd w:val="clear" w:fill="FDFCFE"/>
        </w:rPr>
        <w:t>The condition-based threshold weakly dominates both benchmarks in all 21 configurations</w:t>
      </w:r>
      <w:r>
        <w:rPr>
          <w:rFonts w:hint="default" w:ascii="Segoe UI" w:hAnsi="Segoe UI" w:eastAsia="Segoe UI" w:cs="Segoe UI"/>
          <w:i w:val="0"/>
          <w:iCs w:val="0"/>
          <w:caps w:val="0"/>
          <w:spacing w:val="0"/>
          <w:sz w:val="14"/>
          <w:szCs w:val="14"/>
          <w:bdr w:val="none" w:color="auto" w:sz="0" w:space="0"/>
          <w:shd w:val="clear" w:fill="FDFCFE"/>
        </w:rPr>
        <w:t>, with cost reductions over the age-based optimum ranging from 0.0% in DFR-economic configurations to 13.7% at K_f/K_p = 10. The cost reduction grows monotonically with the cost ratio, reaching 21.6% at K_f/K_p = 100 (Table 4).</w:t>
      </w:r>
    </w:p>
    <w:p ns2:paraId="697E409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characterize the headline range of the policy improvement as </w:t>
      </w:r>
      <w:r>
        <w:rPr>
          <w:rStyle w:val="9"/>
          <w:rFonts w:hint="default" w:ascii="Segoe UI" w:hAnsi="Segoe UI" w:eastAsia="Segoe UI" w:cs="Segoe UI"/>
          <w:b/>
          <w:bCs/>
          <w:i w:val="0"/>
          <w:iCs w:val="0"/>
          <w:caps w:val="0"/>
          <w:spacing w:val="0"/>
          <w:sz w:val="14"/>
          <w:szCs w:val="14"/>
          <w:shd w:val="clear" w:fill="FDFCFE"/>
        </w:rPr>
        <w:t>up to 22% over the age-based optimum</w:t>
      </w:r>
      <w:r>
        <w:rPr>
          <w:rFonts w:hint="default" w:ascii="Segoe UI" w:hAnsi="Segoe UI" w:eastAsia="Segoe UI" w:cs="Segoe UI"/>
          <w:i w:val="0"/>
          <w:iCs w:val="0"/>
          <w:caps w:val="0"/>
          <w:spacing w:val="0"/>
          <w:sz w:val="14"/>
          <w:szCs w:val="14"/>
          <w:shd w:val="clear" w:fill="FDFCFE"/>
        </w:rPr>
        <w:t>, achieved in configurations where age-based has a finite economic optimum (T</w:t>
      </w:r>
      <w:r>
        <w:rPr>
          <w:rStyle w:val="7"/>
          <w:rFonts w:hint="default" w:ascii="Segoe UI" w:hAnsi="Segoe UI" w:eastAsia="Segoe UI" w:cs="Segoe UI"/>
          <w:i w:val="0"/>
          <w:iCs w:val="0"/>
          <w:caps w:val="0"/>
          <w:spacing w:val="0"/>
          <w:sz w:val="14"/>
          <w:szCs w:val="14"/>
          <w:shd w:val="clear" w:fill="FDFCFE"/>
        </w:rPr>
        <w:t>_AB interior or boundary-divergent without DFR-economic flatness) and the cost ratio is K_f/K_p ≥ 10. In DFR-economic configurations, the improvement collapses to zero because AB^opt itself coincides with RTF; in these configurations CBM still strictly dominates RTF when s</w:t>
      </w:r>
      <w:r>
        <w:rPr>
          <w:rFonts w:hint="default" w:ascii="Segoe UI" w:hAnsi="Segoe UI" w:eastAsia="Segoe UI" w:cs="Segoe UI"/>
          <w:i w:val="0"/>
          <w:iCs w:val="0"/>
          <w:caps w:val="0"/>
          <w:spacing w:val="0"/>
          <w:sz w:val="14"/>
          <w:szCs w:val="14"/>
          <w:shd w:val="clear" w:fill="FDFCFE"/>
        </w:rPr>
        <w:t> &gt; 0.</w:t>
      </w:r>
    </w:p>
    <w:p ns2:paraId="0C842AD4">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6.4 Threshold structure</w:t>
      </w:r>
    </w:p>
    <w:p ns2:paraId="0491F89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optimal threshold s* exhibits clean monotonic dependence on both control parameters. Across the operating grid, s* is non-decreasing in p (holding λ/C fixed) and non-increasing in δ (equivalently, non-decreasing in λ/C holding p fixed). This structure is consistent with the qualitative intuition that systems facing more frequent disruptions (higher p) or operating closer to capacity (smaller δ) require more aggressive preventive maintenance, parameterized by a higher threshold.</w:t>
      </w:r>
    </w:p>
    <w:p ns2:paraId="453FBA1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threshold ranges from 0 (RTF) at low p, low utilization to 41 at the most aggressive operating point (p = 0.25, λ/C = 0.70). This supports the use of the threshold policy as a unified policy structure across the feasible parameter range, with the operating point only modulating a single integer parameter.</w:t>
      </w:r>
    </w:p>
    <w:p ns2:paraId="6742A7C2">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6.5 Illustrative example: mid-tier retail distribution center</w:t>
      </w:r>
    </w:p>
    <w:p ns2:paraId="0C0BFFE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To illustrate the operational application of the proposed framework, we calibrate the model to a mid-tier retail distribution center facing supplier disruption. The calibration is summarized in Table 9.</w:t>
      </w:r>
    </w:p>
    <w:p ns2:paraId="7D48582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Table 9.</w:t>
      </w:r>
      <w:r>
        <w:rPr>
          <w:rFonts w:hint="default" w:ascii="Segoe UI" w:hAnsi="Segoe UI" w:eastAsia="Segoe UI" w:cs="Segoe UI"/>
          <w:i w:val="0"/>
          <w:iCs w:val="0"/>
          <w:caps w:val="0"/>
          <w:spacing w:val="0"/>
          <w:sz w:val="14"/>
          <w:szCs w:val="14"/>
          <w:shd w:val="clear" w:fill="FDFCFE"/>
        </w:rPr>
        <w:t> Illustrative calibration: retail distribution center.</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1"/>
        <w:gridCol w:w="1582"/>
        <w:gridCol w:w="4597"/>
      </w:tblGrid>
      <w:tr ns2:paraId="6FA4D7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61E97227">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Parameter</w:t>
            </w:r>
          </w:p>
        </w:tc>
        <w:tc>
          <w:tcPr>
            <w:tcW w:w="0" w:type="auto"/>
            <w:shd w:val="clear"/>
            <w:tcMar>
              <w:bottom w:w="140" w:type="dxa"/>
            </w:tcMar>
            <w:vAlign w:val="bottom"/>
          </w:tcPr>
          <w:p ns2:paraId="3B173C2B">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Value</w:t>
            </w:r>
          </w:p>
        </w:tc>
        <w:tc>
          <w:tcPr>
            <w:tcW w:w="0" w:type="auto"/>
            <w:shd w:val="clear"/>
            <w:tcMar>
              <w:bottom w:w="140" w:type="dxa"/>
            </w:tcMar>
            <w:vAlign w:val="bottom"/>
          </w:tcPr>
          <w:p ns2:paraId="14719903">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Interpretation</w:t>
            </w:r>
          </w:p>
        </w:tc>
      </w:tr>
      <w:tr ns2:paraId="5238127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B62C51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w:t>
            </w:r>
          </w:p>
        </w:tc>
        <w:tc>
          <w:tcPr>
            <w:tcW w:w="0" w:type="auto"/>
            <w:shd w:val="clear"/>
            <w:tcMar>
              <w:top w:w="140" w:type="dxa"/>
              <w:bottom w:w="140" w:type="dxa"/>
            </w:tcMar>
            <w:vAlign w:val="top"/>
          </w:tcPr>
          <w:p ns2:paraId="0D6A653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 units/day</w:t>
            </w:r>
          </w:p>
        </w:tc>
        <w:tc>
          <w:tcPr>
            <w:tcW w:w="0" w:type="auto"/>
            <w:shd w:val="clear"/>
            <w:tcMar>
              <w:top w:w="140" w:type="dxa"/>
              <w:bottom w:w="140" w:type="dxa"/>
            </w:tcMar>
            <w:vAlign w:val="top"/>
          </w:tcPr>
          <w:p ns2:paraId="57C9C44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Daily replenishment capacity (operational period)</w:t>
            </w:r>
          </w:p>
        </w:tc>
      </w:tr>
      <w:tr ns2:paraId="1260E6A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7A8407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680D080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80 units/day</w:t>
            </w:r>
          </w:p>
        </w:tc>
        <w:tc>
          <w:tcPr>
            <w:tcW w:w="0" w:type="auto"/>
            <w:shd w:val="clear"/>
            <w:tcMar>
              <w:top w:w="140" w:type="dxa"/>
              <w:bottom w:w="140" w:type="dxa"/>
            </w:tcMar>
            <w:vAlign w:val="top"/>
          </w:tcPr>
          <w:p ns2:paraId="5B825CF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Mean daily demand (Poisson-approximated for aggregated SKU)</w:t>
            </w:r>
          </w:p>
        </w:tc>
      </w:tr>
      <w:tr ns2:paraId="7D4F38D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7C0544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763BE3A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0.15 per day</w:t>
            </w:r>
          </w:p>
        </w:tc>
        <w:tc>
          <w:tcPr>
            <w:tcW w:w="0" w:type="auto"/>
            <w:shd w:val="clear"/>
            <w:tcMar>
              <w:top w:w="140" w:type="dxa"/>
              <w:bottom w:w="140" w:type="dxa"/>
            </w:tcMar>
            <w:vAlign w:val="top"/>
          </w:tcPr>
          <w:p ns2:paraId="361FF936">
            <w:pPr>
              <w:keepNext w:val="0"/>
              <w:keepLines w:val="0"/>
              <w:widowControl/>
              <w:suppressLineNumbers w:val="0"/>
              <w:spacing w:line="240" w:lineRule="auto" w:before="0" w:after="0"/>
              <w:ind w:left="0" w:firstLine="0"/>
              <w:jc w:val="left"/>
              <w:textAlignment w:val="baseline"/>
              <w:rPr>
                <w:sz w:val="18"/>
                <w:szCs w:val="18"/>
              </w:rPr>
            </w:pPr>
            <w:r>
              <w:rPr>
                <w:rFonts w:ascii="Times New Roman" w:hAnsi="Times New Roman" w:eastAsia="Times New Roman" w:cs="Times New Roman"/>
                <w:sz w:val="24"/>
                <w:szCs w:val="24"/>
              </w:rPr>
              <w:t>Disruption probability (within 5–20% range reported in (Hosseini et al., 2019; Snyder et al., 2016))</w:t>
            </w:r>
          </w:p>
        </w:tc>
      </w:tr>
      <w:tr ns2:paraId="2861DF7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1375D6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X₀ = s_reset</w:t>
            </w:r>
          </w:p>
        </w:tc>
        <w:tc>
          <w:tcPr>
            <w:tcW w:w="0" w:type="auto"/>
            <w:shd w:val="clear"/>
            <w:tcMar>
              <w:top w:w="140" w:type="dxa"/>
              <w:bottom w:w="140" w:type="dxa"/>
            </w:tcMar>
            <w:vAlign w:val="top"/>
          </w:tcPr>
          <w:p ns2:paraId="6FCBAD8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50 units</w:t>
            </w:r>
          </w:p>
        </w:tc>
        <w:tc>
          <w:tcPr>
            <w:tcW w:w="0" w:type="auto"/>
            <w:shd w:val="clear"/>
            <w:tcMar>
              <w:top w:w="140" w:type="dxa"/>
              <w:bottom w:w="140" w:type="dxa"/>
            </w:tcMar>
            <w:vAlign w:val="top"/>
          </w:tcPr>
          <w:p ns2:paraId="33E4247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Initial / post-maintenance safety stock</w:t>
            </w:r>
          </w:p>
        </w:tc>
      </w:tr>
      <w:tr ns2:paraId="206067C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FFB318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S_max</w:t>
            </w:r>
          </w:p>
        </w:tc>
        <w:tc>
          <w:tcPr>
            <w:tcW w:w="0" w:type="auto"/>
            <w:shd w:val="clear"/>
            <w:tcMar>
              <w:top w:w="140" w:type="dxa"/>
              <w:bottom w:w="140" w:type="dxa"/>
            </w:tcMar>
            <w:vAlign w:val="top"/>
          </w:tcPr>
          <w:p ns2:paraId="0B99C6E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180 units</w:t>
            </w:r>
          </w:p>
        </w:tc>
        <w:tc>
          <w:tcPr>
            <w:tcW w:w="0" w:type="auto"/>
            <w:shd w:val="clear"/>
            <w:tcMar>
              <w:top w:w="140" w:type="dxa"/>
              <w:bottom w:w="140" w:type="dxa"/>
            </w:tcMar>
            <w:vAlign w:val="top"/>
          </w:tcPr>
          <w:p ns2:paraId="4FD21EF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Warehouse capacity ceiling</w:t>
            </w:r>
          </w:p>
        </w:tc>
      </w:tr>
      <w:tr ns2:paraId="0F264F6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5EC5F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K_p</w:t>
            </w:r>
          </w:p>
        </w:tc>
        <w:tc>
          <w:tcPr>
            <w:tcW w:w="0" w:type="auto"/>
            <w:shd w:val="clear"/>
            <w:tcMar>
              <w:top w:w="140" w:type="dxa"/>
              <w:bottom w:w="140" w:type="dxa"/>
            </w:tcMar>
            <w:vAlign w:val="top"/>
          </w:tcPr>
          <w:p ns2:paraId="3BC4B05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10 (absolute units)</w:t>
            </w:r>
          </w:p>
        </w:tc>
        <w:tc>
          <w:tcPr>
            <w:tcW w:w="0" w:type="auto"/>
            <w:shd w:val="clear"/>
            <w:tcMar>
              <w:top w:w="140" w:type="dxa"/>
              <w:bottom w:w="140" w:type="dxa"/>
            </w:tcMar>
            <w:vAlign w:val="top"/>
          </w:tcPr>
          <w:p ns2:paraId="3061DED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 per preventive maintenance</w:t>
            </w:r>
          </w:p>
        </w:tc>
      </w:tr>
      <w:tr ns2:paraId="7301E0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B32457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K_f</w:t>
            </w:r>
          </w:p>
        </w:tc>
        <w:tc>
          <w:tcPr>
            <w:tcW w:w="0" w:type="auto"/>
            <w:shd w:val="clear"/>
            <w:tcMar>
              <w:top w:w="140" w:type="dxa"/>
              <w:bottom w:w="140" w:type="dxa"/>
            </w:tcMar>
            <w:vAlign w:val="top"/>
          </w:tcPr>
          <w:p ns2:paraId="55A285F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200 (absolute units)</w:t>
            </w:r>
          </w:p>
        </w:tc>
        <w:tc>
          <w:tcPr>
            <w:tcW w:w="0" w:type="auto"/>
            <w:shd w:val="clear"/>
            <w:tcMar>
              <w:top w:w="140" w:type="dxa"/>
              <w:bottom w:w="140" w:type="dxa"/>
            </w:tcMar>
            <w:vAlign w:val="top"/>
          </w:tcPr>
          <w:p ns2:paraId="2EB41F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 per stockout (K_f/K_p = 20)</w:t>
            </w:r>
          </w:p>
        </w:tc>
      </w:tr>
    </w:tbl>
    <w:p ns2:paraId="7A07058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The calibration is consistent with empirical reports from supply chain disruption literature (Hosseini et al., 2019; Snyder et al., 2016; Tomlin, 2006): disruption rates in the 5–20% range are documented for suppliers in disruption-prone categories, and storage-to-replenishment ratios in the 1.5×–3× range are typical for moderate-velocity SKUs. The cost ratio K_f / K_p = 20 reflects a setting in which a stockout incurs substantially more cost than a discretionary preventive replenishment.</w:t>
      </w:r>
    </w:p>
    <w:p ns2:paraId="4A7EFA2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MDP solution at this calibration yields the following.</w:t>
      </w:r>
    </w:p>
    <w:p ns2:paraId="7D8C3A7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optimal threshold is s* = 45 units. Operationally, the policy prescribes preventive replenishment whenever on-hand inventory falls to 45 units or below; replenishment is to the reset level s_reset = 50.</w:t>
      </w:r>
    </w:p>
    <w:p ns2:paraId="1C7A8A5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long-run average cost per period is g_CBM = 4.599 (absolute units). The benchmark age-based policy at its boundary-divergent argmin achieves g_AB^opt = g_RTF = 5.489; the run-to-failure policy achieves g_RTF = 5.489. The condition-based threshold yields a 16.2% cost reduction over both benchmarks at this cost ratio.</w:t>
      </w:r>
    </w:p>
    <w:p ns2:paraId="2ED1673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expected time to collapse from X₀ under continuation (RTF) is approximately 36 days. Under the threshold policy, most cycles end in preventive replenishment rather than collapse, dramatically reducing the failure-cost contribution to the long-run average.</w:t>
      </w:r>
    </w:p>
    <w:p ns2:paraId="1D2D4FF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Robustness to misspecification of the disruption rate p is high: under a 30% error in p, the policy regret is below 1% (Table 7). Robustness to misspecification of the demand rate λ is more sensitive: under a 30% underestimate of λ, the regret rises to 5.3%. The practical implication is that demand estimation deserves more careful effort than disruption-rate estimation in this regime.</w:t>
      </w:r>
    </w:p>
    <w:p ns2:paraId="54400AE0">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qualitative takeaway from the illustrative example is operational: the policy can be implemented with a single decision rule—"replenish toward 50 units whenever on-hand inventory reaches 45 or below"—that does not require time-since-last-replenishment tracking, calibration of an age threshold, or estimation of cycle-distribution parameters beyond the threshold itself.</w:t>
      </w:r>
    </w:p>
    <w:p ns2:paraId="4CE73057">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3" ns4:spt="1" style="height:1.5pt;width:432pt;" fillcolor="#A0A0A0" filled="t" stroked="f" coordsize="21600,21600" ns4:hr="t" ns4:hrstd="t" ns4:hralign="center">
            <ns3:path/>
            <ns3:fill on="t" focussize="0,0"/>
            <ns3:stroke on="f"/>
            <ns3:imagedata ns4:title=""/>
            <ns4:lock ns3:ext="edit"/>
            <ns5:wrap type="none"/>
            <ns5:anchorlock/>
          </ns3:rect>
        </w:pict>
      </w:r>
    </w:p>
    <w:p ns2:paraId="73C9210F">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7. Discussion</w:t>
      </w:r>
    </w:p>
    <w:p ns2:paraId="7EBB10A4">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7.1 Synthesis of findings</w:t>
      </w:r>
    </w:p>
    <w:p ns2:paraId="6609759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b w:val="0"/>
          <w:i w:val="0"/>
        </w:rPr>
        <w:t>The results show how first-passage reliability analysis and condition-based intervention reinforce each other. The distributional axis is the corrected inverse-Gaussian approximation of Section 3.2, which improves collapse-time characterization in the near-critical regime. The policy axis is the threshold-based MDP of Section 5, which converts the observable buffer state into an actionable intervention rule. Together, these results show that disruption-driven collapse can be treated as a reliability-control problem even when the underlying failure mechanism is operational rather than physical.</w:t>
      </w:r>
    </w:p>
    <w:p>
      <w:pPr>
        <w:pStyle w:val="10"/>
        <w:spacing w:line="480" w:lineRule="auto" w:before="0" w:after="0"/>
      </w:pPr>
      <w:r>
        <w:rPr>
          <w:rFonts w:ascii="Times New Roman" w:hAnsi="Times New Roman" w:eastAsia="Times New Roman" w:cs="Times New Roman"/>
          <w:sz w:val="24"/>
          <w:szCs w:val="24"/>
        </w:rPr>
        <w:t>This synthesis is intended to make the paper legible to both reliability and operations readers. From the reliability side, the work contributes a first-passage model for a non-degradation failure mechanism and connects it to hazard-rate behavior. From the maintenance-optimization side, it contributes a condition-based threshold rule whose state variable is an operational resource level. This places the paper alongside recent RESS work on CBM thresholds, queueing-maintenance integration, and joint operation-maintenance decisions (Hao et al., 2025; Kivanç et al., 2025; Luo et al., 2024; Luo et al., 2025; Sun &amp; Vatn, 2024; Zhang et al., 2024), but with a different source of failure risk.</w:t>
      </w:r>
    </w:p>
    <w:p ns2:paraId="648127F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b w:val="0"/>
          <w:i w:val="0"/>
        </w:rPr>
        <w:t>The connecting mechanism is survivorship selection. The same conditioning on survival that attenuates the between-mode variance contribution (the empirical content of β &lt; 1 in most calibrated cases) also produces decreasing-failure-rate behavior. In operational terms, systems that survive early disruptions tend to have accumulated additional buffer, so age alone becomes an unreliable measure of risk. The current buffer state is therefore the more informative condition variable for intervention.</w:t>
      </w:r>
    </w:p>
    <w:p ns2:paraId="14CAA81B">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7.2 An empirical observation worth flagging</w:t>
      </w:r>
    </w:p>
    <w:p ns2:paraId="00AFE08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While developing the MDP solution, we noted a surprisingly clean log-linear structure in the ratio E[τ]_MDP / μ_drift, where E[τ]_MDP is the mean cycle time computed from the MDP under continuation (RTF) and μ_drift = X₀/δ is the drift time-scale (the mean predicted by a hypothetical Brownian motion with drift toward the barrier). Across the feasible configurations of the operating grid (at fixed S_max = 180), the ratio admits a regression of approximately</w:t>
      </w:r>
    </w:p>
    <w:p ns2:paraId="4DF2C015">
      <w:pPr>
        <w:pStyle w:val="10"/>
        <w:keepNext w:val="0"/>
        <w:keepLines w:val="0"/>
        <w:widowControl/>
        <w:suppressLineNumbers w:val="0"/>
        <w:jc w:val="center"/>
        <w:spacing w:line="360" w:lineRule="auto" w:before="120" w:after="120"/>
        <w:tabs>
          <w:tab w:val="center" w:pos="4680"/>
          <w:tab w:val="right" w:pos="9360"/>
        </w:tabs>
      </w:pPr>
      <w:r>
        <w:tab/>
      </w:r>
      <m:oMathPara>
        <m:oMath>
          <m:r>
            <m:rPr>
              <m:sty m:val="p"/>
            </m:rPr>
            <m:t>log</m:t>
          </m:r>
          <m:r>
            <m:rPr>
              <m:sty m:val="i"/>
            </m:rPr>
            <m:t>(</m:t>
          </m:r>
          <m:f>
            <m:num>
              <m:r>
                <m:rPr>
                  <m:sty m:val="i"/>
                </m:rPr>
                <m:t>E</m:t>
              </m:r>
              <m:r>
                <m:rPr>
                  <m:sty m:val="i"/>
                </m:rPr>
                <m:t>[</m:t>
              </m:r>
              <m:r>
                <m:rPr>
                  <m:sty m:val="i"/>
                </m:rPr>
                <m:t>τ</m:t>
              </m:r>
              <m:sSub>
                <m:e>
                  <m:r>
                    <m:rPr>
                      <m:sty m:val="i"/>
                    </m:rPr>
                    <m:t>]</m:t>
                  </m:r>
                </m:e>
                <m:sub>
                  <m:r>
                    <m:rPr>
                      <m:sty m:val="p"/>
                    </m:rPr>
                    <m:t>MDP</m:t>
                  </m:r>
                </m:sub>
              </m:sSub>
            </m:num>
            <m:den>
              <m:sSub>
                <m:e>
                  <m:r>
                    <m:rPr>
                      <m:sty m:val="i"/>
                    </m:rPr>
                    <m:t>μ</m:t>
                  </m:r>
                </m:e>
                <m:sub>
                  <m:r>
                    <m:rPr>
                      <m:sty m:val="p"/>
                    </m:rPr>
                    <m:t>drift</m:t>
                  </m:r>
                </m:sub>
              </m:sSub>
            </m:den>
          </m:f>
          <m:r>
            <m:rPr>
              <m:sty m:val="i"/>
            </m:rPr>
            <m:t>)</m:t>
          </m:r>
          <m:r>
            <m:rPr>
              <m:sty m:val="i"/>
            </m:rPr>
            <m:t>≈</m:t>
          </m:r>
          <m:r>
            <m:rPr>
              <m:sty m:val="i"/>
            </m:rPr>
            <m:t>-</m:t>
          </m:r>
          <m:r>
            <m:rPr>
              <m:sty m:val="i"/>
            </m:rPr>
            <m:t>1</m:t>
          </m:r>
          <m:r>
            <m:rPr>
              <m:sty m:val="i"/>
            </m:rPr>
            <m:t>.</m:t>
          </m:r>
          <m:r>
            <m:rPr>
              <m:sty m:val="i"/>
            </m:rPr>
            <m:t>6</m:t>
          </m:r>
          <m:r>
            <m:rPr>
              <m:sty m:val="i"/>
            </m:rPr>
            <m:t>6</m:t>
          </m:r>
          <m:r>
            <m:rPr>
              <m:sty m:val="i"/>
            </m:rPr>
            <m:t>7</m:t>
          </m:r>
          <m:r>
            <m:rPr>
              <m:sty m:val="p"/>
            </m:rPr>
            <m:t>log</m:t>
          </m:r>
          <m:r>
            <m:rPr>
              <m:sty m:val="i"/>
            </m:rPr>
            <m:t xml:space="preserve"> </m:t>
          </m:r>
          <m:r>
            <m:rPr>
              <m:sty m:val="i"/>
            </m:rPr>
            <m:t>p</m:t>
          </m:r>
          <m:r>
            <m:rPr>
              <m:sty m:val="i"/>
            </m:rPr>
            <m:t>+</m:t>
          </m:r>
          <m:r>
            <m:rPr>
              <m:sty m:val="i"/>
            </m:rPr>
            <m:t>0</m:t>
          </m:r>
          <m:r>
            <m:rPr>
              <m:sty m:val="i"/>
            </m:rPr>
            <m:t>.</m:t>
          </m:r>
          <m:r>
            <m:rPr>
              <m:sty m:val="i"/>
            </m:rPr>
            <m:t>1</m:t>
          </m:r>
          <m:r>
            <m:rPr>
              <m:sty m:val="i"/>
            </m:rPr>
            <m:t>8</m:t>
          </m:r>
          <m:r>
            <m:rPr>
              <m:sty m:val="i"/>
            </m:rPr>
            <m:t>9</m:t>
          </m:r>
          <m:r>
            <m:rPr>
              <m:sty m:val="i"/>
            </m:rPr>
            <m:t>δ</m:t>
          </m:r>
          <m:r>
            <m:rPr>
              <m:sty m:val="i"/>
            </m:rPr>
            <m:t>-</m:t>
          </m:r>
          <m:r>
            <m:rPr>
              <m:sty m:val="i"/>
            </m:rPr>
            <m:t>2</m:t>
          </m:r>
          <m:r>
            <m:rPr>
              <m:sty m:val="i"/>
            </m:rPr>
            <m:t>.</m:t>
          </m:r>
          <m:r>
            <m:rPr>
              <m:sty m:val="i"/>
            </m:rPr>
            <m:t>5</m:t>
          </m:r>
          <m:r>
            <m:rPr>
              <m:sty m:val="i"/>
            </m:rPr>
            <m:t>7</m:t>
          </m:r>
          <m:r>
            <m:rPr>
              <m:sty m:val="i"/>
            </m:rPr>
            <m:t>4</m:t>
          </m:r>
        </m:oMath>
      </m:oMathPara>
      <w:r>
        <w:tab/>
      </w:r>
      <w:r>
        <w:rPr>
          <w:rFonts w:ascii="Times New Roman" w:hAnsi="Times New Roman" w:eastAsia="Times New Roman" w:cs="Times New Roman"/>
          <w:sz w:val="24"/>
          <w:szCs w:val="24"/>
        </w:rPr>
        <w:t>(20)</w:t>
      </w:r>
    </w:p>
    <w:p ns2:paraId="2B786D9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with R² ≈ 0.99 on the regression sample. We caution that μ_drift in our regime is not a valid mean prediction (the drift is away from the barrier, so the unbounded Brownian first-passage time is defective), and the ratio is therefore an empirical normalization, not a corrected mean prediction. The cleanness of the regression nevertheless suggests an underlying scaling structure—possibly related to large-deviations rate functions for the renewal cycle, or to extremal characterizations of the bounded random walk with reflecting upper boundary—that may merit theoretical investigation.</w:t>
      </w:r>
    </w:p>
    <w:p ns2:paraId="47DBE22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relationship is conditional on a fixed system capacity. When S_max is varied, E[τ]_MDP varies by factors of up to 144× (Table 6), which is qualitatively incompatible with a global scaling law that does not include S_max as a parameter. We have not attempted to extend (20) to capacity-aware form, both because the resulting expression would require additional parameters that destroy its compactness and because the practical use case is limited: E[τ]_MDP is directly computable from the MDP solution at no significant additional cost.</w:t>
      </w:r>
    </w:p>
    <w:p ns2:paraId="0F163BF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flag (20) as an empirical observation rather than a theoretical contribution, and leave its theoretical investigation to future work.</w:t>
      </w:r>
    </w:p>
    <w:p ns2:paraId="11451F1B">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7.3 Managerial implications</w:t>
      </w:r>
    </w:p>
    <w:p>
      <w:pPr>
        <w:pStyle w:val="10"/>
        <w:spacing w:line="480" w:lineRule="auto" w:before="0" w:after="0"/>
      </w:pPr>
      <w:r>
        <w:t>The results have three implications for reliability management in disruption-prone systems.</w:t>
      </w:r>
    </w:p>
    <w:p>
      <w:pPr>
        <w:pStyle w:val="10"/>
        <w:spacing w:line="480" w:lineRule="auto" w:before="0" w:after="0"/>
      </w:pPr>
      <w:r>
        <w:t>First, the recommended intervention rule is operationally simple. The decision maker monitors the current buffer level and triggers preventive replenishment when the state falls below a single threshold. The policy does not require estimating an unobservable degradation state or tracking time since the last intervention.</w:t>
      </w:r>
    </w:p>
    <w:p>
      <w:pPr>
        <w:pStyle w:val="10"/>
        <w:spacing w:line="480" w:lineRule="auto" w:before="0" w:after="0"/>
      </w:pPr>
      <w:r>
        <w:t>Second, age is a weak risk signal in the DFR regimes identified here. Because surviving systems are selected toward higher-buffer trajectories, resetting solely on the basis of elapsed time can discard favorable states and may provide little or no benefit over run-to-failure. This explains the degeneracy of age-based replacement observed in the numerical experiments.</w:t>
      </w:r>
    </w:p>
    <w:p>
      <w:pPr>
        <w:pStyle w:val="10"/>
        <w:spacing w:line="480" w:lineRule="auto" w:before="0" w:after="0"/>
      </w:pPr>
      <w:r>
        <w:t>Third, the threshold is more stable than conventional reliability summaries such as mean time to collapse. Across a threefold variation in capacity, the optimal threshold changes by at most 4 units, while E[τ] changes by factors as large as 144. This suggests that practitioners managing related systems can often transfer a calibrated threshold across capacity levels more safely than they can transfer mean-time metrics.</w:t>
      </w:r>
    </w:p>
    <w:p>
      <w:pPr>
        <w:pStyle w:val="10"/>
        <w:spacing w:line="480" w:lineRule="auto" w:before="0" w:after="0"/>
      </w:pPr>
      <w:r>
        <w:t>Finally, the policy is robust to moderate parameter uncertainty. Regret remains below 1% under 30% misspecification of the disruption rate p and below 6% under 30% misspecification of demand λ. The greater sensitivity to λ is expected because demand directly contributes to the stability margin, whereas p primarily modulates the frequency of disruption episodes.</w:t>
      </w:r>
    </w:p>
    <w:p ns2:paraId="4484910A">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7.4 Limitations</w:t>
      </w:r>
    </w:p>
    <w:p ns2:paraId="61D200C7">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Several limitations are worth flagging.</w:t>
      </w:r>
    </w:p>
    <w:p ns2:paraId="67542ED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First, the empirical correction β(p, δ) is calibrated within a bounded validity domain (p ≤ 0.35, δ ≤ 15) and should not be applied outside it. The parametric form (10) is not derived from first principles, and we have no reason to expect that it extrapolates well to extreme regimes. Within the validity domain, the correction is reliable; outside it, the uncorrected diffusion approximation should be replaced with direct numerical methods such as the MDP-based survival propagation used in Section 4.</w:t>
      </w:r>
    </w:p>
    <w:p ns2:paraId="7F9FB6B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Second, the IG calibration of Section 3.2 is performed on the unbounded version of the recursion (without the upper cap S_max), used as a proxy for the bounded process before the upper boundary is approached. The calibration may not transfer faithfully to configurations in which the upper boundary is frequently reached (high stability margin combined with low utilization). The MDP analysis of Section 5, in contrast, uses the bounded process throughout.</w:t>
      </w:r>
    </w:p>
    <w:p ns2:paraId="62F244D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Third, the threshold optimality is established only within the threshold-policy class. We do not prove that the unrestricted MDP-optimal policy is a threshold; we verified empirically on a representative subset of configurations that this holds, but the structural property is not a theorem in our work. A reader interested in the unrestricted optimum should solve (18) over both actions at every state.</w:t>
      </w:r>
    </w:p>
    <w:p ns2:paraId="05B0C1D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Fourth, the conditional structural property of Lemma 1 depends on the verifiable hypothesis g_RTF &lt; K_p. This hypothesis is satisfied in every configuration we report, but it is not universal: in regimes with very high failure cost ratio combined with very short cycle time, the hypothesis may fail and the analysis must be extended.</w:t>
      </w:r>
    </w:p>
    <w:p ns2:paraId="16D72C6A">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Fifth, the model is single-product and single-stage. Real supply chains involve multiple SKUs with correlated demand, multi-echelon inventory positioning, and supplier networks with correlated disruption risks. Extension to multi-product settings is a natural direction for future work.</w:t>
      </w:r>
    </w:p>
    <w:p ns2:paraId="060D318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Sixth, the disruption rate p and demand rate λ are assumed stationary. In real settings, both vary with macroeconomic conditions, seasonality, and supply network changes. The robustness analysis of Section 5.6 partially addresses this concern by quantifying regret under static misspecification, but a full treatment would require a non-stationary or contextual MDP formulation.</w:t>
      </w:r>
    </w:p>
    <w:p ns2:paraId="72854DD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Seventh, the censoring of the IG calibration simulator (configurations with fewer than 500 observed collapses are excluded) introduces a selection of the calibration sample toward configurations where collapse is sufficiently frequent. The 42 retained design points are therefore not a uniform sample of the parameter space; they oversample the near-critical regime, which is consistent with the validity domain in which we deploy the correction but should be borne in mind when interpreting the global error metrics.</w:t>
      </w:r>
    </w:p>
    <w:p ns2:paraId="1F0138B5">
      <w:pPr>
        <w:pStyle w:val="4"/>
        <w:keepNext w:val="0"/>
        <w:keepLines w:val="0"/>
        <w:widowControl/>
        <w:suppressLineNumbers w:val="0"/>
        <w:shd w:val="clear" w:fill="FDFCFE"/>
        <w:spacing w:before="180" w:beforeAutospacing="0" w:after="60" w:afterAutospacing="0" w:line="480" w:lineRule="auto"/>
        <w:ind w:left="0" w:right="0" w:firstLine="0"/>
        <w:rPr>
          <w:rFonts w:hint="default" w:ascii="Segoe UI" w:hAnsi="Segoe UI" w:eastAsia="Segoe UI" w:cs="Segoe UI"/>
          <w:b/>
          <w:bCs/>
          <w:i w:val="0"/>
          <w:iCs w:val="0"/>
          <w:caps w:val="0"/>
          <w:spacing w:val="0"/>
          <w:sz w:val="27"/>
          <w:szCs w:val="27"/>
        </w:rPr>
        <w:keepNext/>
      </w:pPr>
      <w:r>
        <w:rPr>
          <w:rFonts w:ascii="Times New Roman" w:hAnsi="Times New Roman" w:eastAsia="Times New Roman" w:cs="Times New Roman"/>
          <w:sz w:val="24"/>
          <w:szCs w:val="24"/>
          <w:b/>
        </w:rPr>
        <w:t>7.5 Future directions</w:t>
      </w:r>
    </w:p>
    <w:p ns2:paraId="721BA26E">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The framework can be extended to production buffers between unreliable workstations (Chelbi &amp; Ait-Kadi, 2004; Dimitrakos &amp; Kyriakidis, 2008; Karamatsoukis &amp; Kyriakidis, 2010; Meller &amp; Kim, 1996; Nahas, 2017; Zequeira et al., 2008) with relatively minor adjustments, and to recent reliability-maintenance settings involving dynamic environments, inspection delays, queueing systems, standby resources, and hybrid operational loads (Hao et al., 2025; Kivanç et al., 2025; Luo et al., 2024; Luo et al., 2025; Sun &amp; Vatn, 2024; Zhang et al., 2024). The IG correction (10) merits theoretical investigation in connection with the survivorship-selection mechanism: a derivation of the functional form from a specific selection model would clarify whether the empirical fit reflects a deep structural property or a domain-specific calibration. The empirical scaling (20) merits theoretical investigation as noted in Section 7.2. Finally, integration of the threshold policy with downstream demand-forecasting models, in a setting where demand parameters are updated online, would address the stationarity limitation in a structured way.</w:t>
      </w:r>
    </w:p>
    <w:p ns2:paraId="3A300FB2">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4" ns4:spt="1" style="height:1.5pt;width:432pt;" fillcolor="#A0A0A0" filled="t" stroked="f" coordsize="21600,21600" ns4:hr="t" ns4:hrstd="t" ns4:hralign="center">
            <ns3:path/>
            <ns3:fill on="t" focussize="0,0"/>
            <ns3:stroke on="f"/>
            <ns3:imagedata ns4:title=""/>
            <ns4:lock ns3:ext="edit"/>
            <ns5:wrap type="none"/>
            <ns5:anchorlock/>
          </ns3:rect>
        </w:pict>
      </w:r>
    </w:p>
    <w:p ns2:paraId="1A702976">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8. Conclusions</w:t>
      </w:r>
    </w:p>
    <w:p>
      <w:pPr>
        <w:pStyle w:val="10"/>
        <w:spacing w:line="480" w:lineRule="auto" w:before="0" w:after="0"/>
      </w:pPr>
      <w:r>
        <w:t>This paper studied reliability control in near-critical capacity-constrained inventory systems exposed to random replenishment disruptions. The central premise is that operational collapse can be analyzed as a first-passage reliability event even when the failure mechanism is not physical degradation. This perspective connects disruption management, first-passage modeling, and condition-based maintenance within a single framework.</w:t>
      </w:r>
    </w:p>
    <w:p>
      <w:pPr>
        <w:pStyle w:val="10"/>
        <w:spacing w:line="480" w:lineRule="auto" w:before="0" w:after="0"/>
      </w:pPr>
      <w:r>
        <w:rPr>
          <w:rFonts w:ascii="Times New Roman" w:hAnsi="Times New Roman" w:eastAsia="Times New Roman" w:cs="Times New Roman"/>
          <w:sz w:val="24"/>
          <w:szCs w:val="24"/>
        </w:rPr>
        <w:t>On the distributional side, the classical inverse-Gaussian diffusion parameterization is shown to be systematically biased in the near-critical regime. The empirical correction β(p, δ) reduces mean absolute shape-parameter error from 36.0% to 5.0% on the calibrated design grid, with R^2 = 0.9536. The correction is valid within the stated domain p &lt;= 0.35 and δ &lt;= 15 and should be interpreted as an effective empirical weight rather than a first-principles constant.</w:t>
      </w:r>
    </w:p>
    <w:p>
      <w:pPr>
        <w:pStyle w:val="10"/>
        <w:spacing w:line="480" w:lineRule="auto" w:before="0" w:after="0"/>
      </w:pPr>
      <w:r>
        <w:t>On the reliability side, the cycle-collapse distribution exhibits approximately decreasing-failure-rate behavior across the feasible operating grid and strict smoothed DFR behavior in 52.4% of configurations. The mechanism is survivorship selection: trajectories that survive early disruption episodes tend to accumulate buffer, making current condition more informative than elapsed age. This explains why age-based replacement degenerates in important regions of the parameter space.</w:t>
      </w:r>
    </w:p>
    <w:p>
      <w:pPr>
        <w:pStyle w:val="10"/>
        <w:spacing w:line="480" w:lineRule="auto" w:before="0" w:after="0"/>
      </w:pPr>
      <w:r>
        <w:t>On the policy side, the average-cost MDP yields condition-based threshold rules that weakly dominate run-to-failure and age-based benchmarks across the tested grid. The threshold policy reduces long-run cost by up to 22% over the age-based optimum, remains stable under capacity variation, and exhibits low regret under moderate parameter misspecification. The capacity-decoupling result is particularly operationally relevant: thresholds vary by at most 4 units across S_max in [100, 300], while mean cycle times vary by factors of 5 to 144x.</w:t>
      </w:r>
    </w:p>
    <w:p>
      <w:pPr>
        <w:pStyle w:val="10"/>
        <w:spacing w:line="480" w:lineRule="auto" w:before="0" w:after="0"/>
      </w:pPr>
      <w:r>
        <w:t>The main limitation is that the model is single-product, single-stage, and stationary, and the correction is empirical within a bounded calibration domain. Extensions to multi-echelon networks, correlated disruptions, nonstationary demand, and empirical validation using operational first-passage data are natural next steps. Nevertheless, the present results establish a reliability-based threshold-control framework for near-critical systems in which collapse risk is driven by stochastic resource depletion rather than physical aging.</w:t>
      </w:r>
    </w:p>
    <w:p ns2:paraId="642C14FF">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Appendix A: Proof of Lemma 1 (conditional)</w:t>
      </w:r>
    </w:p>
    <w:p ns2:paraId="23671283">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We restate the conditional lemma in compact form.</w:t>
      </w:r>
    </w:p>
    <w:p ns2:paraId="39FFE84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Statement.</w:t>
      </w:r>
      <w:r>
        <w:rPr>
          <w:rFonts w:hint="default" w:ascii="Segoe UI" w:hAnsi="Segoe UI" w:eastAsia="Segoe UI" w:cs="Segoe UI"/>
          <w:i w:val="0"/>
          <w:iCs w:val="0"/>
          <w:caps w:val="0"/>
          <w:spacing w:val="0"/>
          <w:sz w:val="14"/>
          <w:szCs w:val="14"/>
          <w:shd w:val="clear" w:fill="FDFCFE"/>
        </w:rPr>
        <w:t> </w:t>
      </w:r>
      <w:r>
        <w:rPr>
          <w:rStyle w:val="7"/>
          <w:rFonts w:hint="default" w:ascii="Segoe UI" w:hAnsi="Segoe UI" w:eastAsia="Segoe UI" w:cs="Segoe UI"/>
          <w:i w:val="0"/>
          <w:iCs w:val="0"/>
          <w:caps w:val="0"/>
          <w:spacing w:val="0"/>
          <w:sz w:val="14"/>
          <w:szCs w:val="14"/>
          <w:shd w:val="clear" w:fill="FDFCFE"/>
        </w:rPr>
        <w:t>Let</w:t>
      </w:r>
      <w:r>
        <w:rPr>
          <w:rFonts w:hint="default" w:ascii="Segoe UI" w:hAnsi="Segoe UI" w:eastAsia="Segoe UI" w:cs="Segoe UI"/>
          <w:i w:val="0"/>
          <w:iCs w:val="0"/>
          <w:caps w:val="0"/>
          <w:spacing w:val="0"/>
          <w:sz w:val="14"/>
          <w:szCs w:val="14"/>
          <w:shd w:val="clear" w:fill="FDFCFE"/>
        </w:rPr>
        <w:t> g_RTF </w:t>
      </w:r>
      <w:r>
        <w:rPr>
          <w:rStyle w:val="7"/>
          <w:rFonts w:hint="default" w:ascii="Segoe UI" w:hAnsi="Segoe UI" w:eastAsia="Segoe UI" w:cs="Segoe UI"/>
          <w:i w:val="0"/>
          <w:iCs w:val="0"/>
          <w:caps w:val="0"/>
          <w:spacing w:val="0"/>
          <w:sz w:val="14"/>
          <w:szCs w:val="14"/>
          <w:shd w:val="clear" w:fill="FDFCFE"/>
        </w:rPr>
        <w:t>denote the average cost of the threshold policy</w:t>
      </w:r>
      <w:r>
        <w:rPr>
          <w:rFonts w:hint="default" w:ascii="Segoe UI" w:hAnsi="Segoe UI" w:eastAsia="Segoe UI" w:cs="Segoe UI"/>
          <w:i w:val="0"/>
          <w:iCs w:val="0"/>
          <w:caps w:val="0"/>
          <w:spacing w:val="0"/>
          <w:sz w:val="14"/>
          <w:szCs w:val="14"/>
          <w:shd w:val="clear" w:fill="FDFCFE"/>
        </w:rPr>
        <w:t> s* = 0 </w:t>
      </w:r>
      <w:r>
        <w:rPr>
          <w:rStyle w:val="7"/>
          <w:rFonts w:hint="default" w:ascii="Segoe UI" w:hAnsi="Segoe UI" w:eastAsia="Segoe UI" w:cs="Segoe UI"/>
          <w:i w:val="0"/>
          <w:iCs w:val="0"/>
          <w:caps w:val="0"/>
          <w:spacing w:val="0"/>
          <w:sz w:val="14"/>
          <w:szCs w:val="14"/>
          <w:shd w:val="clear" w:fill="FDFCFE"/>
        </w:rPr>
        <w:t>under the inventory dynamics (1)–(3). If</w:t>
      </w:r>
      <w:r>
        <w:rPr>
          <w:rFonts w:hint="default" w:ascii="Segoe UI" w:hAnsi="Segoe UI" w:eastAsia="Segoe UI" w:cs="Segoe UI"/>
          <w:i w:val="0"/>
          <w:iCs w:val="0"/>
          <w:caps w:val="0"/>
          <w:spacing w:val="0"/>
          <w:sz w:val="14"/>
          <w:szCs w:val="14"/>
          <w:shd w:val="clear" w:fill="FDFCFE"/>
        </w:rPr>
        <w:t> g_RTF &lt; K_p, </w:t>
      </w:r>
      <w:r>
        <w:rPr>
          <w:rStyle w:val="7"/>
          <w:rFonts w:hint="default" w:ascii="Segoe UI" w:hAnsi="Segoe UI" w:eastAsia="Segoe UI" w:cs="Segoe UI"/>
          <w:i w:val="0"/>
          <w:iCs w:val="0"/>
          <w:caps w:val="0"/>
          <w:spacing w:val="0"/>
          <w:sz w:val="14"/>
          <w:szCs w:val="14"/>
          <w:shd w:val="clear" w:fill="FDFCFE"/>
        </w:rPr>
        <w:t>then any threshold policy with</w:t>
      </w:r>
      <w:r>
        <w:rPr>
          <w:rFonts w:hint="default" w:ascii="Segoe UI" w:hAnsi="Segoe UI" w:eastAsia="Segoe UI" w:cs="Segoe UI"/>
          <w:i w:val="0"/>
          <w:iCs w:val="0"/>
          <w:caps w:val="0"/>
          <w:spacing w:val="0"/>
          <w:sz w:val="14"/>
          <w:szCs w:val="14"/>
          <w:shd w:val="clear" w:fill="FDFCFE"/>
        </w:rPr>
        <w:t> s* ≥ s_reset </w:t>
      </w:r>
      <w:r>
        <w:rPr>
          <w:rStyle w:val="7"/>
          <w:rFonts w:hint="default" w:ascii="Segoe UI" w:hAnsi="Segoe UI" w:eastAsia="Segoe UI" w:cs="Segoe UI"/>
          <w:i w:val="0"/>
          <w:iCs w:val="0"/>
          <w:caps w:val="0"/>
          <w:spacing w:val="0"/>
          <w:sz w:val="14"/>
          <w:szCs w:val="14"/>
          <w:shd w:val="clear" w:fill="FDFCFE"/>
        </w:rPr>
        <w:t>is strictly dominated by</w:t>
      </w:r>
      <w:r>
        <w:rPr>
          <w:rFonts w:hint="default" w:ascii="Segoe UI" w:hAnsi="Segoe UI" w:eastAsia="Segoe UI" w:cs="Segoe UI"/>
          <w:i w:val="0"/>
          <w:iCs w:val="0"/>
          <w:caps w:val="0"/>
          <w:spacing w:val="0"/>
          <w:sz w:val="14"/>
          <w:szCs w:val="14"/>
          <w:shd w:val="clear" w:fill="FDFCFE"/>
        </w:rPr>
        <w:t> s* = 0, </w:t>
      </w:r>
      <w:r>
        <w:rPr>
          <w:rStyle w:val="7"/>
          <w:rFonts w:hint="default" w:ascii="Segoe UI" w:hAnsi="Segoe UI" w:eastAsia="Segoe UI" w:cs="Segoe UI"/>
          <w:i w:val="0"/>
          <w:iCs w:val="0"/>
          <w:caps w:val="0"/>
          <w:spacing w:val="0"/>
          <w:sz w:val="14"/>
          <w:szCs w:val="14"/>
          <w:shd w:val="clear" w:fill="FDFCFE"/>
        </w:rPr>
        <w:t>and the optimal threshold lies in {0, 1, ..., s_reset − 1}.</w:t>
      </w:r>
    </w:p>
    <w:p ns2:paraId="6BE3A5D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Proof.</w:t>
      </w:r>
      <w:r>
        <w:rPr>
          <w:rFonts w:hint="default" w:ascii="Segoe UI" w:hAnsi="Segoe UI" w:eastAsia="Segoe UI" w:cs="Segoe UI"/>
          <w:i w:val="0"/>
          <w:iCs w:val="0"/>
          <w:caps w:val="0"/>
          <w:spacing w:val="0"/>
          <w:sz w:val="14"/>
          <w:szCs w:val="14"/>
          <w:shd w:val="clear" w:fill="FDFCFE"/>
        </w:rPr>
        <w:t> Suppose s* ≥ s_reset. Under the threshold policy with this s*, the post-maintenance state s_reset triggers immediate maintenance (since s_reset ≤ s*), which returns the state to s_reset, triggering a further maintenance, and so on indefinitely. The dynamics under continuation are never executed; every period incurs cost K_p. Therefore the long-run average cost under any threshold s* ≥ s_reset is exactly g(s* ≥ s_reset) = K_p.</w:t>
      </w:r>
    </w:p>
    <w:p ns2:paraId="1AD1171B">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run-to-failure threshold s* = 0 has average cost g_RTF. Under the hypothesis g_RTF &lt; K_p, we have g_RTF &lt; g(s* ≥ s_reset) = K_p, so s* = 0 strictly dominates any s* ≥ s_reset. ∎</w:t>
      </w:r>
    </w:p>
    <w:p ns2:paraId="26ABFC5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Verification of the hypothesis.</w:t>
      </w:r>
      <w:r>
        <w:rPr>
          <w:rFonts w:hint="default" w:ascii="Segoe UI" w:hAnsi="Segoe UI" w:eastAsia="Segoe UI" w:cs="Segoe UI"/>
          <w:i w:val="0"/>
          <w:iCs w:val="0"/>
          <w:caps w:val="0"/>
          <w:spacing w:val="0"/>
          <w:sz w:val="14"/>
          <w:szCs w:val="14"/>
          <w:shd w:val="clear" w:fill="FDFCFE"/>
        </w:rPr>
        <w:t> In every configuration reported in this paper, the inequality g_RTF &lt; K_p is verified numerically before the MDP solution is reported. Across the operating grid of Section 6 (K_p = 10, K_f = 100, p ∈ {0.05, ..., 0.30}, λ/C ∈ {0.60, ..., 0.90}), the smallest E[τ]_RTF observed is approximately 17 periods (at p = 0.15, λ/C = 0.80, S_max = 100), giving g_RTF = K_f/E[τ] ≈ 5.85 &lt; 10 = K_p. The hypothesis is therefore satisfied across the full reported grid.</w:t>
      </w:r>
    </w:p>
    <w:p ns2:paraId="6A4CFF55">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6" ns4:spt="1" style="height:1.5pt;width:432pt;" fillcolor="#A0A0A0" filled="t" stroked="f" coordsize="21600,21600" ns4:hr="t" ns4:hrstd="t" ns4:hralign="center">
            <ns3:path/>
            <ns3:fill on="t" focussize="0,0"/>
            <ns3:stroke on="f"/>
            <ns3:imagedata ns4:title=""/>
            <ns4:lock ns3:ext="edit"/>
            <ns5:wrap type="none"/>
            <ns5:anchorlock/>
          </ns3:rect>
        </w:pict>
      </w:r>
    </w:p>
    <w:p ns2:paraId="767FC519">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Appendix B: Implementation details</w:t>
      </w:r>
    </w:p>
    <w:p ns2:paraId="20707D9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DFCFE"/>
        </w:rPr>
        <w:t>The MDP solution pipeline is implemented in Python.</w:t>
      </w:r>
    </w:p>
    <w:p ns2:paraId="0C7AF13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Poisson PMF computation.</w:t>
      </w:r>
      <w:r>
        <w:rPr>
          <w:rFonts w:hint="default" w:ascii="Segoe UI" w:hAnsi="Segoe UI" w:eastAsia="Segoe UI" w:cs="Segoe UI"/>
          <w:i w:val="0"/>
          <w:iCs w:val="0"/>
          <w:caps w:val="0"/>
          <w:spacing w:val="0"/>
          <w:sz w:val="14"/>
          <w:szCs w:val="14"/>
          <w:shd w:val="clear" w:fill="FDFCFE"/>
        </w:rPr>
        <w:t> Demand probabilities P_Pois(k; λ) for k ∈ {0, 1, ..., k_max} are computed by the recurrence P(k+1) = P(k) · λ / (k+1) with P(0) = exp(−λ), with k_max chosen adaptively to capture the relevant tail mass. In our parameter ranges, k_max is on the order of λ + 12√λ + S_max + C, which substantially exceeds the standard 6σ heuristic and ensures that tail truncation does not affect the boundary-mass aggregations.</w:t>
      </w:r>
    </w:p>
    <w:p ns2:paraId="442FC98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Sparse kernel construction.</w:t>
      </w:r>
      <w:r>
        <w:rPr>
          <w:rFonts w:hint="default" w:ascii="Segoe UI" w:hAnsi="Segoe UI" w:eastAsia="Segoe UI" w:cs="Segoe UI"/>
          <w:i w:val="0"/>
          <w:iCs w:val="0"/>
          <w:caps w:val="0"/>
          <w:spacing w:val="0"/>
          <w:sz w:val="14"/>
          <w:szCs w:val="14"/>
          <w:shd w:val="clear" w:fill="FDFCFE"/>
        </w:rPr>
        <w:t> The transition kernel under continuation is built explicitly with three components: (i) a disruptive-mode contribution covering s' ∈ {0, 1, ..., s} with mass weighted by p; (ii) an operational-mode contribution covering s' ∈ {0, 1, ..., min(s+C, S_max)} with mass weighted by 1−p; (iii) an aggregation of all collapse outcomes (s' ≤ 0) into the failure mass q_fail(s) given by (15), which is then routed in the value-iteration step to s_reset. The reflecting upper boundary at S_max is enforced by aggregating any operational-mode mass with s+C−D ≥ S_max into the boundary state.</w:t>
      </w:r>
    </w:p>
    <w:p ns2:paraId="58741909">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Average-cost RVI on the threshold class.</w:t>
      </w:r>
      <w:r>
        <w:rPr>
          <w:rFonts w:hint="default" w:ascii="Segoe UI" w:hAnsi="Segoe UI" w:eastAsia="Segoe UI" w:cs="Segoe UI"/>
          <w:i w:val="0"/>
          <w:iCs w:val="0"/>
          <w:caps w:val="0"/>
          <w:spacing w:val="0"/>
          <w:sz w:val="14"/>
          <w:szCs w:val="14"/>
          <w:shd w:val="clear" w:fill="FDFCFE"/>
        </w:rPr>
        <w:t> For each candidate threshold s*, the value function update under the fixed threshold rule is</w:t>
      </w:r>
    </w:p>
    <w:p ns2:paraId="1499EE16">
      <w:pPr>
        <w:pStyle w:val="10"/>
        <w:keepNext w:val="0"/>
        <w:keepLines w:val="0"/>
        <w:widowControl/>
        <w:suppressLineNumbers w:val="0"/>
        <w:jc w:val="center"/>
        <w:spacing w:line="360" w:lineRule="auto" w:before="120" w:after="120"/>
        <w:tabs>
          <w:tab w:val="center" w:pos="4680"/>
          <w:tab w:val="right" w:pos="9360"/>
        </w:tabs>
      </w:pPr>
      <w:r>
        <w:tab/>
      </w:r>
      <m:oMathPara>
        <m:oMath>
          <m:sSup>
            <m:e>
              <m:r>
                <m:rPr>
                  <m:sty m:val="i"/>
                </m:rPr>
                <m:t>h</m:t>
              </m:r>
            </m:e>
            <m:sup>
              <m:r>
                <m:rPr>
                  <m:sty m:val="i"/>
                </m:rPr>
                <m:t>n</m:t>
              </m:r>
              <m:r>
                <m:rPr>
                  <m:sty m:val="i"/>
                </m:rPr>
                <m:t>+</m:t>
              </m:r>
              <m:r>
                <m:rPr>
                  <m:sty m:val="i"/>
                </m:rPr>
                <m:t>1</m:t>
              </m:r>
            </m:sup>
          </m:sSup>
          <m:r>
            <m:rPr>
              <m:sty m:val="i"/>
            </m:rPr>
            <m:t>(</m:t>
          </m:r>
          <m:r>
            <m:rPr>
              <m:sty m:val="i"/>
            </m:rPr>
            <m:t>s</m:t>
          </m:r>
          <m:r>
            <m:rPr>
              <m:sty m:val="i"/>
            </m:rPr>
            <m:t>)</m:t>
          </m:r>
          <m:r>
            <m:rPr>
              <m:sty m:val="i"/>
            </m:rPr>
            <m:t>=</m:t>
          </m:r>
          <m:sSub>
            <m:e>
              <m:r>
                <m:rPr>
                  <m:sty m:val="i"/>
                </m:rPr>
                <m:t>K</m:t>
              </m:r>
            </m:e>
            <m:sub>
              <m:r>
                <m:rPr>
                  <m:sty m:val="i"/>
                </m:rPr>
                <m:t>p</m:t>
              </m:r>
            </m:sub>
          </m:sSub>
          <m:r>
            <m:rPr>
              <m:sty m:val="i"/>
            </m:rPr>
            <m:t>+</m:t>
          </m:r>
          <m:sSup>
            <m:e>
              <m:r>
                <m:rPr>
                  <m:sty m:val="i"/>
                </m:rPr>
                <m:t>h</m:t>
              </m:r>
            </m:e>
            <m:sup>
              <m:r>
                <m:rPr>
                  <m:sty m:val="i"/>
                </m:rPr>
                <m:t>n</m:t>
              </m:r>
            </m:sup>
          </m:sSup>
          <m:r>
            <m:rPr>
              <m:sty m:val="i"/>
            </m:rPr>
            <m:t>(</m:t>
          </m:r>
          <m:sSub>
            <m:e>
              <m:r>
                <m:rPr>
                  <m:sty m:val="i"/>
                </m:rPr>
                <m:t>s</m:t>
              </m:r>
            </m:e>
            <m:sub>
              <m:r>
                <m:rPr>
                  <m:sty m:val="p"/>
                </m:rPr>
                <m:t>reset</m:t>
              </m:r>
            </m:sub>
          </m:sSub>
          <m:r>
            <m:rPr>
              <m:sty m:val="i"/>
            </m:rPr>
            <m:t>)</m:t>
          </m:r>
          <m:r>
            <m:rPr>
              <m:sty m:val="i"/>
            </m:rPr>
            <m:t xml:space="preserve"> </m:t>
          </m:r>
          <m:r>
            <m:rPr>
              <m:sty m:val="p"/>
            </m:rPr>
            <m:t>if</m:t>
          </m:r>
          <m:r>
            <m:rPr>
              <m:sty m:val="i"/>
            </m:rPr>
            <m:t xml:space="preserve"> </m:t>
          </m:r>
          <m:r>
            <m:rPr>
              <m:sty m:val="i"/>
            </m:rPr>
            <m:t>1</m:t>
          </m:r>
          <m:r>
            <m:rPr>
              <m:sty m:val="i"/>
            </m:rPr>
            <m:t>≤</m:t>
          </m:r>
          <m:r>
            <m:rPr>
              <m:sty m:val="i"/>
            </m:rPr>
            <m:t xml:space="preserve"> </m:t>
          </m:r>
          <m:r>
            <m:rPr>
              <m:sty m:val="i"/>
            </m:rPr>
            <m:t>s</m:t>
          </m:r>
          <m:r>
            <m:rPr>
              <m:sty m:val="i"/>
            </m:rPr>
            <m:t>≤</m:t>
          </m:r>
          <m:r>
            <m:rPr>
              <m:sty m:val="i"/>
            </m:rPr>
            <m:t xml:space="preserve"> </m:t>
          </m:r>
          <m:sSup>
            <m:e>
              <m:r>
                <m:rPr>
                  <m:sty m:val="i"/>
                </m:rPr>
                <m:t>s</m:t>
              </m:r>
            </m:e>
            <m:sup>
              <m:r>
                <m:rPr>
                  <m:sty m:val="i"/>
                </m:rPr>
                <m:t>*</m:t>
              </m:r>
            </m:sup>
          </m:sSup>
          <m:r>
            <m:rPr>
              <m:sty m:val="i"/>
            </m:rPr>
            <m:t>;</m:t>
          </m:r>
          <m:r>
            <m:rPr>
              <m:sty m:val="p"/>
            </m:rPr>
            <m:t xml:space="preserve"> </m:t>
          </m:r>
          <m:r>
            <m:rPr>
              <m:sty m:val="i"/>
            </m:rPr>
            <m:t xml:space="preserve"> </m:t>
          </m:r>
          <m:sSup>
            <m:e>
              <m:r>
                <m:rPr>
                  <m:sty m:val="i"/>
                </m:rPr>
                <m:t>h</m:t>
              </m:r>
            </m:e>
            <m:sup>
              <m:r>
                <m:rPr>
                  <m:sty m:val="i"/>
                </m:rPr>
                <m:t>n</m:t>
              </m:r>
              <m:r>
                <m:rPr>
                  <m:sty m:val="i"/>
                </m:rPr>
                <m:t>+</m:t>
              </m:r>
              <m:r>
                <m:rPr>
                  <m:sty m:val="i"/>
                </m:rPr>
                <m:t>1</m:t>
              </m:r>
            </m:sup>
          </m:sSup>
          <m:r>
            <m:rPr>
              <m:sty m:val="i"/>
            </m:rPr>
            <m:t>(</m:t>
          </m:r>
          <m:r>
            <m:rPr>
              <m:sty m:val="i"/>
            </m:rPr>
            <m:t>s</m:t>
          </m:r>
          <m:r>
            <m:rPr>
              <m:sty m:val="i"/>
            </m:rPr>
            <m:t>)</m:t>
          </m:r>
          <m:r>
            <m:rPr>
              <m:sty m:val="i"/>
            </m:rPr>
            <m:t>=</m:t>
          </m:r>
          <m:sSub>
            <m:e>
              <m:r>
                <m:rPr>
                  <m:sty m:val="i"/>
                </m:rPr>
                <m:t>K</m:t>
              </m:r>
            </m:e>
            <m:sub>
              <m:r>
                <m:rPr>
                  <m:sty m:val="i"/>
                </m:rPr>
                <m:t>f</m:t>
              </m:r>
            </m:sub>
          </m:sSub>
          <m:sSub>
            <m:e>
              <m:r>
                <m:rPr>
                  <m:sty m:val="i"/>
                </m:rPr>
                <m:t>q</m:t>
              </m:r>
            </m:e>
            <m:sub>
              <m:r>
                <m:rPr>
                  <m:sty m:val="p"/>
                </m:rPr>
                <m:t>fail</m:t>
              </m:r>
            </m:sub>
          </m:sSub>
          <m:r>
            <m:rPr>
              <m:sty m:val="i"/>
            </m:rPr>
            <m:t>(</m:t>
          </m:r>
          <m:r>
            <m:rPr>
              <m:sty m:val="i"/>
            </m:rPr>
            <m:t>s</m:t>
          </m:r>
          <m:r>
            <m:rPr>
              <m:sty m:val="i"/>
            </m:rPr>
            <m:t>)</m:t>
          </m:r>
          <m:r>
            <m:rPr>
              <m:sty m:val="i"/>
            </m:rPr>
            <m:t>+</m:t>
          </m:r>
          <m:sSub>
            <m:e>
              <m:r>
                <m:rPr>
                  <m:sty m:val="i"/>
                </m:rPr>
                <m:t>q</m:t>
              </m:r>
            </m:e>
            <m:sub>
              <m:r>
                <m:rPr>
                  <m:sty m:val="p"/>
                </m:rPr>
                <m:t>fail</m:t>
              </m:r>
            </m:sub>
          </m:sSub>
          <m:r>
            <m:rPr>
              <m:sty m:val="i"/>
            </m:rPr>
            <m:t>(</m:t>
          </m:r>
          <m:r>
            <m:rPr>
              <m:sty m:val="i"/>
            </m:rPr>
            <m:t>s</m:t>
          </m:r>
          <m:r>
            <m:rPr>
              <m:sty m:val="i"/>
            </m:rPr>
            <m:t>)</m:t>
          </m:r>
          <m:sSup>
            <m:e>
              <m:r>
                <m:rPr>
                  <m:sty m:val="i"/>
                </m:rPr>
                <m:t>h</m:t>
              </m:r>
            </m:e>
            <m:sup>
              <m:r>
                <m:rPr>
                  <m:sty m:val="i"/>
                </m:rPr>
                <m:t>n</m:t>
              </m:r>
            </m:sup>
          </m:sSup>
          <m:r>
            <m:rPr>
              <m:sty m:val="i"/>
            </m:rPr>
            <m:t>(</m:t>
          </m:r>
          <m:sSub>
            <m:e>
              <m:r>
                <m:rPr>
                  <m:sty m:val="i"/>
                </m:rPr>
                <m:t>s</m:t>
              </m:r>
            </m:e>
            <m:sub>
              <m:r>
                <m:rPr>
                  <m:sty m:val="p"/>
                </m:rPr>
                <m:t>reset</m:t>
              </m:r>
            </m:sub>
          </m:sSub>
          <m:r>
            <m:rPr>
              <m:sty m:val="i"/>
            </m:rPr>
            <m:t>)</m:t>
          </m:r>
          <m:r>
            <m:rPr>
              <m:sty m:val="i"/>
            </m:rPr>
            <m:t>+</m:t>
          </m:r>
          <m:sSubSup>
            <m:e>
              <m:r>
                <m:rPr>
                  <m:sty m:val="i"/>
                </m:rPr>
                <m:t>∑</m:t>
              </m:r>
            </m:e>
            <m:sub>
              <m:r>
                <m:rPr>
                  <m:sty m:val="i"/>
                </m:rPr>
                <m:t>s</m:t>
              </m:r>
              <m:r>
                <m:rPr>
                  <m:sty m:val="i"/>
                </m:rPr>
                <m:t>'</m:t>
              </m:r>
              <m:r>
                <m:rPr>
                  <m:sty m:val="i"/>
                </m:rPr>
                <m:t>=</m:t>
              </m:r>
              <m:r>
                <m:rPr>
                  <m:sty m:val="i"/>
                </m:rPr>
                <m:t>1</m:t>
              </m:r>
            </m:sub>
            <m:sup>
              <m:sSub>
                <m:e>
                  <m:r>
                    <m:rPr>
                      <m:sty m:val="i"/>
                    </m:rPr>
                    <m:t>S</m:t>
                  </m:r>
                </m:e>
                <m:sub>
                  <m:r>
                    <m:rPr>
                      <m:sty m:val="p"/>
                    </m:rPr>
                    <m:t>max</m:t>
                  </m:r>
                </m:sub>
              </m:sSub>
            </m:sup>
          </m:sSubSup>
          <m:r>
            <m:rPr>
              <m:sty m:val="i"/>
            </m:rPr>
            <m:t>P</m:t>
          </m:r>
          <m:r>
            <m:rPr>
              <m:sty m:val="i"/>
            </m:rPr>
            <m:t>̃</m:t>
          </m:r>
          <m:r>
            <m:rPr>
              <m:sty m:val="i"/>
            </m:rPr>
            <m:t>(</m:t>
          </m:r>
          <m:r>
            <m:rPr>
              <m:sty m:val="i"/>
            </m:rPr>
            <m:t>s</m:t>
          </m:r>
          <m:r>
            <m:rPr>
              <m:sty m:val="i"/>
            </m:rPr>
            <m:t>'</m:t>
          </m:r>
          <m:r>
            <m:rPr>
              <m:sty m:val="i"/>
            </m:rPr>
            <m:t>|</m:t>
          </m:r>
          <m:r>
            <m:rPr>
              <m:sty m:val="i"/>
            </m:rPr>
            <m:t xml:space="preserve"> </m:t>
          </m:r>
          <m:r>
            <m:rPr>
              <m:sty m:val="i"/>
            </m:rPr>
            <m:t>s</m:t>
          </m:r>
          <m:r>
            <m:rPr>
              <m:sty m:val="i"/>
            </m:rPr>
            <m:t>,</m:t>
          </m:r>
          <m:r>
            <m:rPr>
              <m:sty m:val="i"/>
            </m:rPr>
            <m:t>0</m:t>
          </m:r>
          <m:r>
            <m:rPr>
              <m:sty m:val="i"/>
            </m:rPr>
            <m:t>)</m:t>
          </m:r>
          <m:sSup>
            <m:e>
              <m:r>
                <m:rPr>
                  <m:sty m:val="i"/>
                </m:rPr>
                <m:t>h</m:t>
              </m:r>
            </m:e>
            <m:sup>
              <m:r>
                <m:rPr>
                  <m:sty m:val="i"/>
                </m:rPr>
                <m:t>n</m:t>
              </m:r>
            </m:sup>
          </m:sSup>
          <m:r>
            <m:rPr>
              <m:sty m:val="i"/>
            </m:rPr>
            <m:t>(</m:t>
          </m:r>
          <m:r>
            <m:rPr>
              <m:sty m:val="i"/>
            </m:rPr>
            <m:t>s</m:t>
          </m:r>
          <m:r>
            <m:rPr>
              <m:sty m:val="i"/>
            </m:rPr>
            <m:t>'</m:t>
          </m:r>
          <m:r>
            <m:rPr>
              <m:sty m:val="i"/>
            </m:rPr>
            <m:t>)</m:t>
          </m:r>
          <m:r>
            <m:rPr>
              <m:sty m:val="i"/>
            </m:rPr>
            <m:t xml:space="preserve"> </m:t>
          </m:r>
          <m:r>
            <m:rPr>
              <m:sty m:val="p"/>
            </m:rPr>
            <m:t>if</m:t>
          </m:r>
          <m:r>
            <m:rPr>
              <m:sty m:val="i"/>
            </m:rPr>
            <m:t xml:space="preserve"> </m:t>
          </m:r>
          <m:r>
            <m:rPr>
              <m:sty m:val="i"/>
            </m:rPr>
            <m:t>s</m:t>
          </m:r>
          <m:r>
            <m:rPr>
              <m:sty m:val="i"/>
            </m:rPr>
            <m:t>&gt;</m:t>
          </m:r>
          <m:sSup>
            <m:e>
              <m:r>
                <m:rPr>
                  <m:sty m:val="i"/>
                </m:rPr>
                <m:t>s</m:t>
              </m:r>
            </m:e>
            <m:sup>
              <m:r>
                <m:rPr>
                  <m:sty m:val="i"/>
                </m:rPr>
                <m:t>*</m:t>
              </m:r>
            </m:sup>
          </m:sSup>
        </m:oMath>
      </m:oMathPara>
      <w:r>
        <w:tab/>
      </w:r>
      <w:r>
        <w:rPr>
          <w:rFonts w:ascii="Times New Roman" w:hAnsi="Times New Roman" w:eastAsia="Times New Roman" w:cs="Times New Roman"/>
          <w:sz w:val="24"/>
          <w:szCs w:val="24"/>
        </w:rPr>
        <w:t>(21)</w:t>
      </w:r>
    </w:p>
    <w:p ns2:paraId="67476803">
      <w:pPr>
        <w:pStyle w:val="10"/>
        <w:keepNext w:val="0"/>
        <w:keepLines w:val="0"/>
        <w:widowControl/>
        <w:suppressLineNumbers w:val="0"/>
        <w:shd w:val="clear" w:fill="FDFCFE"/>
        <w:spacing w:before="0" w:beforeAutospacing="0" w:after="0" w:afterAutospacing="0" w:line="480" w:lineRule="auto"/>
        <w:ind w:left="0" w:right="0" w:firstLine="0"/>
        <w:jc w:val="center"/>
        <w:rPr>
          <w:rFonts w:hint="default" w:ascii="Segoe UI" w:hAnsi="Segoe UI" w:eastAsia="Segoe UI" w:cs="Segoe UI"/>
          <w:i w:val="0"/>
          <w:iCs w:val="0"/>
          <w:caps w:val="0"/>
          <w:spacing w:val="0"/>
          <w:sz w:val="14"/>
          <w:szCs w:val="14"/>
        </w:rPr>
      </w:pPr>
      <w:r>
        <w:rPr>
          <w:rFonts w:ascii="Cambria Math" w:hAnsi="Cambria Math"/>
          <w:sz w:val="21"/>
        </w:rPr>
        <w:t>with normalization g^{n+1} = h^{n+1}(s_reset) and h^{n+1}(s) ← h^{n+1}(s) − g^{n+1}. Convergence is declared when the span of h^{n+1} − h^n falls below 10⁻¹¹. Warm-starting from the value function of an adjacent threshold accelerates the exhaustive search over the threshold class.</w:t>
      </w:r>
    </w:p>
    <w:p ns2:paraId="4C9E07B4">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Numerical performance.</w:t>
      </w:r>
      <w:r>
        <w:rPr>
          <w:rFonts w:hint="default" w:ascii="Segoe UI" w:hAnsi="Segoe UI" w:eastAsia="Segoe UI" w:cs="Segoe UI"/>
          <w:i w:val="0"/>
          <w:iCs w:val="0"/>
          <w:caps w:val="0"/>
          <w:spacing w:val="0"/>
          <w:sz w:val="14"/>
          <w:szCs w:val="14"/>
          <w:shd w:val="clear" w:fill="FDFCFE"/>
        </w:rPr>
        <w:t> Each MDP solve completes in approximately 0.1 seconds on a standard laptop. The full operating grid of 21 configurations completes in under 5 seconds; the cost-ratio sensitivity sweep of 5 ratios completes in under 2 seconds.</w:t>
      </w:r>
    </w:p>
    <w:p ns2:paraId="6E1BA131">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Fonts w:ascii="Times New Roman" w:hAnsi="Times New Roman" w:eastAsia="Times New Roman" w:cs="Times New Roman"/>
          <w:sz w:val="24"/>
          <w:szCs w:val="24"/>
        </w:rPr>
        <w:t>Random number generation. The IG-calibration simulator uses hierarchical NumPy SeedSequence spawning to generate independent child seeds for configurations and replications. Each Numba-parallel trajectory is initialized from its own child seed. The reported calibration uses master seed 20260429.</w:t>
      </w:r>
    </w:p>
    <w:p ns2:paraId="14A09B22">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7" ns4:spt="1" style="height:1.5pt;width:432pt;" fillcolor="#A0A0A0" filled="t" stroked="f" coordsize="21600,21600" ns4:hr="t" ns4:hrstd="t" ns4:hralign="center">
            <ns3:path/>
            <ns3:fill on="t" focussize="0,0"/>
            <ns3:stroke on="f"/>
            <ns3:imagedata ns4:title=""/>
            <ns4:lock ns3:ext="edit"/>
            <ns5:wrap type="none"/>
            <ns5:anchorlock/>
          </ns3:rect>
        </w:pict>
      </w:r>
    </w:p>
    <w:p ns2:paraId="4C056F90">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Appendix C: Glossary of symbols and terms</w:t>
      </w:r>
    </w:p>
    <w:p ns2:paraId="48F9C3CF">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Symbols.</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8"/>
        <w:gridCol w:w="5712"/>
      </w:tblGrid>
      <w:tr ns2:paraId="1A6D44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18C9D19F">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Symbol</w:t>
            </w:r>
          </w:p>
        </w:tc>
        <w:tc>
          <w:tcPr>
            <w:tcW w:w="0" w:type="auto"/>
            <w:shd w:val="clear"/>
            <w:tcMar>
              <w:bottom w:w="140" w:type="dxa"/>
            </w:tcMar>
            <w:vAlign w:val="bottom"/>
          </w:tcPr>
          <w:p ns2:paraId="3EE1B119">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Definition</w:t>
            </w:r>
          </w:p>
        </w:tc>
      </w:tr>
      <w:tr ns2:paraId="14C328D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A511EF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I(t)</w:t>
            </w:r>
          </w:p>
        </w:tc>
        <w:tc>
          <w:tcPr>
            <w:tcW w:w="0" w:type="auto"/>
            <w:shd w:val="clear"/>
            <w:tcMar>
              <w:top w:w="140" w:type="dxa"/>
              <w:bottom w:w="140" w:type="dxa"/>
            </w:tcMar>
            <w:vAlign w:val="top"/>
          </w:tcPr>
          <w:p ns2:paraId="0E26BCB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Inventory level at end of period t</w:t>
            </w:r>
          </w:p>
        </w:tc>
      </w:tr>
      <w:tr ns2:paraId="7DF17B3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CE99F4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X₀</w:t>
            </w:r>
          </w:p>
        </w:tc>
        <w:tc>
          <w:tcPr>
            <w:tcW w:w="0" w:type="auto"/>
            <w:shd w:val="clear"/>
            <w:tcMar>
              <w:top w:w="140" w:type="dxa"/>
              <w:bottom w:w="140" w:type="dxa"/>
            </w:tcMar>
            <w:vAlign w:val="top"/>
          </w:tcPr>
          <w:p ns2:paraId="51F056D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Initial inventory level</w:t>
            </w:r>
          </w:p>
        </w:tc>
      </w:tr>
      <w:tr ns2:paraId="06DE49F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3D90CF0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Y(t)</w:t>
            </w:r>
          </w:p>
        </w:tc>
        <w:tc>
          <w:tcPr>
            <w:tcW w:w="0" w:type="auto"/>
            <w:shd w:val="clear"/>
            <w:tcMar>
              <w:top w:w="140" w:type="dxa"/>
              <w:bottom w:w="140" w:type="dxa"/>
            </w:tcMar>
            <w:vAlign w:val="top"/>
          </w:tcPr>
          <w:p ns2:paraId="67FD5D2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Replenishment in period t (∈ {C, 0})</w:t>
            </w:r>
          </w:p>
        </w:tc>
      </w:tr>
      <w:tr ns2:paraId="1BE7A66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FB2E36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D(t)</w:t>
            </w:r>
          </w:p>
        </w:tc>
        <w:tc>
          <w:tcPr>
            <w:tcW w:w="0" w:type="auto"/>
            <w:shd w:val="clear"/>
            <w:tcMar>
              <w:top w:w="140" w:type="dxa"/>
              <w:bottom w:w="140" w:type="dxa"/>
            </w:tcMar>
            <w:vAlign w:val="top"/>
          </w:tcPr>
          <w:p ns2:paraId="4FE2B4F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Demand in period t (∼ Poisson(λ))</w:t>
            </w:r>
          </w:p>
        </w:tc>
      </w:tr>
      <w:tr ns2:paraId="70E1F39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4EFA1A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w:t>
            </w:r>
          </w:p>
        </w:tc>
        <w:tc>
          <w:tcPr>
            <w:tcW w:w="0" w:type="auto"/>
            <w:shd w:val="clear"/>
            <w:tcMar>
              <w:top w:w="140" w:type="dxa"/>
              <w:bottom w:w="140" w:type="dxa"/>
            </w:tcMar>
            <w:vAlign w:val="top"/>
          </w:tcPr>
          <w:p ns2:paraId="34EF4ED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Per-period replenishment capacity (operational)</w:t>
            </w:r>
          </w:p>
        </w:tc>
      </w:tr>
      <w:tr ns2:paraId="2360386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2805832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λ</w:t>
            </w:r>
          </w:p>
        </w:tc>
        <w:tc>
          <w:tcPr>
            <w:tcW w:w="0" w:type="auto"/>
            <w:shd w:val="clear"/>
            <w:tcMar>
              <w:top w:w="140" w:type="dxa"/>
              <w:bottom w:w="140" w:type="dxa"/>
            </w:tcMar>
            <w:vAlign w:val="top"/>
          </w:tcPr>
          <w:p ns2:paraId="32E92028">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Mean demand rate per period</w:t>
            </w:r>
          </w:p>
        </w:tc>
      </w:tr>
      <w:tr ns2:paraId="132ECB3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3E7FB4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w:t>
            </w:r>
          </w:p>
        </w:tc>
        <w:tc>
          <w:tcPr>
            <w:tcW w:w="0" w:type="auto"/>
            <w:shd w:val="clear"/>
            <w:tcMar>
              <w:top w:w="140" w:type="dxa"/>
              <w:bottom w:w="140" w:type="dxa"/>
            </w:tcMar>
            <w:vAlign w:val="top"/>
          </w:tcPr>
          <w:p ns2:paraId="6D89CE6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Disruption probability per period</w:t>
            </w:r>
          </w:p>
        </w:tc>
      </w:tr>
      <w:tr ns2:paraId="1485ED6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7E6877B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S_max</w:t>
            </w:r>
          </w:p>
        </w:tc>
        <w:tc>
          <w:tcPr>
            <w:tcW w:w="0" w:type="auto"/>
            <w:shd w:val="clear"/>
            <w:tcMar>
              <w:top w:w="140" w:type="dxa"/>
              <w:bottom w:w="140" w:type="dxa"/>
            </w:tcMar>
            <w:vAlign w:val="top"/>
          </w:tcPr>
          <w:p ns2:paraId="2794FE0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Storage capacity ceiling</w:t>
            </w:r>
          </w:p>
        </w:tc>
      </w:tr>
      <w:tr ns2:paraId="2AD902F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292FAE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τ</w:t>
            </w:r>
          </w:p>
        </w:tc>
        <w:tc>
          <w:tcPr>
            <w:tcW w:w="0" w:type="auto"/>
            <w:shd w:val="clear"/>
            <w:tcMar>
              <w:top w:w="140" w:type="dxa"/>
              <w:bottom w:w="140" w:type="dxa"/>
            </w:tcMar>
            <w:vAlign w:val="top"/>
          </w:tcPr>
          <w:p ns2:paraId="1615EBD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First-collapse time</w:t>
            </w:r>
          </w:p>
        </w:tc>
      </w:tr>
      <w:tr ns2:paraId="54C9A5C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6DA604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δ</w:t>
            </w:r>
          </w:p>
        </w:tc>
        <w:tc>
          <w:tcPr>
            <w:tcW w:w="0" w:type="auto"/>
            <w:shd w:val="clear"/>
            <w:tcMar>
              <w:top w:w="140" w:type="dxa"/>
              <w:bottom w:w="140" w:type="dxa"/>
            </w:tcMar>
            <w:vAlign w:val="top"/>
          </w:tcPr>
          <w:p ns2:paraId="3EDC69B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Stability margin, δ = (1−p)C − λ</w:t>
            </w:r>
          </w:p>
        </w:tc>
      </w:tr>
      <w:tr ns2:paraId="2E4625C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125A3F5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u</w:t>
            </w:r>
          </w:p>
        </w:tc>
        <w:tc>
          <w:tcPr>
            <w:tcW w:w="0" w:type="auto"/>
            <w:shd w:val="clear"/>
            <w:tcMar>
              <w:top w:w="140" w:type="dxa"/>
              <w:bottom w:w="140" w:type="dxa"/>
            </w:tcMar>
            <w:vAlign w:val="top"/>
          </w:tcPr>
          <w:p ns2:paraId="7AD7E41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Utilization ratio, u = λ/C</w:t>
            </w:r>
          </w:p>
        </w:tc>
      </w:tr>
      <w:tr ns2:paraId="7A15FC5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B74575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σ²</w:t>
            </w:r>
          </w:p>
        </w:tc>
        <w:tc>
          <w:tcPr>
            <w:tcW w:w="0" w:type="auto"/>
            <w:shd w:val="clear"/>
            <w:tcMar>
              <w:top w:w="140" w:type="dxa"/>
              <w:bottom w:w="140" w:type="dxa"/>
            </w:tcMar>
            <w:vAlign w:val="top"/>
          </w:tcPr>
          <w:p ns2:paraId="3714010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Per-period variance of net flow, σ² = p(1−p)C² + λ</w:t>
            </w:r>
          </w:p>
        </w:tc>
      </w:tr>
      <w:tr ns2:paraId="0948A39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2D543C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η_theory</w:t>
            </w:r>
          </w:p>
        </w:tc>
        <w:tc>
          <w:tcPr>
            <w:tcW w:w="0" w:type="auto"/>
            <w:shd w:val="clear"/>
            <w:tcMar>
              <w:top w:w="140" w:type="dxa"/>
              <w:bottom w:w="140" w:type="dxa"/>
            </w:tcMar>
            <w:vAlign w:val="top"/>
          </w:tcPr>
          <w:p ns2:paraId="4B57CA9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Uncorrected IG shape parameter, X₀²/σ²</w:t>
            </w:r>
          </w:p>
        </w:tc>
      </w:tr>
      <w:tr ns2:paraId="5B877DF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329CC1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η^corr</w:t>
            </w:r>
          </w:p>
        </w:tc>
        <w:tc>
          <w:tcPr>
            <w:tcW w:w="0" w:type="auto"/>
            <w:shd w:val="clear"/>
            <w:tcMar>
              <w:top w:w="140" w:type="dxa"/>
              <w:bottom w:w="140" w:type="dxa"/>
            </w:tcMar>
            <w:vAlign w:val="top"/>
          </w:tcPr>
          <w:p ns2:paraId="3DA18A8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Corrected IG shape parameter</w:t>
            </w:r>
          </w:p>
        </w:tc>
      </w:tr>
      <w:tr ns2:paraId="5734B0B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E7B9BA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β(p, δ)</w:t>
            </w:r>
          </w:p>
        </w:tc>
        <w:tc>
          <w:tcPr>
            <w:tcW w:w="0" w:type="auto"/>
            <w:shd w:val="clear"/>
            <w:tcMar>
              <w:top w:w="140" w:type="dxa"/>
              <w:bottom w:w="140" w:type="dxa"/>
            </w:tcMar>
            <w:vAlign w:val="top"/>
          </w:tcPr>
          <w:p ns2:paraId="0AD269F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Empirical correction weight for between-mode variance</w:t>
            </w:r>
          </w:p>
        </w:tc>
      </w:tr>
      <w:tr ns2:paraId="290549B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891C910">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σ²_eff</w:t>
            </w:r>
          </w:p>
        </w:tc>
        <w:tc>
          <w:tcPr>
            <w:tcW w:w="0" w:type="auto"/>
            <w:shd w:val="clear"/>
            <w:tcMar>
              <w:top w:w="140" w:type="dxa"/>
              <w:bottom w:w="140" w:type="dxa"/>
            </w:tcMar>
            <w:vAlign w:val="top"/>
          </w:tcPr>
          <w:p ns2:paraId="0C9CA8D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Effective variance after correction</w:t>
            </w:r>
          </w:p>
        </w:tc>
      </w:tr>
      <w:tr ns2:paraId="341CE7F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A97673F">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μ_drift</w:t>
            </w:r>
          </w:p>
        </w:tc>
        <w:tc>
          <w:tcPr>
            <w:tcW w:w="0" w:type="auto"/>
            <w:shd w:val="clear"/>
            <w:tcMar>
              <w:top w:w="140" w:type="dxa"/>
              <w:bottom w:w="140" w:type="dxa"/>
            </w:tcMar>
            <w:vAlign w:val="top"/>
          </w:tcPr>
          <w:p ns2:paraId="71B9036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Drift time-scale, X₀/δ (not a valid mean prediction in our regime)</w:t>
            </w:r>
          </w:p>
        </w:tc>
      </w:tr>
      <w:tr ns2:paraId="717E63B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89F7AC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h(t)</w:t>
            </w:r>
          </w:p>
        </w:tc>
        <w:tc>
          <w:tcPr>
            <w:tcW w:w="0" w:type="auto"/>
            <w:shd w:val="clear"/>
            <w:tcMar>
              <w:top w:w="140" w:type="dxa"/>
              <w:bottom w:w="140" w:type="dxa"/>
            </w:tcMar>
            <w:vAlign w:val="top"/>
          </w:tcPr>
          <w:p ns2:paraId="322B369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Discrete hazard, (S(t−1) − S(t))/S(t−1)</w:t>
            </w:r>
          </w:p>
        </w:tc>
      </w:tr>
      <w:tr ns2:paraId="69E2296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D2DC66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S(t)</w:t>
            </w:r>
          </w:p>
        </w:tc>
        <w:tc>
          <w:tcPr>
            <w:tcW w:w="0" w:type="auto"/>
            <w:shd w:val="clear"/>
            <w:tcMar>
              <w:top w:w="140" w:type="dxa"/>
              <w:bottom w:w="140" w:type="dxa"/>
            </w:tcMar>
            <w:vAlign w:val="top"/>
          </w:tcPr>
          <w:p ns2:paraId="28D7139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Survival function P(τ &gt; t)</w:t>
            </w:r>
          </w:p>
        </w:tc>
      </w:tr>
      <w:tr ns2:paraId="0DB26DF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030328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w:t>
            </w:r>
          </w:p>
        </w:tc>
        <w:tc>
          <w:tcPr>
            <w:tcW w:w="0" w:type="auto"/>
            <w:shd w:val="clear"/>
            <w:tcMar>
              <w:top w:w="140" w:type="dxa"/>
              <w:bottom w:w="140" w:type="dxa"/>
            </w:tcMar>
            <w:vAlign w:val="top"/>
          </w:tcPr>
          <w:p ns2:paraId="2FDA596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MDP state (inventory level)</w:t>
            </w:r>
          </w:p>
        </w:tc>
      </w:tr>
      <w:tr ns2:paraId="2B62608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17A0436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s_reset</w:t>
            </w:r>
          </w:p>
        </w:tc>
        <w:tc>
          <w:tcPr>
            <w:tcW w:w="0" w:type="auto"/>
            <w:shd w:val="clear"/>
            <w:tcMar>
              <w:top w:w="140" w:type="dxa"/>
              <w:bottom w:w="140" w:type="dxa"/>
            </w:tcMar>
            <w:vAlign w:val="top"/>
          </w:tcPr>
          <w:p ns2:paraId="7B36A6F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Post-maintenance reset level (= X₀)</w:t>
            </w:r>
          </w:p>
        </w:tc>
      </w:tr>
      <w:tr ns2:paraId="4A47879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695C85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s*</w:t>
            </w:r>
          </w:p>
        </w:tc>
        <w:tc>
          <w:tcPr>
            <w:tcW w:w="0" w:type="auto"/>
            <w:shd w:val="clear"/>
            <w:tcMar>
              <w:top w:w="140" w:type="dxa"/>
              <w:bottom w:w="140" w:type="dxa"/>
            </w:tcMar>
            <w:vAlign w:val="top"/>
          </w:tcPr>
          <w:p ns2:paraId="0D8D984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Optimal threshold within the threshold-policy class</w:t>
            </w:r>
          </w:p>
        </w:tc>
      </w:tr>
      <w:tr ns2:paraId="7F54877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648221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T</w:t>
            </w:r>
          </w:p>
        </w:tc>
        <w:tc>
          <w:tcPr>
            <w:tcW w:w="0" w:type="auto"/>
            <w:shd w:val="clear"/>
            <w:tcMar>
              <w:top w:w="140" w:type="dxa"/>
              <w:bottom w:w="140" w:type="dxa"/>
            </w:tcMar>
            <w:vAlign w:val="top"/>
          </w:tcPr>
          <w:p ns2:paraId="4E2B042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Age-based replacement age</w:t>
            </w:r>
          </w:p>
        </w:tc>
      </w:tr>
      <w:tr ns2:paraId="5D930A6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8FB582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T*_AB</w:t>
            </w:r>
          </w:p>
        </w:tc>
        <w:tc>
          <w:tcPr>
            <w:tcW w:w="0" w:type="auto"/>
            <w:shd w:val="clear"/>
            <w:tcMar>
              <w:top w:w="140" w:type="dxa"/>
              <w:bottom w:w="140" w:type="dxa"/>
            </w:tcMar>
            <w:vAlign w:val="top"/>
          </w:tcPr>
          <w:p ns2:paraId="09D29AA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Numerical argmin of g_AB(T) over the search grid</w:t>
            </w:r>
          </w:p>
        </w:tc>
      </w:tr>
      <w:tr ns2:paraId="4BD1AC7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2E7569A3">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q_fail(s)</w:t>
            </w:r>
          </w:p>
        </w:tc>
        <w:tc>
          <w:tcPr>
            <w:tcW w:w="0" w:type="auto"/>
            <w:shd w:val="clear"/>
            <w:tcMar>
              <w:top w:w="140" w:type="dxa"/>
              <w:bottom w:w="140" w:type="dxa"/>
            </w:tcMar>
            <w:vAlign w:val="top"/>
          </w:tcPr>
          <w:p ns2:paraId="0E66FA5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Probability of collapse in one period under continuation</w:t>
            </w:r>
          </w:p>
        </w:tc>
      </w:tr>
      <w:tr ns2:paraId="10391F5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7E8CC5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K_f</w:t>
            </w:r>
          </w:p>
        </w:tc>
        <w:tc>
          <w:tcPr>
            <w:tcW w:w="0" w:type="auto"/>
            <w:shd w:val="clear"/>
            <w:tcMar>
              <w:top w:w="140" w:type="dxa"/>
              <w:bottom w:w="140" w:type="dxa"/>
            </w:tcMar>
            <w:vAlign w:val="top"/>
          </w:tcPr>
          <w:p ns2:paraId="42028BA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 per collapse</w:t>
            </w:r>
          </w:p>
        </w:tc>
      </w:tr>
      <w:tr ns2:paraId="6E7B389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D9C5A9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K_p</w:t>
            </w:r>
          </w:p>
        </w:tc>
        <w:tc>
          <w:tcPr>
            <w:tcW w:w="0" w:type="auto"/>
            <w:shd w:val="clear"/>
            <w:tcMar>
              <w:top w:w="140" w:type="dxa"/>
              <w:bottom w:w="140" w:type="dxa"/>
            </w:tcMar>
            <w:vAlign w:val="top"/>
          </w:tcPr>
          <w:p ns2:paraId="61F8B387">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 per preventive maintenance</w:t>
            </w:r>
          </w:p>
        </w:tc>
      </w:tr>
      <w:tr ns2:paraId="3AF135C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C9B826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g</w:t>
            </w:r>
          </w:p>
        </w:tc>
        <w:tc>
          <w:tcPr>
            <w:tcW w:w="0" w:type="auto"/>
            <w:shd w:val="clear"/>
            <w:tcMar>
              <w:top w:w="140" w:type="dxa"/>
              <w:bottom w:w="140" w:type="dxa"/>
            </w:tcMar>
            <w:vAlign w:val="top"/>
          </w:tcPr>
          <w:p ns2:paraId="0344EBA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Long-run average cost rate</w:t>
            </w:r>
          </w:p>
        </w:tc>
      </w:tr>
      <w:tr ns2:paraId="7177EB6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5BAF4EC">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g_CBM, g_AB, g_RTF</w:t>
            </w:r>
          </w:p>
        </w:tc>
        <w:tc>
          <w:tcPr>
            <w:tcW w:w="0" w:type="auto"/>
            <w:shd w:val="clear"/>
            <w:tcMar>
              <w:top w:w="140" w:type="dxa"/>
              <w:bottom w:w="140" w:type="dxa"/>
            </w:tcMar>
            <w:vAlign w:val="top"/>
          </w:tcPr>
          <w:p ns2:paraId="7C43E64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Costs of threshold (CBM), age-based, run-to-failure policies</w:t>
            </w:r>
          </w:p>
        </w:tc>
      </w:tr>
      <w:tr ns2:paraId="7A16CF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D1E522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h(s)</w:t>
            </w:r>
          </w:p>
        </w:tc>
        <w:tc>
          <w:tcPr>
            <w:tcW w:w="0" w:type="auto"/>
            <w:shd w:val="clear"/>
            <w:tcMar>
              <w:top w:w="140" w:type="dxa"/>
              <w:bottom w:w="140" w:type="dxa"/>
            </w:tcMar>
            <w:vAlign w:val="top"/>
          </w:tcPr>
          <w:p ns2:paraId="420F87F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MDP differential value function</w:t>
            </w:r>
          </w:p>
        </w:tc>
      </w:tr>
    </w:tbl>
    <w:p ns2:paraId="7ADFCBC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Abbreviations.</w:t>
      </w:r>
    </w:p>
    <w:tbl>
      <w:tblPr>
        <w:tblW w:w="729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8"/>
        <w:gridCol w:w="6222"/>
      </w:tblGrid>
      <w:tr ns2:paraId="6C8F88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bottom w:w="140" w:type="dxa"/>
            </w:tcMar>
            <w:vAlign w:val="bottom"/>
          </w:tcPr>
          <w:p ns2:paraId="2D5CBD23">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Abbr.</w:t>
            </w:r>
          </w:p>
        </w:tc>
        <w:tc>
          <w:tcPr>
            <w:tcW w:w="0" w:type="auto"/>
            <w:shd w:val="clear"/>
            <w:tcMar>
              <w:bottom w:w="140" w:type="dxa"/>
            </w:tcMar>
            <w:vAlign w:val="bottom"/>
          </w:tcPr>
          <w:p ns2:paraId="78BF93D7">
            <w:pPr>
              <w:keepNext w:val="0"/>
              <w:keepLines w:val="0"/>
              <w:widowControl/>
              <w:suppressLineNumbers w:val="0"/>
              <w:spacing w:line="240" w:lineRule="auto" w:before="0" w:after="0"/>
              <w:ind w:left="0" w:firstLine="0"/>
              <w:jc w:val="center"/>
              <w:textAlignment w:val="bottom"/>
              <w:rPr>
                <w:b/>
                <w:bCs/>
                <w:sz w:val="18"/>
                <w:szCs w:val="18"/>
              </w:rPr>
            </w:pPr>
            <w:r>
              <w:rPr>
                <w:rFonts w:ascii="SimSun" w:hAnsi="SimSun" w:eastAsia="SimSun" w:cs="SimSun"/>
                <w:b/>
                <w:bCs/>
                <w:kern w:val="0"/>
                <w:sz w:val="18"/>
                <w:szCs w:val="18"/>
                <w:lang w:val="en-US" w:eastAsia="zh-CN" w:bidi="ar"/>
              </w:rPr>
              <w:t>Meaning</w:t>
            </w:r>
          </w:p>
        </w:tc>
      </w:tr>
      <w:tr ns2:paraId="75B0836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D617DC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AB</w:t>
            </w:r>
          </w:p>
        </w:tc>
        <w:tc>
          <w:tcPr>
            <w:tcW w:w="0" w:type="auto"/>
            <w:shd w:val="clear"/>
            <w:tcMar>
              <w:top w:w="140" w:type="dxa"/>
              <w:bottom w:w="140" w:type="dxa"/>
            </w:tcMar>
            <w:vAlign w:val="top"/>
          </w:tcPr>
          <w:p ns2:paraId="4C699832">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Age-based replacement</w:t>
            </w:r>
          </w:p>
        </w:tc>
      </w:tr>
      <w:tr ns2:paraId="77E9179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3A2B23E5">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CBM</w:t>
            </w:r>
          </w:p>
        </w:tc>
        <w:tc>
          <w:tcPr>
            <w:tcW w:w="0" w:type="auto"/>
            <w:shd w:val="clear"/>
            <w:tcMar>
              <w:top w:w="140" w:type="dxa"/>
              <w:bottom w:w="140" w:type="dxa"/>
            </w:tcMar>
            <w:vAlign w:val="top"/>
          </w:tcPr>
          <w:p ns2:paraId="2A64BE1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Condition-based maintenance</w:t>
            </w:r>
          </w:p>
        </w:tc>
      </w:tr>
      <w:tr ns2:paraId="29EE0D1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6D86FB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DFR</w:t>
            </w:r>
          </w:p>
        </w:tc>
        <w:tc>
          <w:tcPr>
            <w:tcW w:w="0" w:type="auto"/>
            <w:shd w:val="clear"/>
            <w:tcMar>
              <w:top w:w="140" w:type="dxa"/>
              <w:bottom w:w="140" w:type="dxa"/>
            </w:tcMar>
            <w:vAlign w:val="top"/>
          </w:tcPr>
          <w:p ns2:paraId="0EF3232E">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Decreasing failure rate</w:t>
            </w:r>
          </w:p>
        </w:tc>
      </w:tr>
      <w:tr ns2:paraId="1461464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5D07060D">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IFR</w:t>
            </w:r>
          </w:p>
        </w:tc>
        <w:tc>
          <w:tcPr>
            <w:tcW w:w="0" w:type="auto"/>
            <w:shd w:val="clear"/>
            <w:tcMar>
              <w:top w:w="140" w:type="dxa"/>
              <w:bottom w:w="140" w:type="dxa"/>
            </w:tcMar>
            <w:vAlign w:val="top"/>
          </w:tcPr>
          <w:p ns2:paraId="165A767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Increasing failure rate</w:t>
            </w:r>
          </w:p>
        </w:tc>
      </w:tr>
      <w:tr ns2:paraId="2CD65D4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4950B97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IG</w:t>
            </w:r>
          </w:p>
        </w:tc>
        <w:tc>
          <w:tcPr>
            <w:tcW w:w="0" w:type="auto"/>
            <w:shd w:val="clear"/>
            <w:tcMar>
              <w:top w:w="140" w:type="dxa"/>
              <w:bottom w:w="140" w:type="dxa"/>
            </w:tcMar>
            <w:vAlign w:val="top"/>
          </w:tcPr>
          <w:p ns2:paraId="626F44F4">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Inverse Gaussian (distribution)</w:t>
            </w:r>
          </w:p>
        </w:tc>
      </w:tr>
      <w:tr ns2:paraId="2F14C35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shd w:val="clear"/>
            <w:tcMar>
              <w:top w:w="140" w:type="dxa"/>
              <w:bottom w:w="140" w:type="dxa"/>
            </w:tcMar>
            <w:vAlign w:val="top"/>
          </w:tcPr>
          <w:p ns2:paraId="48270571">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MDP</w:t>
            </w:r>
          </w:p>
        </w:tc>
        <w:tc>
          <w:tcPr>
            <w:tcW w:w="0" w:type="auto"/>
            <w:shd w:val="clear"/>
            <w:tcMar>
              <w:top w:w="140" w:type="dxa"/>
              <w:bottom w:w="140" w:type="dxa"/>
            </w:tcMar>
            <w:vAlign w:val="top"/>
          </w:tcPr>
          <w:p ns2:paraId="62DD53C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Markov decision process</w:t>
            </w:r>
          </w:p>
        </w:tc>
      </w:tr>
      <w:tr ns2:paraId="76ADA7E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0B6B5526">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RTF</w:t>
            </w:r>
          </w:p>
        </w:tc>
        <w:tc>
          <w:tcPr>
            <w:tcW w:w="0" w:type="auto"/>
            <w:shd w:val="clear"/>
            <w:tcMar>
              <w:top w:w="140" w:type="dxa"/>
              <w:bottom w:w="140" w:type="dxa"/>
            </w:tcMar>
            <w:vAlign w:val="top"/>
          </w:tcPr>
          <w:p ns2:paraId="2C5351AA">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Run-to-failure</w:t>
            </w:r>
          </w:p>
        </w:tc>
      </w:tr>
      <w:tr ns2:paraId="4AC246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40" w:type="dxa"/>
              <w:bottom w:w="140" w:type="dxa"/>
            </w:tcMar>
            <w:vAlign w:val="top"/>
          </w:tcPr>
          <w:p ns2:paraId="6C35181B">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RVI</w:t>
            </w:r>
          </w:p>
        </w:tc>
        <w:tc>
          <w:tcPr>
            <w:tcW w:w="0" w:type="auto"/>
            <w:shd w:val="clear"/>
            <w:tcMar>
              <w:top w:w="140" w:type="dxa"/>
              <w:bottom w:w="140" w:type="dxa"/>
            </w:tcMar>
            <w:vAlign w:val="top"/>
          </w:tcPr>
          <w:p ns2:paraId="55486CC9">
            <w:pPr>
              <w:keepNext w:val="0"/>
              <w:keepLines w:val="0"/>
              <w:widowControl/>
              <w:suppressLineNumbers w:val="0"/>
              <w:spacing w:line="240" w:lineRule="auto" w:before="0" w:after="0"/>
              <w:ind w:left="0" w:firstLine="0"/>
              <w:jc w:val="left"/>
              <w:textAlignment w:val="baseline"/>
              <w:rPr>
                <w:sz w:val="18"/>
                <w:szCs w:val="18"/>
              </w:rPr>
            </w:pPr>
            <w:r>
              <w:rPr>
                <w:rFonts w:ascii="SimSun" w:hAnsi="SimSun" w:eastAsia="SimSun" w:cs="SimSun"/>
                <w:kern w:val="0"/>
                <w:sz w:val="18"/>
                <w:szCs w:val="18"/>
                <w:vertAlign w:val="baseline"/>
                <w:lang w:val="en-US" w:eastAsia="zh-CN" w:bidi="ar"/>
              </w:rPr>
              <w:t>Relative value iteration</w:t>
            </w:r>
          </w:p>
        </w:tc>
      </w:tr>
    </w:tbl>
    <w:p ns2:paraId="1CB989E8">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Terms.</w:t>
      </w:r>
    </w:p>
    <w:p ns2:paraId="5963BFFF">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Stability margin.</w:t>
      </w:r>
      <w:r>
        <w:rPr>
          <w:rFonts w:hint="default" w:ascii="Segoe UI" w:hAnsi="Segoe UI" w:eastAsia="Segoe UI" w:cs="Segoe UI"/>
          <w:i w:val="0"/>
          <w:iCs w:val="0"/>
          <w:caps w:val="0"/>
          <w:spacing w:val="0"/>
          <w:sz w:val="14"/>
          <w:szCs w:val="14"/>
          <w:shd w:val="clear" w:fill="FDFCFE"/>
        </w:rPr>
        <w:t> The expected per-period change in inventory during normal operation, δ = (1−p)C − λ. Positive δ ensures positive long-run drift.</w:t>
      </w:r>
    </w:p>
    <w:p ns2:paraId="3AD8E5B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Near-critical regime.</w:t>
      </w:r>
      <w:r>
        <w:rPr>
          <w:rFonts w:hint="default" w:ascii="Segoe UI" w:hAnsi="Segoe UI" w:eastAsia="Segoe UI" w:cs="Segoe UI"/>
          <w:i w:val="0"/>
          <w:iCs w:val="0"/>
          <w:caps w:val="0"/>
          <w:spacing w:val="0"/>
          <w:sz w:val="14"/>
          <w:szCs w:val="14"/>
          <w:shd w:val="clear" w:fill="FDFCFE"/>
        </w:rPr>
        <w:t> The operating regime characterized by small positive δ (typically 0 &lt; δ &lt; 15 in the present model), in which collapses occur with non-negligible frequency despite long-run positive drift.</w:t>
      </w:r>
    </w:p>
    <w:p ns2:paraId="4B4D822D">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Survivorship selection.</w:t>
      </w:r>
      <w:r>
        <w:rPr>
          <w:rFonts w:hint="default" w:ascii="Segoe UI" w:hAnsi="Segoe UI" w:eastAsia="Segoe UI" w:cs="Segoe UI"/>
          <w:i w:val="0"/>
          <w:iCs w:val="0"/>
          <w:caps w:val="0"/>
          <w:spacing w:val="0"/>
          <w:sz w:val="14"/>
          <w:szCs w:val="14"/>
          <w:shd w:val="clear" w:fill="FDFCFE"/>
        </w:rPr>
        <w:t> The conditioning bias by which trajectories that have survived to time t represent a non-uniform sample of the underlying population, biased toward favorable early realizations. The mechanism unifies the variance attenuation of Section 3.2 and the DFR property of Section 4.1.</w:t>
      </w:r>
    </w:p>
    <w:p ns2:paraId="005A4182">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DFR-strict-smoothed.</w:t>
      </w:r>
      <w:r>
        <w:rPr>
          <w:rFonts w:hint="default" w:ascii="Segoe UI" w:hAnsi="Segoe UI" w:eastAsia="Segoe UI" w:cs="Segoe UI"/>
          <w:i w:val="0"/>
          <w:iCs w:val="0"/>
          <w:caps w:val="0"/>
          <w:spacing w:val="0"/>
          <w:sz w:val="14"/>
          <w:szCs w:val="14"/>
          <w:shd w:val="clear" w:fill="FDFCFE"/>
        </w:rPr>
        <w:t> A configuration in which the smoothed discrete hazard (moving average of window 25) is monotone non-increasing across the entire valid range of the cycle distribution, after restriction to time points with S(t) &gt; 10⁻⁸.</w:t>
      </w:r>
    </w:p>
    <w:p ns2:paraId="03D33176">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DFR-approximate.</w:t>
      </w:r>
      <w:r>
        <w:rPr>
          <w:rFonts w:hint="default" w:ascii="Segoe UI" w:hAnsi="Segoe UI" w:eastAsia="Segoe UI" w:cs="Segoe UI"/>
          <w:i w:val="0"/>
          <w:iCs w:val="0"/>
          <w:caps w:val="0"/>
          <w:spacing w:val="0"/>
          <w:sz w:val="14"/>
          <w:szCs w:val="14"/>
          <w:shd w:val="clear" w:fill="FDFCFE"/>
        </w:rPr>
        <w:t> A configuration in which at least 95% of the smoothed-hazard transitions are non-increasing.</w:t>
      </w:r>
    </w:p>
    <w:p ns2:paraId="65FDB0E5">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DFR-economic.</w:t>
      </w:r>
      <w:r>
        <w:rPr>
          <w:rFonts w:hint="default" w:ascii="Segoe UI" w:hAnsi="Segoe UI" w:eastAsia="Segoe UI" w:cs="Segoe UI"/>
          <w:i w:val="0"/>
          <w:iCs w:val="0"/>
          <w:caps w:val="0"/>
          <w:spacing w:val="0"/>
          <w:sz w:val="14"/>
          <w:szCs w:val="14"/>
          <w:shd w:val="clear" w:fill="FDFCFE"/>
        </w:rPr>
        <w:t> A configuration in which the run-to-failure cost g_RTF is within 1% of the age-based optimum g_AB^opt, indicating that the age-based policy provides negligible economic benefit.</w:t>
      </w:r>
    </w:p>
    <w:p ns2:paraId="18370C7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Boundary-divergent T*_AB.</w:t>
      </w:r>
      <w:r>
        <w:rPr>
          <w:rFonts w:hint="default" w:ascii="Segoe UI" w:hAnsi="Segoe UI" w:eastAsia="Segoe UI" w:cs="Segoe UI"/>
          <w:i w:val="0"/>
          <w:iCs w:val="0"/>
          <w:caps w:val="0"/>
          <w:spacing w:val="0"/>
          <w:sz w:val="14"/>
          <w:szCs w:val="14"/>
          <w:shd w:val="clear" w:fill="FDFCFE"/>
        </w:rPr>
        <w:t> A configuration in which the numerical argmin of g_AB(T) lies within 5 periods of the search ceiling T_max = 5000, indicating that the cost function is monotone decreasing within the search horizon and that g_AB^opt = g_RTF should be reported.</w:t>
      </w:r>
    </w:p>
    <w:p ns2:paraId="5E2430EC">
      <w:pPr>
        <w:pStyle w:val="10"/>
        <w:keepNext w:val="0"/>
        <w:keepLines w:val="0"/>
        <w:widowControl/>
        <w:suppressLineNumbers w:val="0"/>
        <w:shd w:val="clear" w:fill="FDFCFE"/>
        <w:spacing w:before="0" w:beforeAutospacing="0" w:after="0" w:afterAutospacing="0" w:line="480" w:lineRule="auto"/>
        <w:ind w:left="0" w:right="0" w:firstLine="0"/>
        <w:rPr>
          <w:rFonts w:hint="default" w:ascii="Segoe UI" w:hAnsi="Segoe UI" w:eastAsia="Segoe UI" w:cs="Segoe UI"/>
          <w:i w:val="0"/>
          <w:iCs w:val="0"/>
          <w:caps w:val="0"/>
          <w:spacing w:val="0"/>
          <w:sz w:val="14"/>
          <w:szCs w:val="14"/>
        </w:rPr>
      </w:pPr>
      <w:r>
        <w:rPr>
          <w:rStyle w:val="9"/>
          <w:rFonts w:hint="default" w:ascii="Segoe UI" w:hAnsi="Segoe UI" w:eastAsia="Segoe UI" w:cs="Segoe UI"/>
          <w:b/>
          <w:bCs/>
          <w:i w:val="0"/>
          <w:iCs w:val="0"/>
          <w:caps w:val="0"/>
          <w:spacing w:val="0"/>
          <w:sz w:val="14"/>
          <w:szCs w:val="14"/>
          <w:shd w:val="clear" w:fill="FDFCFE"/>
        </w:rPr>
        <w:t>Capacity decoupling.</w:t>
      </w:r>
      <w:r>
        <w:rPr>
          <w:rFonts w:hint="default" w:ascii="Segoe UI" w:hAnsi="Segoe UI" w:eastAsia="Segoe UI" w:cs="Segoe UI"/>
          <w:i w:val="0"/>
          <w:iCs w:val="0"/>
          <w:caps w:val="0"/>
          <w:spacing w:val="0"/>
          <w:sz w:val="14"/>
          <w:szCs w:val="14"/>
          <w:shd w:val="clear" w:fill="FDFCFE"/>
        </w:rPr>
        <w:t> The empirical phenomenon that the optimal threshold s* is substantially more stable than the mean cycle time E[τ] under variation in the storage capacity S_max. Quantified as ≤ 4 units variation in s* against 5×–144× variation in E[τ] across S_max ∈ [100, 300].</w:t>
      </w:r>
    </w:p>
    <w:p ns2:paraId="1F004AFE">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48" ns4:spt="1" style="height:1.5pt;width:432pt;" fillcolor="#A0A0A0" filled="t" stroked="f" coordsize="21600,21600" ns4:hr="t" ns4:hrstd="t" ns4:hralign="center">
            <ns3:path/>
            <ns3:fill on="t" focussize="0,0"/>
            <ns3:stroke on="f"/>
            <ns3:imagedata ns4:title=""/>
            <ns4:lock ns3:ext="edit"/>
            <ns5:wrap type="none"/>
            <ns5:anchorlock/>
          </ns3:rect>
        </w:pict>
      </w:r>
    </w:p>
    <w:p>
      <w:pPr>
        <w:spacing w:line="480" w:lineRule="auto" w:before="240" w:after="120"/>
        <w:keepNext/>
        <w:keepNext/>
      </w:pPr>
      <w:r>
        <w:rPr>
          <w:rFonts w:ascii="Times New Roman" w:hAnsi="Times New Roman" w:eastAsia="Times New Roman" w:cs="Times New Roman"/>
          <w:sz w:val="28"/>
          <w:szCs w:val="28"/>
          <w:b/>
        </w:rPr>
        <w:t>Data and code availability</w:t>
      </w:r>
    </w:p>
    <w:p>
      <w:pPr>
        <w:spacing w:line="480" w:lineRule="auto" w:before="0" w:after="0"/>
      </w:pPr>
      <w:r>
        <w:rPr>
          <w:rFonts w:ascii="Times New Roman" w:hAnsi="Times New Roman" w:eastAsia="Times New Roman" w:cs="Times New Roman"/>
          <w:sz w:val="24"/>
          <w:szCs w:val="24"/>
        </w:rPr>
        <w:t>The simulation code and datasets supporting this study will be available in an anonymized repository for peer review. Insert the verified review URL before submission: https://github.com/anonymousresearchrep-cmd/near-critical-systems. The permanent repository record and citation should be updated after acceptance if required.</w:t>
      </w:r>
    </w:p>
    <w:p>
      <w:pPr>
        <w:spacing w:line="480" w:lineRule="auto" w:before="240" w:after="120"/>
        <w:keepNext/>
        <w:keepNext/>
      </w:pPr>
      <w:r>
        <w:rPr>
          <w:rFonts w:ascii="Times New Roman" w:hAnsi="Times New Roman" w:eastAsia="Times New Roman" w:cs="Times New Roman"/>
          <w:sz w:val="28"/>
          <w:szCs w:val="28"/>
          <w:b/>
        </w:rPr>
        <w:t>Declaration of generative AI and AI-assisted technologies in the writing process</w:t>
      </w:r>
    </w:p>
    <w:p>
      <w:pPr>
        <w:spacing w:line="480" w:lineRule="auto" w:before="0" w:after="0"/>
      </w:pPr>
      <w:r>
        <w:rPr>
          <w:rFonts w:ascii="Times New Roman" w:hAnsi="Times New Roman" w:eastAsia="Times New Roman" w:cs="Times New Roman"/>
          <w:sz w:val="24"/>
          <w:szCs w:val="24"/>
        </w:rPr>
        <w:t>During preparation of this work, the author used Claude Sonnet 4 (Anthropic) and Codex (OpenAI) to support mathematical derivation checks, simulation-code development, statistical-analysis implementation, and manuscript editing. The author reviewed and edited all output and takes full responsibility for the content of the publication.</w:t>
      </w:r>
    </w:p>
    <w:p ns2:paraId="1A9D5DE5">
      <w:pPr>
        <w:pStyle w:val="3"/>
        <w:keepNext w:val="0"/>
        <w:keepLines w:val="0"/>
        <w:widowControl/>
        <w:suppressLineNumbers w:val="0"/>
        <w:shd w:val="clear" w:fill="FDFCFE"/>
        <w:spacing w:before="240" w:beforeAutospacing="0" w:after="120" w:afterAutospacing="0" w:line="480" w:lineRule="auto"/>
        <w:ind w:left="0" w:right="0" w:firstLine="0"/>
        <w:rPr>
          <w:rFonts w:hint="default" w:ascii="Segoe UI" w:hAnsi="Segoe UI" w:eastAsia="Segoe UI" w:cs="Segoe UI"/>
          <w:b/>
          <w:bCs/>
          <w:i w:val="0"/>
          <w:iCs w:val="0"/>
          <w:caps w:val="0"/>
          <w:spacing w:val="0"/>
          <w:sz w:val="30"/>
          <w:szCs w:val="30"/>
        </w:rPr>
        <w:keepNext/>
      </w:pPr>
      <w:r>
        <w:rPr>
          <w:rFonts w:ascii="Times New Roman" w:hAnsi="Times New Roman" w:eastAsia="Times New Roman" w:cs="Times New Roman"/>
          <w:sz w:val="28"/>
          <w:szCs w:val="28"/>
          <w:b/>
        </w:rPr>
        <w:t>References</w:t>
      </w:r>
    </w:p>
    <w:p>
      <w:pPr>
        <w:spacing w:line="480" w:lineRule="auto" w:before="0" w:after="0"/>
        <w:ind w:left="720" w:hanging="720"/>
      </w:pPr>
      <w:r>
        <w:rPr>
          <w:rFonts w:ascii="Times New Roman" w:hAnsi="Times New Roman" w:eastAsia="Times New Roman" w:cs="Times New Roman"/>
          <w:sz w:val="24"/>
          <w:szCs w:val="24"/>
        </w:rPr>
        <w:t xml:space="preserve">Abounadi, J., Bertsekas, D. P., &amp; Borkar, V. S. (2001). </w:t>
      </w:r>
      <w:r>
        <w:rPr>
          <w:rFonts w:ascii="Times New Roman" w:hAnsi="Times New Roman" w:eastAsia="Times New Roman" w:cs="Times New Roman"/>
          <w:sz w:val="24"/>
          <w:szCs w:val="24"/>
        </w:rPr>
        <w:t xml:space="preserve">Learning algorithms for Markov decision processes with average cost. </w:t>
      </w:r>
      <w:r>
        <w:rPr>
          <w:rFonts w:ascii="Times New Roman" w:hAnsi="Times New Roman" w:eastAsia="Times New Roman" w:cs="Times New Roman"/>
          <w:sz w:val="24"/>
          <w:szCs w:val="24"/>
          <w:i/>
        </w:rPr>
        <w:t xml:space="preserve">SIAM Journal on Control and Optimization, </w:t>
      </w:r>
      <w:r>
        <w:rPr>
          <w:rFonts w:ascii="Times New Roman" w:hAnsi="Times New Roman" w:eastAsia="Times New Roman" w:cs="Times New Roman"/>
          <w:sz w:val="24"/>
          <w:szCs w:val="24"/>
          <w:i/>
        </w:rPr>
        <w:t>40</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681–698.</w:t>
      </w:r>
      <w:r>
        <w:rPr>
          <w:rFonts w:ascii="Times New Roman" w:hAnsi="Times New Roman" w:eastAsia="Times New Roman" w:cs="Times New Roman"/>
          <w:sz w:val="24"/>
          <w:szCs w:val="24"/>
        </w:rPr>
        <w:t xml:space="preserve"> https://doi.org/10.1137/S0363012999361974</w:t>
      </w:r>
    </w:p>
    <w:p>
      <w:pPr>
        <w:spacing w:line="480" w:lineRule="auto" w:before="0" w:after="0"/>
        <w:ind w:left="720" w:hanging="720"/>
      </w:pPr>
      <w:r>
        <w:rPr>
          <w:rFonts w:ascii="Times New Roman" w:hAnsi="Times New Roman" w:eastAsia="Times New Roman" w:cs="Times New Roman"/>
          <w:sz w:val="24"/>
          <w:szCs w:val="24"/>
        </w:rPr>
        <w:t xml:space="preserve">Alaswad, S., &amp; Xiang, Y. (2017). </w:t>
      </w:r>
      <w:r>
        <w:rPr>
          <w:rFonts w:ascii="Times New Roman" w:hAnsi="Times New Roman" w:eastAsia="Times New Roman" w:cs="Times New Roman"/>
          <w:sz w:val="24"/>
          <w:szCs w:val="24"/>
        </w:rPr>
        <w:t xml:space="preserve">A review on condition-based maintenance optimization models for stochastically deteriorating system.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157</w:t>
      </w:r>
      <w:r>
        <w:rPr>
          <w:rFonts w:ascii="Times New Roman" w:hAnsi="Times New Roman" w:eastAsia="Times New Roman" w:cs="Times New Roman"/>
          <w:sz w:val="24"/>
          <w:szCs w:val="24"/>
        </w:rPr>
        <w:t>, 54–63.</w:t>
      </w:r>
      <w:r>
        <w:rPr>
          <w:rFonts w:ascii="Times New Roman" w:hAnsi="Times New Roman" w:eastAsia="Times New Roman" w:cs="Times New Roman"/>
          <w:sz w:val="24"/>
          <w:szCs w:val="24"/>
        </w:rPr>
        <w:t xml:space="preserve"> https://doi.org/10.1016/j.ress.2016.08.009</w:t>
      </w:r>
    </w:p>
    <w:p>
      <w:pPr>
        <w:spacing w:line="480" w:lineRule="auto" w:before="0" w:after="0"/>
        <w:ind w:left="720" w:hanging="720"/>
      </w:pPr>
      <w:r>
        <w:rPr>
          <w:rFonts w:ascii="Times New Roman" w:hAnsi="Times New Roman" w:eastAsia="Times New Roman" w:cs="Times New Roman"/>
          <w:sz w:val="24"/>
          <w:szCs w:val="24"/>
        </w:rPr>
        <w:t xml:space="preserve">Arts, J., Boute, R. N., Loeys, S., &amp; van Staden, H. E. (2025). </w:t>
      </w:r>
      <w:r>
        <w:rPr>
          <w:rFonts w:ascii="Times New Roman" w:hAnsi="Times New Roman" w:eastAsia="Times New Roman" w:cs="Times New Roman"/>
          <w:sz w:val="24"/>
          <w:szCs w:val="24"/>
        </w:rPr>
        <w:t xml:space="preserve">Fifty years of maintenance optimization: Reflections and perspectives.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322</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725–739.</w:t>
      </w:r>
      <w:r>
        <w:rPr>
          <w:rFonts w:ascii="Times New Roman" w:hAnsi="Times New Roman" w:eastAsia="Times New Roman" w:cs="Times New Roman"/>
          <w:sz w:val="24"/>
          <w:szCs w:val="24"/>
        </w:rPr>
        <w:t xml:space="preserve"> https://doi.org/10.1016/j.ejor.2024.07.002</w:t>
      </w:r>
    </w:p>
    <w:p>
      <w:pPr>
        <w:spacing w:line="480" w:lineRule="auto" w:before="0" w:after="0"/>
        <w:ind w:left="720" w:hanging="720"/>
      </w:pPr>
      <w:r>
        <w:rPr>
          <w:rFonts w:ascii="Times New Roman" w:hAnsi="Times New Roman" w:eastAsia="Times New Roman" w:cs="Times New Roman"/>
          <w:sz w:val="24"/>
          <w:szCs w:val="24"/>
        </w:rPr>
        <w:t xml:space="preserve">Asmussen, S. (2003). </w:t>
      </w:r>
      <w:r>
        <w:rPr>
          <w:rFonts w:ascii="Times New Roman" w:hAnsi="Times New Roman" w:eastAsia="Times New Roman" w:cs="Times New Roman"/>
          <w:sz w:val="24"/>
          <w:szCs w:val="24"/>
          <w:i/>
        </w:rPr>
        <w:t>Applied probability and queues (2nd ed.).</w:t>
      </w:r>
      <w:r>
        <w:rPr>
          <w:rFonts w:ascii="Times New Roman" w:hAnsi="Times New Roman" w:eastAsia="Times New Roman" w:cs="Times New Roman"/>
          <w:sz w:val="24"/>
          <w:szCs w:val="24"/>
        </w:rPr>
        <w:t xml:space="preserve"> Springer.</w:t>
      </w:r>
    </w:p>
    <w:p>
      <w:pPr>
        <w:spacing w:line="480" w:lineRule="auto" w:before="0" w:after="0"/>
        <w:ind w:left="720" w:hanging="720"/>
      </w:pPr>
      <w:r>
        <w:rPr>
          <w:rFonts w:ascii="Times New Roman" w:hAnsi="Times New Roman" w:eastAsia="Times New Roman" w:cs="Times New Roman"/>
          <w:sz w:val="24"/>
          <w:szCs w:val="24"/>
        </w:rPr>
        <w:t xml:space="preserve">Aven, T., Rios Insua, D., Soyer, R., Zhu, X., &amp; Zio, E. (2025). </w:t>
      </w:r>
      <w:r>
        <w:rPr>
          <w:rFonts w:ascii="Times New Roman" w:hAnsi="Times New Roman" w:eastAsia="Times New Roman" w:cs="Times New Roman"/>
          <w:sz w:val="24"/>
          <w:szCs w:val="24"/>
        </w:rPr>
        <w:t xml:space="preserve">Fifty years of reliability in operations research.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324</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361–381.</w:t>
      </w:r>
      <w:r>
        <w:rPr>
          <w:rFonts w:ascii="Times New Roman" w:hAnsi="Times New Roman" w:eastAsia="Times New Roman" w:cs="Times New Roman"/>
          <w:sz w:val="24"/>
          <w:szCs w:val="24"/>
        </w:rPr>
        <w:t xml:space="preserve"> https://doi.org/10.1016/j.ejor.2024.09.010</w:t>
      </w:r>
    </w:p>
    <w:p>
      <w:pPr>
        <w:spacing w:line="480" w:lineRule="auto" w:before="0" w:after="0"/>
        <w:ind w:left="720" w:hanging="720"/>
      </w:pPr>
      <w:r>
        <w:rPr>
          <w:rFonts w:ascii="Times New Roman" w:hAnsi="Times New Roman" w:eastAsia="Times New Roman" w:cs="Times New Roman"/>
          <w:sz w:val="24"/>
          <w:szCs w:val="24"/>
        </w:rPr>
        <w:t xml:space="preserve">Badía, F. G., &amp; Sangüesa, C. (2008). </w:t>
      </w:r>
      <w:r>
        <w:rPr>
          <w:rFonts w:ascii="Times New Roman" w:hAnsi="Times New Roman" w:eastAsia="Times New Roman" w:cs="Times New Roman"/>
          <w:sz w:val="24"/>
          <w:szCs w:val="24"/>
        </w:rPr>
        <w:t xml:space="preserve">On the decreasing failure rate property for general counting processes. </w:t>
      </w:r>
      <w:r>
        <w:rPr>
          <w:rFonts w:ascii="Times New Roman" w:hAnsi="Times New Roman" w:eastAsia="Times New Roman" w:cs="Times New Roman"/>
          <w:sz w:val="24"/>
          <w:szCs w:val="24"/>
          <w:i/>
        </w:rPr>
        <w:t xml:space="preserve">Statistics &amp; Probability Letters, </w:t>
      </w:r>
      <w:r>
        <w:rPr>
          <w:rFonts w:ascii="Times New Roman" w:hAnsi="Times New Roman" w:eastAsia="Times New Roman" w:cs="Times New Roman"/>
          <w:sz w:val="24"/>
          <w:szCs w:val="24"/>
          <w:i/>
        </w:rPr>
        <w:t>78</w:t>
      </w:r>
      <w:r>
        <w:rPr>
          <w:rFonts w:ascii="Times New Roman" w:hAnsi="Times New Roman" w:eastAsia="Times New Roman" w:cs="Times New Roman"/>
          <w:sz w:val="24"/>
          <w:szCs w:val="24"/>
        </w:rPr>
        <w:t>(16)</w:t>
      </w:r>
      <w:r>
        <w:rPr>
          <w:rFonts w:ascii="Times New Roman" w:hAnsi="Times New Roman" w:eastAsia="Times New Roman" w:cs="Times New Roman"/>
          <w:sz w:val="24"/>
          <w:szCs w:val="24"/>
        </w:rPr>
        <w:t>, 2532–2539.</w:t>
      </w:r>
      <w:r>
        <w:rPr>
          <w:rFonts w:ascii="Times New Roman" w:hAnsi="Times New Roman" w:eastAsia="Times New Roman" w:cs="Times New Roman"/>
          <w:sz w:val="24"/>
          <w:szCs w:val="24"/>
        </w:rPr>
        <w:t xml:space="preserve"> https://doi.org/10.1016/j.spl.2008.02.038</w:t>
      </w:r>
    </w:p>
    <w:p>
      <w:pPr>
        <w:spacing w:line="480" w:lineRule="auto" w:before="0" w:after="0"/>
        <w:ind w:left="720" w:hanging="720"/>
      </w:pPr>
      <w:r>
        <w:rPr>
          <w:rFonts w:ascii="Times New Roman" w:hAnsi="Times New Roman" w:eastAsia="Times New Roman" w:cs="Times New Roman"/>
          <w:sz w:val="24"/>
          <w:szCs w:val="24"/>
        </w:rPr>
        <w:t xml:space="preserve">Barlow, R. E., Marshall, A. W., &amp; Proschan, F. (1963). </w:t>
      </w:r>
      <w:r>
        <w:rPr>
          <w:rFonts w:ascii="Times New Roman" w:hAnsi="Times New Roman" w:eastAsia="Times New Roman" w:cs="Times New Roman"/>
          <w:sz w:val="24"/>
          <w:szCs w:val="24"/>
        </w:rPr>
        <w:t xml:space="preserve">Properties of probability distributions with monotone hazard rate. </w:t>
      </w:r>
      <w:r>
        <w:rPr>
          <w:rFonts w:ascii="Times New Roman" w:hAnsi="Times New Roman" w:eastAsia="Times New Roman" w:cs="Times New Roman"/>
          <w:sz w:val="24"/>
          <w:szCs w:val="24"/>
          <w:i/>
        </w:rPr>
        <w:t xml:space="preserve">The Annals of Mathematical Statistics, </w:t>
      </w:r>
      <w:r>
        <w:rPr>
          <w:rFonts w:ascii="Times New Roman" w:hAnsi="Times New Roman" w:eastAsia="Times New Roman" w:cs="Times New Roman"/>
          <w:sz w:val="24"/>
          <w:szCs w:val="24"/>
          <w:i/>
        </w:rPr>
        <w:t>34</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375–389.</w:t>
      </w:r>
    </w:p>
    <w:p>
      <w:pPr>
        <w:spacing w:line="480" w:lineRule="auto" w:before="0" w:after="0"/>
        <w:ind w:left="720" w:hanging="720"/>
      </w:pPr>
      <w:r>
        <w:rPr>
          <w:rFonts w:ascii="Times New Roman" w:hAnsi="Times New Roman" w:eastAsia="Times New Roman" w:cs="Times New Roman"/>
          <w:sz w:val="24"/>
          <w:szCs w:val="24"/>
        </w:rPr>
        <w:t xml:space="preserve">Bertsekas, D. P. (1998). </w:t>
      </w:r>
      <w:r>
        <w:rPr>
          <w:rFonts w:ascii="Times New Roman" w:hAnsi="Times New Roman" w:eastAsia="Times New Roman" w:cs="Times New Roman"/>
          <w:sz w:val="24"/>
          <w:szCs w:val="24"/>
        </w:rPr>
        <w:t xml:space="preserve">A new value iteration method for the average cost dynamic programming problem. </w:t>
      </w:r>
      <w:r>
        <w:rPr>
          <w:rFonts w:ascii="Times New Roman" w:hAnsi="Times New Roman" w:eastAsia="Times New Roman" w:cs="Times New Roman"/>
          <w:sz w:val="24"/>
          <w:szCs w:val="24"/>
          <w:i/>
        </w:rPr>
        <w:t xml:space="preserve">SIAM Journal on Control and Optimization, </w:t>
      </w:r>
      <w:r>
        <w:rPr>
          <w:rFonts w:ascii="Times New Roman" w:hAnsi="Times New Roman" w:eastAsia="Times New Roman" w:cs="Times New Roman"/>
          <w:sz w:val="24"/>
          <w:szCs w:val="24"/>
          <w:i/>
        </w:rPr>
        <w:t>36</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742–759.</w:t>
      </w:r>
    </w:p>
    <w:p>
      <w:pPr>
        <w:spacing w:line="480" w:lineRule="auto" w:before="0" w:after="0"/>
        <w:ind w:left="720" w:hanging="720"/>
      </w:pPr>
      <w:r>
        <w:rPr>
          <w:rFonts w:ascii="Times New Roman" w:hAnsi="Times New Roman" w:eastAsia="Times New Roman" w:cs="Times New Roman"/>
          <w:sz w:val="24"/>
          <w:szCs w:val="24"/>
        </w:rPr>
        <w:t xml:space="preserve">Borrero, J. S., &amp; Akhavan-Tabatabaei, R. (2013). </w:t>
      </w:r>
      <w:r>
        <w:rPr>
          <w:rFonts w:ascii="Times New Roman" w:hAnsi="Times New Roman" w:eastAsia="Times New Roman" w:cs="Times New Roman"/>
          <w:sz w:val="24"/>
          <w:szCs w:val="24"/>
        </w:rPr>
        <w:t xml:space="preserve">Time and inventory dependent optimal maintenance policies for single machine workstations: An MDP approach.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228</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545–555.</w:t>
      </w:r>
      <w:r>
        <w:rPr>
          <w:rFonts w:ascii="Times New Roman" w:hAnsi="Times New Roman" w:eastAsia="Times New Roman" w:cs="Times New Roman"/>
          <w:sz w:val="24"/>
          <w:szCs w:val="24"/>
        </w:rPr>
        <w:t xml:space="preserve"> https://doi.org/10.1016/j.ejor.2013.02.014</w:t>
      </w:r>
    </w:p>
    <w:p>
      <w:pPr>
        <w:spacing w:line="480" w:lineRule="auto" w:before="0" w:after="0"/>
        <w:ind w:left="720" w:hanging="720"/>
      </w:pPr>
      <w:r>
        <w:rPr>
          <w:rFonts w:ascii="Times New Roman" w:hAnsi="Times New Roman" w:eastAsia="Times New Roman" w:cs="Times New Roman"/>
          <w:sz w:val="24"/>
          <w:szCs w:val="24"/>
        </w:rPr>
        <w:t xml:space="preserve">Cao, S., Wang, Z., Wu, Q., Ouyang, X., Si, X., &amp; Liu, C. (2025). </w:t>
      </w:r>
      <w:r>
        <w:rPr>
          <w:rFonts w:ascii="Times New Roman" w:hAnsi="Times New Roman" w:eastAsia="Times New Roman" w:cs="Times New Roman"/>
          <w:sz w:val="24"/>
          <w:szCs w:val="24"/>
        </w:rPr>
        <w:t xml:space="preserve">Failure time analysis for compound degradation procedures involving linear path and negative jumps.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253</w:t>
      </w:r>
      <w:r>
        <w:rPr>
          <w:rFonts w:ascii="Times New Roman" w:hAnsi="Times New Roman" w:eastAsia="Times New Roman" w:cs="Times New Roman"/>
          <w:sz w:val="24"/>
          <w:szCs w:val="24"/>
        </w:rPr>
        <w:t>, 110566.</w:t>
      </w:r>
      <w:r>
        <w:rPr>
          <w:rFonts w:ascii="Times New Roman" w:hAnsi="Times New Roman" w:eastAsia="Times New Roman" w:cs="Times New Roman"/>
          <w:sz w:val="24"/>
          <w:szCs w:val="24"/>
        </w:rPr>
        <w:t xml:space="preserve"> https://doi.org/10.1016/j.ress.2024.110566</w:t>
      </w:r>
    </w:p>
    <w:p>
      <w:pPr>
        <w:spacing w:line="480" w:lineRule="auto" w:before="0" w:after="0"/>
        <w:ind w:left="720" w:hanging="720"/>
      </w:pPr>
      <w:r>
        <w:rPr>
          <w:rFonts w:ascii="Times New Roman" w:hAnsi="Times New Roman" w:eastAsia="Times New Roman" w:cs="Times New Roman"/>
          <w:sz w:val="24"/>
          <w:szCs w:val="24"/>
        </w:rPr>
        <w:t xml:space="preserve">Chelbi, A., &amp; Ait-Kadi, D. (2004). </w:t>
      </w:r>
      <w:r>
        <w:rPr>
          <w:rFonts w:ascii="Times New Roman" w:hAnsi="Times New Roman" w:eastAsia="Times New Roman" w:cs="Times New Roman"/>
          <w:sz w:val="24"/>
          <w:szCs w:val="24"/>
        </w:rPr>
        <w:t xml:space="preserve">Analysis of a production/inventory system with randomly failing production unit submitted to regular preventive maintenance.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156</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712–718.</w:t>
      </w:r>
      <w:r>
        <w:rPr>
          <w:rFonts w:ascii="Times New Roman" w:hAnsi="Times New Roman" w:eastAsia="Times New Roman" w:cs="Times New Roman"/>
          <w:sz w:val="24"/>
          <w:szCs w:val="24"/>
        </w:rPr>
        <w:t xml:space="preserve"> https://doi.org/10.1016/S0377-2217(03)00254-6</w:t>
      </w:r>
    </w:p>
    <w:p>
      <w:pPr>
        <w:spacing w:line="480" w:lineRule="auto" w:before="0" w:after="0"/>
        <w:ind w:left="720" w:hanging="720"/>
      </w:pPr>
      <w:r>
        <w:rPr>
          <w:rFonts w:ascii="Times New Roman" w:hAnsi="Times New Roman" w:eastAsia="Times New Roman" w:cs="Times New Roman"/>
          <w:sz w:val="24"/>
          <w:szCs w:val="24"/>
        </w:rPr>
        <w:t xml:space="preserve">Chhikara, R. S., &amp; Folks, J. L. (1989). </w:t>
      </w:r>
      <w:r>
        <w:rPr>
          <w:rFonts w:ascii="Times New Roman" w:hAnsi="Times New Roman" w:eastAsia="Times New Roman" w:cs="Times New Roman"/>
          <w:sz w:val="24"/>
          <w:szCs w:val="24"/>
          <w:i/>
        </w:rPr>
        <w:t>The inverse Gaussian distribution: Theory, methodology, and applications.</w:t>
      </w:r>
      <w:r>
        <w:rPr>
          <w:rFonts w:ascii="Times New Roman" w:hAnsi="Times New Roman" w:eastAsia="Times New Roman" w:cs="Times New Roman"/>
          <w:sz w:val="24"/>
          <w:szCs w:val="24"/>
        </w:rPr>
        <w:t xml:space="preserve"> Marcel Dekker.</w:t>
      </w:r>
    </w:p>
    <w:p>
      <w:pPr>
        <w:spacing w:line="480" w:lineRule="auto" w:before="0" w:after="0"/>
        <w:ind w:left="720" w:hanging="720"/>
      </w:pPr>
      <w:r>
        <w:rPr>
          <w:rFonts w:ascii="Times New Roman" w:hAnsi="Times New Roman" w:eastAsia="Times New Roman" w:cs="Times New Roman"/>
          <w:sz w:val="24"/>
          <w:szCs w:val="24"/>
        </w:rPr>
        <w:t xml:space="preserve">Dieulle, L., Bérenguer, C., Grall, A., &amp; Roussignol, M. (2003). </w:t>
      </w:r>
      <w:r>
        <w:rPr>
          <w:rFonts w:ascii="Times New Roman" w:hAnsi="Times New Roman" w:eastAsia="Times New Roman" w:cs="Times New Roman"/>
          <w:sz w:val="24"/>
          <w:szCs w:val="24"/>
        </w:rPr>
        <w:t xml:space="preserve">Sequential condition-based maintenance scheduling for a deteriorating system.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150</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451–461.</w:t>
      </w:r>
      <w:r>
        <w:rPr>
          <w:rFonts w:ascii="Times New Roman" w:hAnsi="Times New Roman" w:eastAsia="Times New Roman" w:cs="Times New Roman"/>
          <w:sz w:val="24"/>
          <w:szCs w:val="24"/>
        </w:rPr>
        <w:t xml:space="preserve"> https://doi.org/10.1016/S0377-2217(02)00593-3</w:t>
      </w:r>
    </w:p>
    <w:p>
      <w:pPr>
        <w:spacing w:line="480" w:lineRule="auto" w:before="0" w:after="0"/>
        <w:ind w:left="720" w:hanging="720"/>
      </w:pPr>
      <w:r>
        <w:rPr>
          <w:rFonts w:ascii="Times New Roman" w:hAnsi="Times New Roman" w:eastAsia="Times New Roman" w:cs="Times New Roman"/>
          <w:sz w:val="24"/>
          <w:szCs w:val="24"/>
        </w:rPr>
        <w:t xml:space="preserve">Dimitrakos, T. D., &amp; Kyriakidis, E. G. (2008). </w:t>
      </w:r>
      <w:r>
        <w:rPr>
          <w:rFonts w:ascii="Times New Roman" w:hAnsi="Times New Roman" w:eastAsia="Times New Roman" w:cs="Times New Roman"/>
          <w:sz w:val="24"/>
          <w:szCs w:val="24"/>
        </w:rPr>
        <w:t xml:space="preserve">A semi-Markov decision algorithm for the maintenance of a production system with buffer capacity and continuous repair times. </w:t>
      </w:r>
      <w:r>
        <w:rPr>
          <w:rFonts w:ascii="Times New Roman" w:hAnsi="Times New Roman" w:eastAsia="Times New Roman" w:cs="Times New Roman"/>
          <w:sz w:val="24"/>
          <w:szCs w:val="24"/>
          <w:i/>
        </w:rPr>
        <w:t xml:space="preserve">International Journal of Production Economics, </w:t>
      </w:r>
      <w:r>
        <w:rPr>
          <w:rFonts w:ascii="Times New Roman" w:hAnsi="Times New Roman" w:eastAsia="Times New Roman" w:cs="Times New Roman"/>
          <w:sz w:val="24"/>
          <w:szCs w:val="24"/>
          <w:i/>
        </w:rPr>
        <w:t>111</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752–762.</w:t>
      </w:r>
      <w:r>
        <w:rPr>
          <w:rFonts w:ascii="Times New Roman" w:hAnsi="Times New Roman" w:eastAsia="Times New Roman" w:cs="Times New Roman"/>
          <w:sz w:val="24"/>
          <w:szCs w:val="24"/>
        </w:rPr>
        <w:t xml:space="preserve"> https://doi.org/10.1016/j.ijpe.2007.03.010</w:t>
      </w:r>
    </w:p>
    <w:p>
      <w:pPr>
        <w:spacing w:line="480" w:lineRule="auto" w:before="0" w:after="0"/>
        <w:ind w:left="720" w:hanging="720"/>
      </w:pPr>
      <w:r>
        <w:rPr>
          <w:rFonts w:ascii="Times New Roman" w:hAnsi="Times New Roman" w:eastAsia="Times New Roman" w:cs="Times New Roman"/>
          <w:sz w:val="24"/>
          <w:szCs w:val="24"/>
        </w:rPr>
        <w:t xml:space="preserve">Folks, J. L., &amp; Chhikara, R. S. (1978). </w:t>
      </w:r>
      <w:r>
        <w:rPr>
          <w:rFonts w:ascii="Times New Roman" w:hAnsi="Times New Roman" w:eastAsia="Times New Roman" w:cs="Times New Roman"/>
          <w:sz w:val="24"/>
          <w:szCs w:val="24"/>
        </w:rPr>
        <w:t xml:space="preserve">The inverse Gaussian distribution and its statistical application—a review. </w:t>
      </w:r>
      <w:r>
        <w:rPr>
          <w:rFonts w:ascii="Times New Roman" w:hAnsi="Times New Roman" w:eastAsia="Times New Roman" w:cs="Times New Roman"/>
          <w:sz w:val="24"/>
          <w:szCs w:val="24"/>
          <w:i/>
        </w:rPr>
        <w:t xml:space="preserve">Journal of the Royal Statistical Society B, </w:t>
      </w:r>
      <w:r>
        <w:rPr>
          <w:rFonts w:ascii="Times New Roman" w:hAnsi="Times New Roman" w:eastAsia="Times New Roman" w:cs="Times New Roman"/>
          <w:sz w:val="24"/>
          <w:szCs w:val="24"/>
          <w:i/>
        </w:rPr>
        <w:t>40</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263–289.</w:t>
      </w:r>
    </w:p>
    <w:p>
      <w:pPr>
        <w:spacing w:line="480" w:lineRule="auto" w:before="0" w:after="0"/>
        <w:ind w:left="720" w:hanging="720"/>
      </w:pPr>
      <w:r>
        <w:rPr>
          <w:rFonts w:ascii="Times New Roman" w:hAnsi="Times New Roman" w:eastAsia="Times New Roman" w:cs="Times New Roman"/>
          <w:sz w:val="24"/>
          <w:szCs w:val="24"/>
        </w:rPr>
        <w:t xml:space="preserve">Grall, A., Bérenguer, C., &amp; Dieulle, L. (2002a). </w:t>
      </w:r>
      <w:r>
        <w:rPr>
          <w:rFonts w:ascii="Times New Roman" w:hAnsi="Times New Roman" w:eastAsia="Times New Roman" w:cs="Times New Roman"/>
          <w:sz w:val="24"/>
          <w:szCs w:val="24"/>
        </w:rPr>
        <w:t xml:space="preserve">A condition-based maintenance policy for stochastically deteriorating systems.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76</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167–180.</w:t>
      </w:r>
      <w:r>
        <w:rPr>
          <w:rFonts w:ascii="Times New Roman" w:hAnsi="Times New Roman" w:eastAsia="Times New Roman" w:cs="Times New Roman"/>
          <w:sz w:val="24"/>
          <w:szCs w:val="24"/>
        </w:rPr>
        <w:t xml:space="preserve"> https://doi.org/10.1016/S0951-8320(01)00148-X</w:t>
      </w:r>
    </w:p>
    <w:p>
      <w:pPr>
        <w:spacing w:line="480" w:lineRule="auto" w:before="0" w:after="0"/>
        <w:ind w:left="720" w:hanging="720"/>
      </w:pPr>
      <w:r>
        <w:rPr>
          <w:rFonts w:ascii="Times New Roman" w:hAnsi="Times New Roman" w:eastAsia="Times New Roman" w:cs="Times New Roman"/>
          <w:sz w:val="24"/>
          <w:szCs w:val="24"/>
        </w:rPr>
        <w:t xml:space="preserve">Grall, A., Dieulle, L., Bérenguer, C., &amp; Roussignol, M. (2002b). </w:t>
      </w:r>
      <w:r>
        <w:rPr>
          <w:rFonts w:ascii="Times New Roman" w:hAnsi="Times New Roman" w:eastAsia="Times New Roman" w:cs="Times New Roman"/>
          <w:sz w:val="24"/>
          <w:szCs w:val="24"/>
        </w:rPr>
        <w:t xml:space="preserve">Continuous-time predictive maintenance scheduling for a deteriorating system. </w:t>
      </w:r>
      <w:r>
        <w:rPr>
          <w:rFonts w:ascii="Times New Roman" w:hAnsi="Times New Roman" w:eastAsia="Times New Roman" w:cs="Times New Roman"/>
          <w:sz w:val="24"/>
          <w:szCs w:val="24"/>
          <w:i/>
        </w:rPr>
        <w:t xml:space="preserve">IEEE Transactions on Reliability, </w:t>
      </w:r>
      <w:r>
        <w:rPr>
          <w:rFonts w:ascii="Times New Roman" w:hAnsi="Times New Roman" w:eastAsia="Times New Roman" w:cs="Times New Roman"/>
          <w:sz w:val="24"/>
          <w:szCs w:val="24"/>
          <w:i/>
        </w:rPr>
        <w:t>51</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141–150.</w:t>
      </w:r>
      <w:r>
        <w:rPr>
          <w:rFonts w:ascii="Times New Roman" w:hAnsi="Times New Roman" w:eastAsia="Times New Roman" w:cs="Times New Roman"/>
          <w:sz w:val="24"/>
          <w:szCs w:val="24"/>
        </w:rPr>
        <w:t xml:space="preserve"> https://doi.org/10.1109/TR.2002.1011518</w:t>
      </w:r>
    </w:p>
    <w:p>
      <w:pPr>
        <w:spacing w:line="480" w:lineRule="auto" w:before="0" w:after="0"/>
        <w:ind w:left="720" w:hanging="720"/>
      </w:pPr>
      <w:r>
        <w:rPr>
          <w:rFonts w:ascii="Times New Roman" w:hAnsi="Times New Roman" w:eastAsia="Times New Roman" w:cs="Times New Roman"/>
          <w:sz w:val="24"/>
          <w:szCs w:val="24"/>
        </w:rPr>
        <w:t xml:space="preserve">Guo, X., Huang, S., Wu, J., &amp; Wang, C. (2025). </w:t>
      </w:r>
      <w:r>
        <w:rPr>
          <w:rFonts w:ascii="Times New Roman" w:hAnsi="Times New Roman" w:eastAsia="Times New Roman" w:cs="Times New Roman"/>
          <w:sz w:val="24"/>
          <w:szCs w:val="24"/>
        </w:rPr>
        <w:t xml:space="preserve">A transfer learning approach for remaining useful life prediction subject to hard failure considering within and between population variations.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261</w:t>
      </w:r>
      <w:r>
        <w:rPr>
          <w:rFonts w:ascii="Times New Roman" w:hAnsi="Times New Roman" w:eastAsia="Times New Roman" w:cs="Times New Roman"/>
          <w:sz w:val="24"/>
          <w:szCs w:val="24"/>
        </w:rPr>
        <w:t>, 111145.</w:t>
      </w:r>
      <w:r>
        <w:rPr>
          <w:rFonts w:ascii="Times New Roman" w:hAnsi="Times New Roman" w:eastAsia="Times New Roman" w:cs="Times New Roman"/>
          <w:sz w:val="24"/>
          <w:szCs w:val="24"/>
        </w:rPr>
        <w:t xml:space="preserve"> https://doi.org/10.1016/j.ress.2025.111145</w:t>
      </w:r>
    </w:p>
    <w:p>
      <w:pPr>
        <w:spacing w:line="480" w:lineRule="auto" w:before="0" w:after="0"/>
        <w:ind w:left="720" w:hanging="720"/>
      </w:pPr>
      <w:r>
        <w:rPr>
          <w:rFonts w:ascii="Times New Roman" w:hAnsi="Times New Roman" w:eastAsia="Times New Roman" w:cs="Times New Roman"/>
          <w:sz w:val="24"/>
          <w:szCs w:val="24"/>
        </w:rPr>
        <w:t xml:space="preserve">Gurland, J., &amp; Sethuraman, J. (1994). </w:t>
      </w:r>
      <w:r>
        <w:rPr>
          <w:rFonts w:ascii="Times New Roman" w:hAnsi="Times New Roman" w:eastAsia="Times New Roman" w:cs="Times New Roman"/>
          <w:sz w:val="24"/>
          <w:szCs w:val="24"/>
        </w:rPr>
        <w:t xml:space="preserve">Reversal of increasing failure rates when pooling failure data. </w:t>
      </w:r>
      <w:r>
        <w:rPr>
          <w:rFonts w:ascii="Times New Roman" w:hAnsi="Times New Roman" w:eastAsia="Times New Roman" w:cs="Times New Roman"/>
          <w:sz w:val="24"/>
          <w:szCs w:val="24"/>
          <w:i/>
        </w:rPr>
        <w:t xml:space="preserve">Technometrics, </w:t>
      </w:r>
      <w:r>
        <w:rPr>
          <w:rFonts w:ascii="Times New Roman" w:hAnsi="Times New Roman" w:eastAsia="Times New Roman" w:cs="Times New Roman"/>
          <w:sz w:val="24"/>
          <w:szCs w:val="24"/>
          <w:i/>
        </w:rPr>
        <w:t>36</w:t>
      </w:r>
      <w:r>
        <w:rPr>
          <w:rFonts w:ascii="Times New Roman" w:hAnsi="Times New Roman" w:eastAsia="Times New Roman" w:cs="Times New Roman"/>
          <w:sz w:val="24"/>
          <w:szCs w:val="24"/>
        </w:rPr>
        <w:t>(4)</w:t>
      </w:r>
      <w:r>
        <w:rPr>
          <w:rFonts w:ascii="Times New Roman" w:hAnsi="Times New Roman" w:eastAsia="Times New Roman" w:cs="Times New Roman"/>
          <w:sz w:val="24"/>
          <w:szCs w:val="24"/>
        </w:rPr>
        <w:t>, 416–418.</w:t>
      </w:r>
      <w:r>
        <w:rPr>
          <w:rFonts w:ascii="Times New Roman" w:hAnsi="Times New Roman" w:eastAsia="Times New Roman" w:cs="Times New Roman"/>
          <w:sz w:val="24"/>
          <w:szCs w:val="24"/>
        </w:rPr>
        <w:t xml:space="preserve"> https://doi.org/10.1080/00401706.1994.10485826</w:t>
      </w:r>
    </w:p>
    <w:p>
      <w:pPr>
        <w:spacing w:line="480" w:lineRule="auto" w:before="0" w:after="0"/>
        <w:ind w:left="720" w:hanging="720"/>
      </w:pPr>
      <w:r>
        <w:rPr>
          <w:rFonts w:ascii="Times New Roman" w:hAnsi="Times New Roman" w:eastAsia="Times New Roman" w:cs="Times New Roman"/>
          <w:sz w:val="24"/>
          <w:szCs w:val="24"/>
        </w:rPr>
        <w:t xml:space="preserve">Hao, S., Chen, W., &amp; Wang, J. (2025). </w:t>
      </w:r>
      <w:r>
        <w:rPr>
          <w:rFonts w:ascii="Times New Roman" w:hAnsi="Times New Roman" w:eastAsia="Times New Roman" w:cs="Times New Roman"/>
          <w:sz w:val="24"/>
          <w:szCs w:val="24"/>
        </w:rPr>
        <w:t xml:space="preserve">Joint optimization of condition-based operation and maintenance strategy for load-sharing systems subject to hybrid continuous and discrete loads.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262</w:t>
      </w:r>
      <w:r>
        <w:rPr>
          <w:rFonts w:ascii="Times New Roman" w:hAnsi="Times New Roman" w:eastAsia="Times New Roman" w:cs="Times New Roman"/>
          <w:sz w:val="24"/>
          <w:szCs w:val="24"/>
        </w:rPr>
        <w:t>, 111166.</w:t>
      </w:r>
      <w:r>
        <w:rPr>
          <w:rFonts w:ascii="Times New Roman" w:hAnsi="Times New Roman" w:eastAsia="Times New Roman" w:cs="Times New Roman"/>
          <w:sz w:val="24"/>
          <w:szCs w:val="24"/>
        </w:rPr>
        <w:t xml:space="preserve"> https://doi.org/10.1016/j.ress.2025.111166</w:t>
      </w:r>
    </w:p>
    <w:p>
      <w:pPr>
        <w:spacing w:line="480" w:lineRule="auto" w:before="0" w:after="0"/>
        <w:ind w:left="720" w:hanging="720"/>
      </w:pPr>
      <w:r>
        <w:rPr>
          <w:rFonts w:ascii="Times New Roman" w:hAnsi="Times New Roman" w:eastAsia="Times New Roman" w:cs="Times New Roman"/>
          <w:sz w:val="24"/>
          <w:szCs w:val="24"/>
        </w:rPr>
        <w:t xml:space="preserve">Harrison, J. M. (1985). </w:t>
      </w:r>
      <w:r>
        <w:rPr>
          <w:rFonts w:ascii="Times New Roman" w:hAnsi="Times New Roman" w:eastAsia="Times New Roman" w:cs="Times New Roman"/>
          <w:sz w:val="24"/>
          <w:szCs w:val="24"/>
          <w:i/>
        </w:rPr>
        <w:t>Brownian motion and stochastic flow systems.</w:t>
      </w:r>
      <w:r>
        <w:rPr>
          <w:rFonts w:ascii="Times New Roman" w:hAnsi="Times New Roman" w:eastAsia="Times New Roman" w:cs="Times New Roman"/>
          <w:sz w:val="24"/>
          <w:szCs w:val="24"/>
        </w:rPr>
        <w:t xml:space="preserve"> Wiley.</w:t>
      </w:r>
    </w:p>
    <w:p>
      <w:pPr>
        <w:spacing w:line="480" w:lineRule="auto" w:before="0" w:after="0"/>
        <w:ind w:left="720" w:hanging="720"/>
      </w:pPr>
      <w:r>
        <w:rPr>
          <w:rFonts w:ascii="Times New Roman" w:hAnsi="Times New Roman" w:eastAsia="Times New Roman" w:cs="Times New Roman"/>
          <w:sz w:val="24"/>
          <w:szCs w:val="24"/>
        </w:rPr>
        <w:t xml:space="preserve">Hosseini, S., Ivanov, D., &amp; Dolgui, A. (2019). </w:t>
      </w:r>
      <w:r>
        <w:rPr>
          <w:rFonts w:ascii="Times New Roman" w:hAnsi="Times New Roman" w:eastAsia="Times New Roman" w:cs="Times New Roman"/>
          <w:sz w:val="24"/>
          <w:szCs w:val="24"/>
        </w:rPr>
        <w:t xml:space="preserve">Review of quantitative methods for supply chain resilience analysis. </w:t>
      </w:r>
      <w:r>
        <w:rPr>
          <w:rFonts w:ascii="Times New Roman" w:hAnsi="Times New Roman" w:eastAsia="Times New Roman" w:cs="Times New Roman"/>
          <w:sz w:val="24"/>
          <w:szCs w:val="24"/>
          <w:i/>
        </w:rPr>
        <w:t xml:space="preserve">Transportation Research Part E, </w:t>
      </w:r>
      <w:r>
        <w:rPr>
          <w:rFonts w:ascii="Times New Roman" w:hAnsi="Times New Roman" w:eastAsia="Times New Roman" w:cs="Times New Roman"/>
          <w:sz w:val="24"/>
          <w:szCs w:val="24"/>
          <w:i/>
        </w:rPr>
        <w:t>125</w:t>
      </w:r>
      <w:r>
        <w:rPr>
          <w:rFonts w:ascii="Times New Roman" w:hAnsi="Times New Roman" w:eastAsia="Times New Roman" w:cs="Times New Roman"/>
          <w:sz w:val="24"/>
          <w:szCs w:val="24"/>
        </w:rPr>
        <w:t>, 285–307.</w:t>
      </w:r>
      <w:r>
        <w:rPr>
          <w:rFonts w:ascii="Times New Roman" w:hAnsi="Times New Roman" w:eastAsia="Times New Roman" w:cs="Times New Roman"/>
          <w:sz w:val="24"/>
          <w:szCs w:val="24"/>
        </w:rPr>
        <w:t xml:space="preserve"> https://doi.org/10.1016/j.tre.2019.03.001</w:t>
      </w:r>
    </w:p>
    <w:p>
      <w:pPr>
        <w:spacing w:line="480" w:lineRule="auto" w:before="0" w:after="0"/>
        <w:ind w:left="720" w:hanging="720"/>
      </w:pPr>
      <w:r>
        <w:rPr>
          <w:rFonts w:ascii="Times New Roman" w:hAnsi="Times New Roman" w:eastAsia="Times New Roman" w:cs="Times New Roman"/>
          <w:sz w:val="24"/>
          <w:szCs w:val="24"/>
        </w:rPr>
        <w:t xml:space="preserve">Howard, R. A. (1960). </w:t>
      </w:r>
      <w:r>
        <w:rPr>
          <w:rFonts w:ascii="Times New Roman" w:hAnsi="Times New Roman" w:eastAsia="Times New Roman" w:cs="Times New Roman"/>
          <w:sz w:val="24"/>
          <w:szCs w:val="24"/>
          <w:i/>
        </w:rPr>
        <w:t>Dynamic programming and Markov processes.</w:t>
      </w:r>
      <w:r>
        <w:rPr>
          <w:rFonts w:ascii="Times New Roman" w:hAnsi="Times New Roman" w:eastAsia="Times New Roman" w:cs="Times New Roman"/>
          <w:sz w:val="24"/>
          <w:szCs w:val="24"/>
        </w:rPr>
        <w:t xml:space="preserve"> MIT Press.</w:t>
      </w:r>
    </w:p>
    <w:p>
      <w:pPr>
        <w:spacing w:line="480" w:lineRule="auto" w:before="0" w:after="0"/>
        <w:ind w:left="720" w:hanging="720"/>
      </w:pPr>
      <w:r>
        <w:rPr>
          <w:rFonts w:ascii="Times New Roman" w:hAnsi="Times New Roman" w:eastAsia="Times New Roman" w:cs="Times New Roman"/>
          <w:sz w:val="24"/>
          <w:szCs w:val="24"/>
        </w:rPr>
        <w:t xml:space="preserve">Jardine, A. K. S., Lin, D., &amp; Banjevic, D. (2006). </w:t>
      </w:r>
      <w:r>
        <w:rPr>
          <w:rFonts w:ascii="Times New Roman" w:hAnsi="Times New Roman" w:eastAsia="Times New Roman" w:cs="Times New Roman"/>
          <w:sz w:val="24"/>
          <w:szCs w:val="24"/>
        </w:rPr>
        <w:t xml:space="preserve">A review on machinery diagnostics and prognostics implementing condition-based maintenance. </w:t>
      </w:r>
      <w:r>
        <w:rPr>
          <w:rFonts w:ascii="Times New Roman" w:hAnsi="Times New Roman" w:eastAsia="Times New Roman" w:cs="Times New Roman"/>
          <w:sz w:val="24"/>
          <w:szCs w:val="24"/>
          <w:i/>
        </w:rPr>
        <w:t xml:space="preserve">Mechanical Systems and Signal Processing, </w:t>
      </w:r>
      <w:r>
        <w:rPr>
          <w:rFonts w:ascii="Times New Roman" w:hAnsi="Times New Roman" w:eastAsia="Times New Roman" w:cs="Times New Roman"/>
          <w:sz w:val="24"/>
          <w:szCs w:val="24"/>
          <w:i/>
        </w:rPr>
        <w:t>20</w:t>
      </w:r>
      <w:r>
        <w:rPr>
          <w:rFonts w:ascii="Times New Roman" w:hAnsi="Times New Roman" w:eastAsia="Times New Roman" w:cs="Times New Roman"/>
          <w:sz w:val="24"/>
          <w:szCs w:val="24"/>
        </w:rPr>
        <w:t>(7)</w:t>
      </w:r>
      <w:r>
        <w:rPr>
          <w:rFonts w:ascii="Times New Roman" w:hAnsi="Times New Roman" w:eastAsia="Times New Roman" w:cs="Times New Roman"/>
          <w:sz w:val="24"/>
          <w:szCs w:val="24"/>
        </w:rPr>
        <w:t>, 1483–1510.</w:t>
      </w:r>
      <w:r>
        <w:rPr>
          <w:rFonts w:ascii="Times New Roman" w:hAnsi="Times New Roman" w:eastAsia="Times New Roman" w:cs="Times New Roman"/>
          <w:sz w:val="24"/>
          <w:szCs w:val="24"/>
        </w:rPr>
        <w:t xml:space="preserve"> https://doi.org/10.1016/j.ymssp.2005.09.012</w:t>
      </w:r>
    </w:p>
    <w:p>
      <w:pPr>
        <w:spacing w:line="480" w:lineRule="auto" w:before="0" w:after="0"/>
        <w:ind w:left="720" w:hanging="720"/>
      </w:pPr>
      <w:r>
        <w:rPr>
          <w:rFonts w:ascii="Times New Roman" w:hAnsi="Times New Roman" w:eastAsia="Times New Roman" w:cs="Times New Roman"/>
          <w:sz w:val="24"/>
          <w:szCs w:val="24"/>
        </w:rPr>
        <w:t xml:space="preserve">Jørgensen, B. (1982). </w:t>
      </w:r>
      <w:r>
        <w:rPr>
          <w:rFonts w:ascii="Times New Roman" w:hAnsi="Times New Roman" w:eastAsia="Times New Roman" w:cs="Times New Roman"/>
          <w:sz w:val="24"/>
          <w:szCs w:val="24"/>
          <w:i/>
        </w:rPr>
        <w:t>Statistical properties of the generalized inverse Gaussian distribution.</w:t>
      </w:r>
      <w:r>
        <w:rPr>
          <w:rFonts w:ascii="Times New Roman" w:hAnsi="Times New Roman" w:eastAsia="Times New Roman" w:cs="Times New Roman"/>
          <w:sz w:val="24"/>
          <w:szCs w:val="24"/>
        </w:rPr>
        <w:t xml:space="preserve"> Springer.</w:t>
      </w:r>
    </w:p>
    <w:p>
      <w:pPr>
        <w:spacing w:line="480" w:lineRule="auto" w:before="0" w:after="0"/>
        <w:ind w:left="720" w:hanging="720"/>
      </w:pPr>
      <w:r>
        <w:rPr>
          <w:rFonts w:ascii="Times New Roman" w:hAnsi="Times New Roman" w:eastAsia="Times New Roman" w:cs="Times New Roman"/>
          <w:sz w:val="24"/>
          <w:szCs w:val="24"/>
        </w:rPr>
        <w:t xml:space="preserve">Karamatsoukis, C. C., &amp; Kyriakidis, E. G. (2010). </w:t>
      </w:r>
      <w:r>
        <w:rPr>
          <w:rFonts w:ascii="Times New Roman" w:hAnsi="Times New Roman" w:eastAsia="Times New Roman" w:cs="Times New Roman"/>
          <w:sz w:val="24"/>
          <w:szCs w:val="24"/>
        </w:rPr>
        <w:t xml:space="preserve">Optimal maintenance of two stochastically deteriorating machines with an intermediate buffer.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207</w:t>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t>, 297–308.</w:t>
      </w:r>
      <w:r>
        <w:rPr>
          <w:rFonts w:ascii="Times New Roman" w:hAnsi="Times New Roman" w:eastAsia="Times New Roman" w:cs="Times New Roman"/>
          <w:sz w:val="24"/>
          <w:szCs w:val="24"/>
        </w:rPr>
        <w:t xml:space="preserve"> https://doi.org/10.1016/j.ejor.2010.04.022</w:t>
      </w:r>
    </w:p>
    <w:p>
      <w:pPr>
        <w:spacing w:line="480" w:lineRule="auto" w:before="0" w:after="0"/>
        <w:ind w:left="720" w:hanging="720"/>
      </w:pPr>
      <w:r>
        <w:rPr>
          <w:rFonts w:ascii="Times New Roman" w:hAnsi="Times New Roman" w:eastAsia="Times New Roman" w:cs="Times New Roman"/>
          <w:sz w:val="24"/>
          <w:szCs w:val="24"/>
        </w:rPr>
        <w:t xml:space="preserve">Kivanç, İ., Fecarotti, C., Raassens, N., &amp; van Houtum, G.-J. (2025). </w:t>
      </w:r>
      <w:r>
        <w:rPr>
          <w:rFonts w:ascii="Times New Roman" w:hAnsi="Times New Roman" w:eastAsia="Times New Roman" w:cs="Times New Roman"/>
          <w:sz w:val="24"/>
          <w:szCs w:val="24"/>
        </w:rPr>
        <w:t xml:space="preserve">Condition-based maintenance for multi-component systems: A scalable optimization model with two thresholds.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254</w:t>
      </w:r>
      <w:r>
        <w:rPr>
          <w:rFonts w:ascii="Times New Roman" w:hAnsi="Times New Roman" w:eastAsia="Times New Roman" w:cs="Times New Roman"/>
          <w:sz w:val="24"/>
          <w:szCs w:val="24"/>
        </w:rPr>
        <w:t>, 110634.</w:t>
      </w:r>
      <w:r>
        <w:rPr>
          <w:rFonts w:ascii="Times New Roman" w:hAnsi="Times New Roman" w:eastAsia="Times New Roman" w:cs="Times New Roman"/>
          <w:sz w:val="24"/>
          <w:szCs w:val="24"/>
        </w:rPr>
        <w:t xml:space="preserve"> https://doi.org/10.1016/j.ress.2024.110634</w:t>
      </w:r>
    </w:p>
    <w:p>
      <w:pPr>
        <w:spacing w:line="480" w:lineRule="auto" w:before="0" w:after="0"/>
        <w:ind w:left="720" w:hanging="720"/>
      </w:pPr>
      <w:r>
        <w:rPr>
          <w:rFonts w:ascii="Times New Roman" w:hAnsi="Times New Roman" w:eastAsia="Times New Roman" w:cs="Times New Roman"/>
          <w:sz w:val="24"/>
          <w:szCs w:val="24"/>
        </w:rPr>
        <w:t xml:space="preserve">Kyriakidis, E. G., &amp; Dimitrakos, T. D. (2006). </w:t>
      </w:r>
      <w:r>
        <w:rPr>
          <w:rFonts w:ascii="Times New Roman" w:hAnsi="Times New Roman" w:eastAsia="Times New Roman" w:cs="Times New Roman"/>
          <w:sz w:val="24"/>
          <w:szCs w:val="24"/>
        </w:rPr>
        <w:t xml:space="preserve">Optimal preventive maintenance of a production system with an intermediate buffer.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168</w:t>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t>, 86–99.</w:t>
      </w:r>
      <w:r>
        <w:rPr>
          <w:rFonts w:ascii="Times New Roman" w:hAnsi="Times New Roman" w:eastAsia="Times New Roman" w:cs="Times New Roman"/>
          <w:sz w:val="24"/>
          <w:szCs w:val="24"/>
        </w:rPr>
        <w:t xml:space="preserve"> https://doi.org/10.1016/j.ejor.2004.01.052</w:t>
      </w:r>
    </w:p>
    <w:p>
      <w:pPr>
        <w:spacing w:line="480" w:lineRule="auto" w:before="0" w:after="0"/>
        <w:ind w:left="720" w:hanging="720"/>
      </w:pPr>
      <w:r>
        <w:rPr>
          <w:rFonts w:ascii="Times New Roman" w:hAnsi="Times New Roman" w:eastAsia="Times New Roman" w:cs="Times New Roman"/>
          <w:sz w:val="24"/>
          <w:szCs w:val="24"/>
        </w:rPr>
        <w:t xml:space="preserve">Lee, Y.-C. (2026). </w:t>
      </w:r>
      <w:r>
        <w:rPr>
          <w:rFonts w:ascii="Times New Roman" w:hAnsi="Times New Roman" w:eastAsia="Times New Roman" w:cs="Times New Roman"/>
          <w:sz w:val="24"/>
          <w:szCs w:val="24"/>
        </w:rPr>
        <w:t xml:space="preserve">Corrected-inverse-Gaussian first-hitting-time modeling for molecular communication under time-varying drift. </w:t>
      </w:r>
      <w:r>
        <w:rPr>
          <w:rFonts w:ascii="Times New Roman" w:hAnsi="Times New Roman" w:eastAsia="Times New Roman" w:cs="Times New Roman"/>
          <w:sz w:val="24"/>
          <w:szCs w:val="24"/>
        </w:rPr>
        <w:t>[Preprint]. arXiv.</w:t>
      </w:r>
    </w:p>
    <w:p>
      <w:pPr>
        <w:spacing w:line="480" w:lineRule="auto" w:before="0" w:after="0"/>
        <w:ind w:left="720" w:hanging="720"/>
      </w:pPr>
      <w:r>
        <w:rPr>
          <w:rFonts w:ascii="Times New Roman" w:hAnsi="Times New Roman" w:eastAsia="Times New Roman" w:cs="Times New Roman"/>
          <w:sz w:val="24"/>
          <w:szCs w:val="24"/>
        </w:rPr>
        <w:t xml:space="preserve">Luo, Y., Zhao, X., Liu, B., &amp; He, S. (2024). </w:t>
      </w:r>
      <w:r>
        <w:rPr>
          <w:rFonts w:ascii="Times New Roman" w:hAnsi="Times New Roman" w:eastAsia="Times New Roman" w:cs="Times New Roman"/>
          <w:sz w:val="24"/>
          <w:szCs w:val="24"/>
        </w:rPr>
        <w:t xml:space="preserve">Condition-based maintenance policy for systems under dynamic environment.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246</w:t>
      </w:r>
      <w:r>
        <w:rPr>
          <w:rFonts w:ascii="Times New Roman" w:hAnsi="Times New Roman" w:eastAsia="Times New Roman" w:cs="Times New Roman"/>
          <w:sz w:val="24"/>
          <w:szCs w:val="24"/>
        </w:rPr>
        <w:t>, 110072.</w:t>
      </w:r>
      <w:r>
        <w:rPr>
          <w:rFonts w:ascii="Times New Roman" w:hAnsi="Times New Roman" w:eastAsia="Times New Roman" w:cs="Times New Roman"/>
          <w:sz w:val="24"/>
          <w:szCs w:val="24"/>
        </w:rPr>
        <w:t xml:space="preserve"> https://doi.org/10.1016/j.ress.2024.110072</w:t>
      </w:r>
    </w:p>
    <w:p>
      <w:pPr>
        <w:spacing w:line="480" w:lineRule="auto" w:before="0" w:after="0"/>
        <w:ind w:left="720" w:hanging="720"/>
      </w:pPr>
      <w:r>
        <w:rPr>
          <w:rFonts w:ascii="Times New Roman" w:hAnsi="Times New Roman" w:eastAsia="Times New Roman" w:cs="Times New Roman"/>
          <w:sz w:val="24"/>
          <w:szCs w:val="24"/>
        </w:rPr>
        <w:t xml:space="preserve">Luo, Z., Lian, Z., Li, J., &amp; Yang, Z. (2025). </w:t>
      </w:r>
      <w:r>
        <w:rPr>
          <w:rFonts w:ascii="Times New Roman" w:hAnsi="Times New Roman" w:eastAsia="Times New Roman" w:cs="Times New Roman"/>
          <w:sz w:val="24"/>
          <w:szCs w:val="24"/>
        </w:rPr>
        <w:t xml:space="preserve">Maintenance strategies for a queueing system with a standby equipment: An integrated approach using condition-based monitoring.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263</w:t>
      </w:r>
      <w:r>
        <w:rPr>
          <w:rFonts w:ascii="Times New Roman" w:hAnsi="Times New Roman" w:eastAsia="Times New Roman" w:cs="Times New Roman"/>
          <w:sz w:val="24"/>
          <w:szCs w:val="24"/>
        </w:rPr>
        <w:t>, 111219.</w:t>
      </w:r>
      <w:r>
        <w:rPr>
          <w:rFonts w:ascii="Times New Roman" w:hAnsi="Times New Roman" w:eastAsia="Times New Roman" w:cs="Times New Roman"/>
          <w:sz w:val="24"/>
          <w:szCs w:val="24"/>
        </w:rPr>
        <w:t xml:space="preserve"> https://doi.org/10.1016/j.ress.2025.111219</w:t>
      </w:r>
    </w:p>
    <w:p>
      <w:pPr>
        <w:spacing w:line="480" w:lineRule="auto" w:before="0" w:after="0"/>
        <w:ind w:left="720" w:hanging="720"/>
      </w:pPr>
      <w:r>
        <w:rPr>
          <w:rFonts w:ascii="Times New Roman" w:hAnsi="Times New Roman" w:eastAsia="Times New Roman" w:cs="Times New Roman"/>
          <w:sz w:val="24"/>
          <w:szCs w:val="24"/>
        </w:rPr>
        <w:t xml:space="preserve">Meller, R. D., &amp; Kim, D. S. (1996). </w:t>
      </w:r>
      <w:r>
        <w:rPr>
          <w:rFonts w:ascii="Times New Roman" w:hAnsi="Times New Roman" w:eastAsia="Times New Roman" w:cs="Times New Roman"/>
          <w:sz w:val="24"/>
          <w:szCs w:val="24"/>
        </w:rPr>
        <w:t xml:space="preserve">The impact of preventive maintenance on system cost and buffer size.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95</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577–591.</w:t>
      </w:r>
      <w:r>
        <w:rPr>
          <w:rFonts w:ascii="Times New Roman" w:hAnsi="Times New Roman" w:eastAsia="Times New Roman" w:cs="Times New Roman"/>
          <w:sz w:val="24"/>
          <w:szCs w:val="24"/>
        </w:rPr>
        <w:t xml:space="preserve"> https://doi.org/10.1016/0377-2217(95)00313-4</w:t>
      </w:r>
    </w:p>
    <w:p>
      <w:pPr>
        <w:spacing w:line="480" w:lineRule="auto" w:before="0" w:after="0"/>
        <w:ind w:left="720" w:hanging="720"/>
      </w:pPr>
      <w:r>
        <w:rPr>
          <w:rFonts w:ascii="Times New Roman" w:hAnsi="Times New Roman" w:eastAsia="Times New Roman" w:cs="Times New Roman"/>
          <w:sz w:val="24"/>
          <w:szCs w:val="24"/>
        </w:rPr>
        <w:t xml:space="preserve">Nahas, N. (2017). </w:t>
      </w:r>
      <w:r>
        <w:rPr>
          <w:rFonts w:ascii="Times New Roman" w:hAnsi="Times New Roman" w:eastAsia="Times New Roman" w:cs="Times New Roman"/>
          <w:sz w:val="24"/>
          <w:szCs w:val="24"/>
        </w:rPr>
        <w:t xml:space="preserve">Buffer allocation and preventive maintenance optimization in unreliable production lines. </w:t>
      </w:r>
      <w:r>
        <w:rPr>
          <w:rFonts w:ascii="Times New Roman" w:hAnsi="Times New Roman" w:eastAsia="Times New Roman" w:cs="Times New Roman"/>
          <w:sz w:val="24"/>
          <w:szCs w:val="24"/>
          <w:i/>
        </w:rPr>
        <w:t xml:space="preserve">Journal of Intelligent Manufacturing, </w:t>
      </w:r>
      <w:r>
        <w:rPr>
          <w:rFonts w:ascii="Times New Roman" w:hAnsi="Times New Roman" w:eastAsia="Times New Roman" w:cs="Times New Roman"/>
          <w:sz w:val="24"/>
          <w:szCs w:val="24"/>
          <w:i/>
        </w:rPr>
        <w:t>28</w:t>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t>, 85–93.</w:t>
      </w:r>
      <w:r>
        <w:rPr>
          <w:rFonts w:ascii="Times New Roman" w:hAnsi="Times New Roman" w:eastAsia="Times New Roman" w:cs="Times New Roman"/>
          <w:sz w:val="24"/>
          <w:szCs w:val="24"/>
        </w:rPr>
        <w:t xml:space="preserve"> https://doi.org/10.1007/s10845-014-0963-y</w:t>
      </w:r>
    </w:p>
    <w:p>
      <w:pPr>
        <w:spacing w:line="480" w:lineRule="auto" w:before="0" w:after="0"/>
        <w:ind w:left="720" w:hanging="720"/>
      </w:pPr>
      <w:r>
        <w:rPr>
          <w:rFonts w:ascii="Times New Roman" w:hAnsi="Times New Roman" w:eastAsia="Times New Roman" w:cs="Times New Roman"/>
          <w:sz w:val="24"/>
          <w:szCs w:val="24"/>
        </w:rPr>
        <w:t xml:space="preserve">Proschan, F. (1963). </w:t>
      </w:r>
      <w:r>
        <w:rPr>
          <w:rFonts w:ascii="Times New Roman" w:hAnsi="Times New Roman" w:eastAsia="Times New Roman" w:cs="Times New Roman"/>
          <w:sz w:val="24"/>
          <w:szCs w:val="24"/>
        </w:rPr>
        <w:t xml:space="preserve">Theoretical explanation of observed decreasing failure rate. </w:t>
      </w:r>
      <w:r>
        <w:rPr>
          <w:rFonts w:ascii="Times New Roman" w:hAnsi="Times New Roman" w:eastAsia="Times New Roman" w:cs="Times New Roman"/>
          <w:sz w:val="24"/>
          <w:szCs w:val="24"/>
          <w:i/>
        </w:rPr>
        <w:t xml:space="preserve">Technometrics, </w:t>
      </w:r>
      <w:r>
        <w:rPr>
          <w:rFonts w:ascii="Times New Roman" w:hAnsi="Times New Roman" w:eastAsia="Times New Roman" w:cs="Times New Roman"/>
          <w:sz w:val="24"/>
          <w:szCs w:val="24"/>
          <w:i/>
        </w:rPr>
        <w:t>5</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375–383.</w:t>
      </w:r>
      <w:r>
        <w:rPr>
          <w:rFonts w:ascii="Times New Roman" w:hAnsi="Times New Roman" w:eastAsia="Times New Roman" w:cs="Times New Roman"/>
          <w:sz w:val="24"/>
          <w:szCs w:val="24"/>
        </w:rPr>
        <w:t xml:space="preserve"> https://doi.org/10.1080/00401706.1963.10490105</w:t>
      </w:r>
    </w:p>
    <w:p>
      <w:pPr>
        <w:spacing w:line="480" w:lineRule="auto" w:before="0" w:after="0"/>
        <w:ind w:left="720" w:hanging="720"/>
      </w:pPr>
      <w:r>
        <w:rPr>
          <w:rFonts w:ascii="Times New Roman" w:hAnsi="Times New Roman" w:eastAsia="Times New Roman" w:cs="Times New Roman"/>
          <w:sz w:val="24"/>
          <w:szCs w:val="24"/>
        </w:rPr>
        <w:t xml:space="preserve">Puterman, M. L. (1994). </w:t>
      </w:r>
      <w:r>
        <w:rPr>
          <w:rFonts w:ascii="Times New Roman" w:hAnsi="Times New Roman" w:eastAsia="Times New Roman" w:cs="Times New Roman"/>
          <w:sz w:val="24"/>
          <w:szCs w:val="24"/>
          <w:i/>
        </w:rPr>
        <w:t>Markov decision processes: Discrete stochastic dynamic programming.</w:t>
      </w:r>
      <w:r>
        <w:rPr>
          <w:rFonts w:ascii="Times New Roman" w:hAnsi="Times New Roman" w:eastAsia="Times New Roman" w:cs="Times New Roman"/>
          <w:sz w:val="24"/>
          <w:szCs w:val="24"/>
        </w:rPr>
        <w:t xml:space="preserve"> Wiley-Interscience.</w:t>
      </w:r>
    </w:p>
    <w:p>
      <w:pPr>
        <w:spacing w:line="480" w:lineRule="auto" w:before="0" w:after="0"/>
        <w:ind w:left="720" w:hanging="720"/>
      </w:pPr>
      <w:r>
        <w:rPr>
          <w:rFonts w:ascii="Times New Roman" w:hAnsi="Times New Roman" w:eastAsia="Times New Roman" w:cs="Times New Roman"/>
          <w:sz w:val="24"/>
          <w:szCs w:val="24"/>
        </w:rPr>
        <w:t xml:space="preserve">Seshadri, V. (1999). </w:t>
      </w:r>
      <w:r>
        <w:rPr>
          <w:rFonts w:ascii="Times New Roman" w:hAnsi="Times New Roman" w:eastAsia="Times New Roman" w:cs="Times New Roman"/>
          <w:sz w:val="24"/>
          <w:szCs w:val="24"/>
          <w:i/>
        </w:rPr>
        <w:t>The inverse Gaussian distribution: Statistical theory and applications.</w:t>
      </w:r>
      <w:r>
        <w:rPr>
          <w:rFonts w:ascii="Times New Roman" w:hAnsi="Times New Roman" w:eastAsia="Times New Roman" w:cs="Times New Roman"/>
          <w:sz w:val="24"/>
          <w:szCs w:val="24"/>
        </w:rPr>
        <w:t xml:space="preserve"> Springer.</w:t>
      </w:r>
    </w:p>
    <w:p>
      <w:pPr>
        <w:spacing w:line="480" w:lineRule="auto" w:before="0" w:after="0"/>
        <w:ind w:left="720" w:hanging="720"/>
      </w:pPr>
      <w:r>
        <w:rPr>
          <w:rFonts w:ascii="Times New Roman" w:hAnsi="Times New Roman" w:eastAsia="Times New Roman" w:cs="Times New Roman"/>
          <w:sz w:val="24"/>
          <w:szCs w:val="24"/>
        </w:rPr>
        <w:t xml:space="preserve">Snyder, L. V., Atan, Z., Peng, P., Rong, Y., Schmitt, A. J., &amp; Sinsoysal, B. (2016). </w:t>
      </w:r>
      <w:r>
        <w:rPr>
          <w:rFonts w:ascii="Times New Roman" w:hAnsi="Times New Roman" w:eastAsia="Times New Roman" w:cs="Times New Roman"/>
          <w:sz w:val="24"/>
          <w:szCs w:val="24"/>
        </w:rPr>
        <w:t xml:space="preserve">OR/MS models for supply chain disruptions: A review. </w:t>
      </w:r>
      <w:r>
        <w:rPr>
          <w:rFonts w:ascii="Times New Roman" w:hAnsi="Times New Roman" w:eastAsia="Times New Roman" w:cs="Times New Roman"/>
          <w:sz w:val="24"/>
          <w:szCs w:val="24"/>
          <w:i/>
        </w:rPr>
        <w:t xml:space="preserve">IIE Transactions, </w:t>
      </w:r>
      <w:r>
        <w:rPr>
          <w:rFonts w:ascii="Times New Roman" w:hAnsi="Times New Roman" w:eastAsia="Times New Roman" w:cs="Times New Roman"/>
          <w:sz w:val="24"/>
          <w:szCs w:val="24"/>
          <w:i/>
        </w:rPr>
        <w:t>48</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89–109.</w:t>
      </w:r>
      <w:r>
        <w:rPr>
          <w:rFonts w:ascii="Times New Roman" w:hAnsi="Times New Roman" w:eastAsia="Times New Roman" w:cs="Times New Roman"/>
          <w:sz w:val="24"/>
          <w:szCs w:val="24"/>
        </w:rPr>
        <w:t xml:space="preserve"> https://doi.org/10.1080/0740817X.2015.1067735</w:t>
      </w:r>
    </w:p>
    <w:p>
      <w:pPr>
        <w:spacing w:line="480" w:lineRule="auto" w:before="0" w:after="0"/>
        <w:ind w:left="720" w:hanging="720"/>
      </w:pPr>
      <w:r>
        <w:rPr>
          <w:rFonts w:ascii="Times New Roman" w:hAnsi="Times New Roman" w:eastAsia="Times New Roman" w:cs="Times New Roman"/>
          <w:sz w:val="24"/>
          <w:szCs w:val="24"/>
        </w:rPr>
        <w:t xml:space="preserve">Sun, T., &amp; Vatn, J. (2024). </w:t>
      </w:r>
      <w:r>
        <w:rPr>
          <w:rFonts w:ascii="Times New Roman" w:hAnsi="Times New Roman" w:eastAsia="Times New Roman" w:cs="Times New Roman"/>
          <w:sz w:val="24"/>
          <w:szCs w:val="24"/>
        </w:rPr>
        <w:t xml:space="preserve">A phase-type maintenance model considering condition-based inspections and maintenance delays.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243</w:t>
      </w:r>
      <w:r>
        <w:rPr>
          <w:rFonts w:ascii="Times New Roman" w:hAnsi="Times New Roman" w:eastAsia="Times New Roman" w:cs="Times New Roman"/>
          <w:sz w:val="24"/>
          <w:szCs w:val="24"/>
        </w:rPr>
        <w:t>, 109836.</w:t>
      </w:r>
      <w:r>
        <w:rPr>
          <w:rFonts w:ascii="Times New Roman" w:hAnsi="Times New Roman" w:eastAsia="Times New Roman" w:cs="Times New Roman"/>
          <w:sz w:val="24"/>
          <w:szCs w:val="24"/>
        </w:rPr>
        <w:t xml:space="preserve"> https://doi.org/10.1016/j.ress.2023.109836</w:t>
      </w:r>
    </w:p>
    <w:p>
      <w:pPr>
        <w:spacing w:line="480" w:lineRule="auto" w:before="0" w:after="0"/>
        <w:ind w:left="720" w:hanging="720"/>
      </w:pPr>
      <w:r>
        <w:rPr>
          <w:rFonts w:ascii="Times New Roman" w:hAnsi="Times New Roman" w:eastAsia="Times New Roman" w:cs="Times New Roman"/>
          <w:sz w:val="24"/>
          <w:szCs w:val="24"/>
        </w:rPr>
        <w:t xml:space="preserve">Tijms, H. C. (2003). </w:t>
      </w:r>
      <w:r>
        <w:rPr>
          <w:rFonts w:ascii="Times New Roman" w:hAnsi="Times New Roman" w:eastAsia="Times New Roman" w:cs="Times New Roman"/>
          <w:sz w:val="24"/>
          <w:szCs w:val="24"/>
          <w:i/>
        </w:rPr>
        <w:t>A first course in stochastic models.</w:t>
      </w:r>
      <w:r>
        <w:rPr>
          <w:rFonts w:ascii="Times New Roman" w:hAnsi="Times New Roman" w:eastAsia="Times New Roman" w:cs="Times New Roman"/>
          <w:sz w:val="24"/>
          <w:szCs w:val="24"/>
        </w:rPr>
        <w:t xml:space="preserve"> Wiley.</w:t>
      </w:r>
    </w:p>
    <w:p>
      <w:pPr>
        <w:spacing w:line="480" w:lineRule="auto" w:before="0" w:after="0"/>
        <w:ind w:left="720" w:hanging="720"/>
      </w:pPr>
      <w:r>
        <w:rPr>
          <w:rFonts w:ascii="Times New Roman" w:hAnsi="Times New Roman" w:eastAsia="Times New Roman" w:cs="Times New Roman"/>
          <w:sz w:val="24"/>
          <w:szCs w:val="24"/>
        </w:rPr>
        <w:t xml:space="preserve">Tomlin, B. (2006). </w:t>
      </w:r>
      <w:r>
        <w:rPr>
          <w:rFonts w:ascii="Times New Roman" w:hAnsi="Times New Roman" w:eastAsia="Times New Roman" w:cs="Times New Roman"/>
          <w:sz w:val="24"/>
          <w:szCs w:val="24"/>
        </w:rPr>
        <w:t xml:space="preserve">On the value of mitigation and contingency strategies for managing supply chain disruption risks. </w:t>
      </w:r>
      <w:r>
        <w:rPr>
          <w:rFonts w:ascii="Times New Roman" w:hAnsi="Times New Roman" w:eastAsia="Times New Roman" w:cs="Times New Roman"/>
          <w:sz w:val="24"/>
          <w:szCs w:val="24"/>
          <w:i/>
        </w:rPr>
        <w:t xml:space="preserve">Management Science, </w:t>
      </w:r>
      <w:r>
        <w:rPr>
          <w:rFonts w:ascii="Times New Roman" w:hAnsi="Times New Roman" w:eastAsia="Times New Roman" w:cs="Times New Roman"/>
          <w:sz w:val="24"/>
          <w:szCs w:val="24"/>
          <w:i/>
        </w:rPr>
        <w:t>52</w:t>
      </w:r>
      <w:r>
        <w:rPr>
          <w:rFonts w:ascii="Times New Roman" w:hAnsi="Times New Roman" w:eastAsia="Times New Roman" w:cs="Times New Roman"/>
          <w:sz w:val="24"/>
          <w:szCs w:val="24"/>
        </w:rPr>
        <w:t>(5)</w:t>
      </w:r>
      <w:r>
        <w:rPr>
          <w:rFonts w:ascii="Times New Roman" w:hAnsi="Times New Roman" w:eastAsia="Times New Roman" w:cs="Times New Roman"/>
          <w:sz w:val="24"/>
          <w:szCs w:val="24"/>
        </w:rPr>
        <w:t>, 639–657.</w:t>
      </w:r>
      <w:r>
        <w:rPr>
          <w:rFonts w:ascii="Times New Roman" w:hAnsi="Times New Roman" w:eastAsia="Times New Roman" w:cs="Times New Roman"/>
          <w:sz w:val="24"/>
          <w:szCs w:val="24"/>
        </w:rPr>
        <w:t xml:space="preserve"> https://doi.org/10.1287/mnsc.1060.0515</w:t>
      </w:r>
    </w:p>
    <w:p>
      <w:pPr>
        <w:spacing w:line="480" w:lineRule="auto" w:before="0" w:after="0"/>
        <w:ind w:left="720" w:hanging="720"/>
      </w:pPr>
      <w:r>
        <w:rPr>
          <w:rFonts w:ascii="Times New Roman" w:hAnsi="Times New Roman" w:eastAsia="Times New Roman" w:cs="Times New Roman"/>
          <w:sz w:val="24"/>
          <w:szCs w:val="24"/>
        </w:rPr>
        <w:t xml:space="preserve">van der Duyn Schouten, F. A., &amp; Vanneste, S. G. (1995). </w:t>
      </w:r>
      <w:r>
        <w:rPr>
          <w:rFonts w:ascii="Times New Roman" w:hAnsi="Times New Roman" w:eastAsia="Times New Roman" w:cs="Times New Roman"/>
          <w:sz w:val="24"/>
          <w:szCs w:val="24"/>
        </w:rPr>
        <w:t xml:space="preserve">Maintenance optimization of a production system with buffer capacity.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82</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323–338.</w:t>
      </w:r>
      <w:r>
        <w:rPr>
          <w:rFonts w:ascii="Times New Roman" w:hAnsi="Times New Roman" w:eastAsia="Times New Roman" w:cs="Times New Roman"/>
          <w:sz w:val="24"/>
          <w:szCs w:val="24"/>
        </w:rPr>
        <w:t xml:space="preserve"> https://doi.org/10.1016/0377-2217(94)00266-F</w:t>
      </w:r>
    </w:p>
    <w:p>
      <w:pPr>
        <w:spacing w:line="480" w:lineRule="auto" w:before="0" w:after="0"/>
        <w:ind w:left="720" w:hanging="720"/>
      </w:pPr>
      <w:r>
        <w:rPr>
          <w:rFonts w:ascii="Times New Roman" w:hAnsi="Times New Roman" w:eastAsia="Times New Roman" w:cs="Times New Roman"/>
          <w:sz w:val="24"/>
          <w:szCs w:val="24"/>
        </w:rPr>
        <w:t xml:space="preserve">Wang, H. (2002). </w:t>
      </w:r>
      <w:r>
        <w:rPr>
          <w:rFonts w:ascii="Times New Roman" w:hAnsi="Times New Roman" w:eastAsia="Times New Roman" w:cs="Times New Roman"/>
          <w:sz w:val="24"/>
          <w:szCs w:val="24"/>
        </w:rPr>
        <w:t xml:space="preserve">A survey of maintenance policies of deteriorating systems. </w:t>
      </w:r>
      <w:r>
        <w:rPr>
          <w:rFonts w:ascii="Times New Roman" w:hAnsi="Times New Roman" w:eastAsia="Times New Roman" w:cs="Times New Roman"/>
          <w:sz w:val="24"/>
          <w:szCs w:val="24"/>
          <w:i/>
        </w:rPr>
        <w:t xml:space="preserve">European Journal of Operational Research, </w:t>
      </w:r>
      <w:r>
        <w:rPr>
          <w:rFonts w:ascii="Times New Roman" w:hAnsi="Times New Roman" w:eastAsia="Times New Roman" w:cs="Times New Roman"/>
          <w:sz w:val="24"/>
          <w:szCs w:val="24"/>
          <w:i/>
        </w:rPr>
        <w:t>139</w:t>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t>, 469–489.</w:t>
      </w:r>
      <w:r>
        <w:rPr>
          <w:rFonts w:ascii="Times New Roman" w:hAnsi="Times New Roman" w:eastAsia="Times New Roman" w:cs="Times New Roman"/>
          <w:sz w:val="24"/>
          <w:szCs w:val="24"/>
        </w:rPr>
        <w:t xml:space="preserve"> https://doi.org/10.1016/S0377-2217(01)00197-7</w:t>
      </w:r>
    </w:p>
    <w:p>
      <w:pPr>
        <w:spacing w:line="480" w:lineRule="auto" w:before="0" w:after="0"/>
        <w:ind w:left="720" w:hanging="720"/>
      </w:pPr>
      <w:r>
        <w:rPr>
          <w:rFonts w:ascii="Times New Roman" w:hAnsi="Times New Roman" w:eastAsia="Times New Roman" w:cs="Times New Roman"/>
          <w:sz w:val="24"/>
          <w:szCs w:val="24"/>
        </w:rPr>
        <w:t xml:space="preserve">Whitt, W. (2002). </w:t>
      </w:r>
      <w:r>
        <w:rPr>
          <w:rFonts w:ascii="Times New Roman" w:hAnsi="Times New Roman" w:eastAsia="Times New Roman" w:cs="Times New Roman"/>
          <w:sz w:val="24"/>
          <w:szCs w:val="24"/>
          <w:i/>
        </w:rPr>
        <w:t>Stochastic-process limits.</w:t>
      </w:r>
      <w:r>
        <w:rPr>
          <w:rFonts w:ascii="Times New Roman" w:hAnsi="Times New Roman" w:eastAsia="Times New Roman" w:cs="Times New Roman"/>
          <w:sz w:val="24"/>
          <w:szCs w:val="24"/>
        </w:rPr>
        <w:t xml:space="preserve"> Springer.</w:t>
      </w:r>
    </w:p>
    <w:p>
      <w:pPr>
        <w:spacing w:line="480" w:lineRule="auto" w:before="0" w:after="0"/>
        <w:ind w:left="720" w:hanging="720"/>
      </w:pPr>
      <w:r>
        <w:rPr>
          <w:rFonts w:ascii="Times New Roman" w:hAnsi="Times New Roman" w:eastAsia="Times New Roman" w:cs="Times New Roman"/>
          <w:sz w:val="24"/>
          <w:szCs w:val="24"/>
        </w:rPr>
        <w:t xml:space="preserve">Yao, X., Xie, X., Fu, M. C., &amp; Marcus, S. I. (2005). </w:t>
      </w:r>
      <w:r>
        <w:rPr>
          <w:rFonts w:ascii="Times New Roman" w:hAnsi="Times New Roman" w:eastAsia="Times New Roman" w:cs="Times New Roman"/>
          <w:sz w:val="24"/>
          <w:szCs w:val="24"/>
        </w:rPr>
        <w:t xml:space="preserve">Optimal joint preventive maintenance and production policies. </w:t>
      </w:r>
      <w:r>
        <w:rPr>
          <w:rFonts w:ascii="Times New Roman" w:hAnsi="Times New Roman" w:eastAsia="Times New Roman" w:cs="Times New Roman"/>
          <w:sz w:val="24"/>
          <w:szCs w:val="24"/>
          <w:i/>
        </w:rPr>
        <w:t xml:space="preserve">Naval Research Logistics, </w:t>
      </w:r>
      <w:r>
        <w:rPr>
          <w:rFonts w:ascii="Times New Roman" w:hAnsi="Times New Roman" w:eastAsia="Times New Roman" w:cs="Times New Roman"/>
          <w:sz w:val="24"/>
          <w:szCs w:val="24"/>
          <w:i/>
        </w:rPr>
        <w:t>52</w:t>
      </w:r>
      <w:r>
        <w:rPr>
          <w:rFonts w:ascii="Times New Roman" w:hAnsi="Times New Roman" w:eastAsia="Times New Roman" w:cs="Times New Roman"/>
          <w:sz w:val="24"/>
          <w:szCs w:val="24"/>
        </w:rPr>
        <w:t>(7)</w:t>
      </w:r>
      <w:r>
        <w:rPr>
          <w:rFonts w:ascii="Times New Roman" w:hAnsi="Times New Roman" w:eastAsia="Times New Roman" w:cs="Times New Roman"/>
          <w:sz w:val="24"/>
          <w:szCs w:val="24"/>
        </w:rPr>
        <w:t>, 668–681.</w:t>
      </w:r>
      <w:r>
        <w:rPr>
          <w:rFonts w:ascii="Times New Roman" w:hAnsi="Times New Roman" w:eastAsia="Times New Roman" w:cs="Times New Roman"/>
          <w:sz w:val="24"/>
          <w:szCs w:val="24"/>
        </w:rPr>
        <w:t xml:space="preserve"> https://doi.org/10.1002/nav.20107</w:t>
      </w:r>
    </w:p>
    <w:p>
      <w:pPr>
        <w:spacing w:line="480" w:lineRule="auto" w:before="0" w:after="0"/>
        <w:ind w:left="720" w:hanging="720"/>
      </w:pPr>
      <w:r>
        <w:rPr>
          <w:rFonts w:ascii="Times New Roman" w:hAnsi="Times New Roman" w:eastAsia="Times New Roman" w:cs="Times New Roman"/>
          <w:sz w:val="24"/>
          <w:szCs w:val="24"/>
        </w:rPr>
        <w:t xml:space="preserve">Zequeira, R. I., Valdés, J. E., &amp; Bérenguer, C. (2008). </w:t>
      </w:r>
      <w:r>
        <w:rPr>
          <w:rFonts w:ascii="Times New Roman" w:hAnsi="Times New Roman" w:eastAsia="Times New Roman" w:cs="Times New Roman"/>
          <w:sz w:val="24"/>
          <w:szCs w:val="24"/>
        </w:rPr>
        <w:t xml:space="preserve">Optimal buffer inventory and opportunistic preventive maintenance under random production capacity availability. </w:t>
      </w:r>
      <w:r>
        <w:rPr>
          <w:rFonts w:ascii="Times New Roman" w:hAnsi="Times New Roman" w:eastAsia="Times New Roman" w:cs="Times New Roman"/>
          <w:sz w:val="24"/>
          <w:szCs w:val="24"/>
          <w:i/>
        </w:rPr>
        <w:t xml:space="preserve">International Journal of Production Economics, </w:t>
      </w:r>
      <w:r>
        <w:rPr>
          <w:rFonts w:ascii="Times New Roman" w:hAnsi="Times New Roman" w:eastAsia="Times New Roman" w:cs="Times New Roman"/>
          <w:sz w:val="24"/>
          <w:szCs w:val="24"/>
          <w:i/>
        </w:rPr>
        <w:t>111</w:t>
      </w:r>
      <w:r>
        <w:rPr>
          <w:rFonts w:ascii="Times New Roman" w:hAnsi="Times New Roman" w:eastAsia="Times New Roman" w:cs="Times New Roman"/>
          <w:sz w:val="24"/>
          <w:szCs w:val="24"/>
        </w:rPr>
        <w:t>(2)</w:t>
      </w:r>
      <w:r>
        <w:rPr>
          <w:rFonts w:ascii="Times New Roman" w:hAnsi="Times New Roman" w:eastAsia="Times New Roman" w:cs="Times New Roman"/>
          <w:sz w:val="24"/>
          <w:szCs w:val="24"/>
        </w:rPr>
        <w:t>, 686–696.</w:t>
      </w:r>
      <w:r>
        <w:rPr>
          <w:rFonts w:ascii="Times New Roman" w:hAnsi="Times New Roman" w:eastAsia="Times New Roman" w:cs="Times New Roman"/>
          <w:sz w:val="24"/>
          <w:szCs w:val="24"/>
        </w:rPr>
        <w:t xml:space="preserve"> https://doi.org/10.1016/j.ijpe.2007.02.037</w:t>
      </w:r>
    </w:p>
    <w:p>
      <w:pPr>
        <w:spacing w:line="480" w:lineRule="auto" w:before="0" w:after="0"/>
        <w:ind w:left="720" w:hanging="720"/>
      </w:pPr>
      <w:r>
        <w:rPr>
          <w:rFonts w:ascii="Times New Roman" w:hAnsi="Times New Roman" w:eastAsia="Times New Roman" w:cs="Times New Roman"/>
          <w:sz w:val="24"/>
          <w:szCs w:val="24"/>
        </w:rPr>
        <w:t xml:space="preserve">Zhang, W., Zhang, X., He, S., Zhao, X., &amp; He, Z. (2024). </w:t>
      </w:r>
      <w:r>
        <w:rPr>
          <w:rFonts w:ascii="Times New Roman" w:hAnsi="Times New Roman" w:eastAsia="Times New Roman" w:cs="Times New Roman"/>
          <w:sz w:val="24"/>
          <w:szCs w:val="24"/>
        </w:rPr>
        <w:t xml:space="preserve">Optimal condition-based maintenance policy for multi-component repairable systems with economic dependence in a finite-horizon.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241</w:t>
      </w:r>
      <w:r>
        <w:rPr>
          <w:rFonts w:ascii="Times New Roman" w:hAnsi="Times New Roman" w:eastAsia="Times New Roman" w:cs="Times New Roman"/>
          <w:sz w:val="24"/>
          <w:szCs w:val="24"/>
        </w:rPr>
        <w:t>, 109612.</w:t>
      </w:r>
      <w:r>
        <w:rPr>
          <w:rFonts w:ascii="Times New Roman" w:hAnsi="Times New Roman" w:eastAsia="Times New Roman" w:cs="Times New Roman"/>
          <w:sz w:val="24"/>
          <w:szCs w:val="24"/>
        </w:rPr>
        <w:t xml:space="preserve"> https://doi.org/10.1016/j.ress.2023.109612</w:t>
      </w:r>
    </w:p>
    <w:p>
      <w:pPr>
        <w:spacing w:line="480" w:lineRule="auto" w:before="0" w:after="0"/>
        <w:ind w:left="720" w:hanging="720"/>
      </w:pPr>
      <w:r>
        <w:rPr>
          <w:rFonts w:ascii="Times New Roman" w:hAnsi="Times New Roman" w:eastAsia="Times New Roman" w:cs="Times New Roman"/>
          <w:sz w:val="24"/>
          <w:szCs w:val="24"/>
        </w:rPr>
        <w:t xml:space="preserve">Zhou, J., Li, Z., Nassif, H., &amp; Coit, D. W. (2025). </w:t>
      </w:r>
      <w:r>
        <w:rPr>
          <w:rFonts w:ascii="Times New Roman" w:hAnsi="Times New Roman" w:eastAsia="Times New Roman" w:cs="Times New Roman"/>
          <w:sz w:val="24"/>
          <w:szCs w:val="24"/>
        </w:rPr>
        <w:t xml:space="preserve">A two-stage Weibull-gamma degradation model with distinct failure mechanism initiation and propagation stages. </w:t>
      </w:r>
      <w:r>
        <w:rPr>
          <w:rFonts w:ascii="Times New Roman" w:hAnsi="Times New Roman" w:eastAsia="Times New Roman" w:cs="Times New Roman"/>
          <w:sz w:val="24"/>
          <w:szCs w:val="24"/>
          <w:i/>
        </w:rPr>
        <w:t xml:space="preserve">Reliability Engineering &amp; System Safety, </w:t>
      </w:r>
      <w:r>
        <w:rPr>
          <w:rFonts w:ascii="Times New Roman" w:hAnsi="Times New Roman" w:eastAsia="Times New Roman" w:cs="Times New Roman"/>
          <w:sz w:val="24"/>
          <w:szCs w:val="24"/>
          <w:i/>
        </w:rPr>
        <w:t>256</w:t>
      </w:r>
      <w:r>
        <w:rPr>
          <w:rFonts w:ascii="Times New Roman" w:hAnsi="Times New Roman" w:eastAsia="Times New Roman" w:cs="Times New Roman"/>
          <w:sz w:val="24"/>
          <w:szCs w:val="24"/>
        </w:rPr>
        <w:t>, 110773.</w:t>
      </w:r>
      <w:r>
        <w:rPr>
          <w:rFonts w:ascii="Times New Roman" w:hAnsi="Times New Roman" w:eastAsia="Times New Roman" w:cs="Times New Roman"/>
          <w:sz w:val="24"/>
          <w:szCs w:val="24"/>
        </w:rPr>
        <w:t xml:space="preserve"> https://doi.org/10.1016/j.ress.2024.110773</w:t>
      </w:r>
    </w:p>
    <w:bookmarkEnd w:id="0"/>
    <w:p ns2:paraId="5079D772">
      <w:pPr>
        <w:keepNext w:val="0"/>
        <w:keepLines w:val="0"/>
        <w:widowControl/>
        <w:suppressLineNumbers w:val="0"/>
        <w:pBdr>
          <w:top w:val="single" w:color="E5E7EB" w:sz="4" w:space="0"/>
          <w:left w:val="single" w:color="E5E7EB" w:sz="2" w:space="0"/>
          <w:bottom w:val="single" w:color="E5E7EB" w:sz="2" w:space="0"/>
          <w:right w:val="single" w:color="E5E7EB" w:sz="2" w:space="0"/>
        </w:pBdr>
        <w:shd w:val="clear" w:fill="FDFCFE"/>
        <w:spacing w:before="600" w:beforeAutospacing="0" w:after="60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ns3:rect id="_x0000_i1035" ns4:spt="1" style="height:1.5pt;width:432pt;" fillcolor="#A0A0A0" filled="t" stroked="f" coordsize="21600,21600" ns4:hr="t" ns4:hrstd="t" ns4:hralign="center">
            <ns3:path/>
            <ns3:fill on="t" focussize="0,0"/>
            <ns3:stroke on="f"/>
            <ns3:imagedata ns4:title=""/>
            <ns4:lock ns3:ext="edit"/>
            <ns5:wrap type="none"/>
            <ns5:anchorlock/>
          </ns3:rect>
        </w:pict>
      </w:r>
    </w:p>
    <w:sectPr>
      <w:pgSz w:w="11906" w:h="16838"/>
      <w:pgMar w:top="1440" w:right="1440" w:bottom="1440" w:left="1440" w:header="720" w:footer="720" w:gutter="0"/>
      <w:cols w:space="720" w:num="1"/>
      <w:docGrid w:linePitch="360" w:charSpace="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4">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8FF49"/>
    <w:multiLevelType w:val="multilevel"/>
    <w:tmpl w:val="AB88F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E420618"/>
    <w:multiLevelType w:val="multilevel"/>
    <w:tmpl w:val="BE4206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3487DDC"/>
    <w:multiLevelType w:val="multilevel"/>
    <w:tmpl w:val="C3487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814CDD2"/>
    <w:multiLevelType w:val="multilevel"/>
    <w:tmpl w:val="C814C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2266906"/>
    <w:multiLevelType w:val="multilevel"/>
    <w:tmpl w:val="D22669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BA3F7B3"/>
    <w:multiLevelType w:val="multilevel"/>
    <w:tmpl w:val="DBA3F7B3"/>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D43B357"/>
    <w:multiLevelType w:val="multilevel"/>
    <w:tmpl w:val="DD43B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51B8FB6"/>
    <w:multiLevelType w:val="multilevel"/>
    <w:tmpl w:val="F51B8F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765C648"/>
    <w:multiLevelType w:val="multilevel"/>
    <w:tmpl w:val="F765C6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B876D85"/>
    <w:multiLevelType w:val="multilevel"/>
    <w:tmpl w:val="FB876D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26C962C"/>
    <w:multiLevelType w:val="multilevel"/>
    <w:tmpl w:val="226C96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4718861"/>
    <w:multiLevelType w:val="multilevel"/>
    <w:tmpl w:val="347188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A8655C0"/>
    <w:multiLevelType w:val="multilevel"/>
    <w:tmpl w:val="4A865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1"/>
  </w:num>
  <w:num w:numId="2">
    <w:abstractNumId w:val="4"/>
  </w:num>
  <w:num w:numId="3">
    <w:abstractNumId w:val="1"/>
  </w:num>
  <w:num w:numId="4">
    <w:abstractNumId w:val="8"/>
  </w:num>
  <w:num w:numId="5">
    <w:abstractNumId w:val="3"/>
  </w:num>
  <w:num w:numId="6">
    <w:abstractNumId w:val="12"/>
  </w:num>
  <w:num w:numId="7">
    <w:abstractNumId w:val="7"/>
  </w:num>
  <w:num w:numId="8">
    <w:abstractNumId w:val="9"/>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0"/>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287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ns1="http://schemas.openxmlformats.org/markup-compatibility/2006" xmlns:w="http://schemas.openxmlformats.org/wordprocessingml/2006/main" ns1:Ignorable="w14">
  <w:docDefaults>
    <w:rPrDefault>
      <w:rPr>
        <w:rFonts w:ascii="Times New Roman" w:hAnsi="Times New Roman" w:eastAsia="Times New Roman" w:cs="Times New Roman"/>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character" w:styleId="9">
    <w:name w:val="Strong"/>
    <w:basedOn w:val="5"/>
    <w:qFormat/>
    <w:uiPriority w:val="0"/>
    <w:rPr>
      <w:b/>
      <w:bCs/>
    </w:rPr>
  </w:style>
  <w:style w:type="paragraph" w:styleId="10">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213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2026-04-29T23:32:54Z</dcterms:created>
  <dc:creator/>
  <cp:lastModifiedBy/>
  <dcterms:modified xsi:type="dcterms:W3CDTF">2026-04-30T04:35:41Z</dcterms:modified>
  <dc:title>Reliability-Based Threshold Control for Near-Critical Capacity-Constrained Systems: Corrected First-Passage Dynamics and Hazard Characterization</dc:title>
  <dc:subject>Double-anonymized manuscript for Computers &amp; Industrial Engineering</dc:subject>
  <dc:description/>
  <cp:keywords>reliability management; condition-based maintenance; threshold policy; first-passage reliability</cp:keywords>
  <cp:category>Research article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KSOTemplateDocerSaveRecord">
    <vt:lpwstr>eyJoZGlkIjoiMTZjNGVhYTBiZDdjNWE5OTRhYzRlZTY4MWQ4MWQxOTUifQ==</vt:lpwstr>
  </property>
  <property fmtid="{D5CDD505-2E9C-101B-9397-08002B2CF9AE}" pid="4" name="ICV">
    <vt:lpwstr>4647E973BA7D45DEB3D871781A534014_12</vt:lpwstr>
  </property>
</Properties>
</file>