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360" w:lineRule="auto" w:before="0" w:after="240"/>
        <w:jc w:val="center"/>
      </w:pPr>
      <w:r>
        <w:rPr>
          <w:rFonts w:ascii="Times New Roman" w:hAnsi="Times New Roman" w:eastAsia="Times New Roman" w:cs="Times New Roman"/>
          <w:sz w:val="32"/>
          <w:szCs w:val="32"/>
          <w:b/>
        </w:rPr>
        <w:t>Highlights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Models disruption-driven collapse as a first-passage reliability problem.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Corrected IG approximation cuts shape-parameter error from 36.0% to 5.0%.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Direct hazard tests show approximate DFR across all feasible configurations.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Threshold intervention reduces long-run cost by up to 22%.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Optimal thresholds remain stable under capacity and demand-rate perturbations.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0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Highlights - Reliability-Based Threshold Control for Near-Critical Capacity-Constrained Systems: Corrected First-Passage Dynamics and Hazard Characterization</dc:title>
  <dc:subject>Highlights for Computers &amp; Industrial Engineering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