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E6F5E" w14:textId="71032BC2"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w:t>
      </w:r>
      <w:proofErr w:type="spellStart"/>
      <w:r w:rsidRPr="009753B7">
        <w:rPr>
          <w:rFonts w:asciiTheme="minorBidi" w:hAnsiTheme="minorBidi" w:cstheme="minorBidi"/>
          <w:u w:val="single"/>
          <w:rtl/>
        </w:rPr>
        <w:t>הייט</w:t>
      </w:r>
      <w:proofErr w:type="spellEnd"/>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7777777" w:rsidR="00272B70" w:rsidRPr="009753B7" w:rsidRDefault="00272B70" w:rsidP="00272B70">
      <w:pPr>
        <w:pStyle w:val="a3"/>
        <w:numPr>
          <w:ilvl w:val="0"/>
          <w:numId w:val="2"/>
        </w:numPr>
        <w:spacing w:line="360" w:lineRule="auto"/>
        <w:ind w:left="379" w:hanging="284"/>
        <w:rPr>
          <w:rFonts w:asciiTheme="minorBidi" w:hAnsiTheme="minorBidi" w:cstheme="minorBidi"/>
        </w:rPr>
      </w:pPr>
    </w:p>
    <w:p w14:paraId="625BBF4A" w14:textId="63F0BB36" w:rsidR="00272B70" w:rsidRPr="009753B7" w:rsidRDefault="00272B70" w:rsidP="00272B70">
      <w:pPr>
        <w:pStyle w:val="a3"/>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3-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במידה ויותר מדי עובדים הזינו את עצמם ליום בשבוע, </w:t>
            </w:r>
            <w:proofErr w:type="spellStart"/>
            <w:r w:rsidRPr="00A532C3">
              <w:rPr>
                <w:rFonts w:asciiTheme="minorBidi" w:hAnsiTheme="minorBidi" w:cstheme="minorBidi"/>
                <w:sz w:val="20"/>
                <w:szCs w:val="20"/>
                <w:rtl/>
              </w:rPr>
              <w:t>המע</w:t>
            </w:r>
            <w:proofErr w:type="spellEnd"/>
            <w:r w:rsidRPr="00A532C3">
              <w:rPr>
                <w:rFonts w:asciiTheme="minorBidi" w:hAnsiTheme="minorBidi" w:cstheme="minorBidi"/>
                <w:sz w:val="20"/>
                <w:szCs w:val="20"/>
                <w:rtl/>
              </w:rPr>
              <w:t>'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lastRenderedPageBreak/>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a3"/>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57120BE">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a3"/>
        <w:spacing w:line="360" w:lineRule="auto"/>
        <w:ind w:left="739"/>
        <w:rPr>
          <w:rFonts w:asciiTheme="minorBidi" w:hAnsiTheme="minorBidi" w:cstheme="minorBidi"/>
          <w:rtl/>
        </w:rPr>
      </w:pPr>
    </w:p>
    <w:p w14:paraId="7B9884D7" w14:textId="5FFFE1DA" w:rsidR="00843019" w:rsidRPr="009753B7" w:rsidRDefault="00843019" w:rsidP="00F638FC">
      <w:pPr>
        <w:pStyle w:val="a3"/>
        <w:spacing w:line="360" w:lineRule="auto"/>
        <w:ind w:left="739"/>
        <w:rPr>
          <w:rFonts w:asciiTheme="minorBidi" w:hAnsiTheme="minorBidi" w:cstheme="minorBidi"/>
          <w:rtl/>
        </w:rPr>
      </w:pPr>
    </w:p>
    <w:p w14:paraId="76885657" w14:textId="67653047" w:rsidR="00843019" w:rsidRPr="009753B7" w:rsidRDefault="00843019" w:rsidP="00F638FC">
      <w:pPr>
        <w:pStyle w:val="a3"/>
        <w:spacing w:line="360" w:lineRule="auto"/>
        <w:ind w:left="739"/>
        <w:rPr>
          <w:rFonts w:asciiTheme="minorBidi" w:hAnsiTheme="minorBidi" w:cstheme="minorBidi"/>
          <w:rtl/>
        </w:rPr>
      </w:pPr>
    </w:p>
    <w:p w14:paraId="2FFA0A8E" w14:textId="2673BF9B" w:rsidR="00843019" w:rsidRPr="009753B7" w:rsidRDefault="00843019" w:rsidP="00F638FC">
      <w:pPr>
        <w:pStyle w:val="a3"/>
        <w:spacing w:line="360" w:lineRule="auto"/>
        <w:ind w:left="739"/>
        <w:rPr>
          <w:rFonts w:asciiTheme="minorBidi" w:hAnsiTheme="minorBidi" w:cstheme="minorBidi"/>
          <w:rtl/>
        </w:rPr>
      </w:pPr>
    </w:p>
    <w:p w14:paraId="418A64DE" w14:textId="754C5E07" w:rsidR="00843019" w:rsidRPr="009753B7" w:rsidRDefault="00843019" w:rsidP="00F638FC">
      <w:pPr>
        <w:pStyle w:val="a3"/>
        <w:spacing w:line="360" w:lineRule="auto"/>
        <w:ind w:left="739"/>
        <w:rPr>
          <w:rFonts w:asciiTheme="minorBidi" w:hAnsiTheme="minorBidi" w:cstheme="minorBidi"/>
          <w:rtl/>
        </w:rPr>
      </w:pPr>
    </w:p>
    <w:p w14:paraId="0DC03A64" w14:textId="228CCDF2" w:rsidR="00843019" w:rsidRPr="009753B7" w:rsidRDefault="00843019" w:rsidP="00F638FC">
      <w:pPr>
        <w:pStyle w:val="a3"/>
        <w:spacing w:line="360" w:lineRule="auto"/>
        <w:ind w:left="739"/>
        <w:rPr>
          <w:rFonts w:asciiTheme="minorBidi" w:hAnsiTheme="minorBidi" w:cstheme="minorBidi"/>
          <w:rtl/>
        </w:rPr>
      </w:pPr>
    </w:p>
    <w:p w14:paraId="0EC5788F" w14:textId="48AECFE7" w:rsidR="00843019" w:rsidRPr="009753B7" w:rsidRDefault="00843019" w:rsidP="00F638FC">
      <w:pPr>
        <w:pStyle w:val="a3"/>
        <w:spacing w:line="360" w:lineRule="auto"/>
        <w:ind w:left="739"/>
        <w:rPr>
          <w:rFonts w:asciiTheme="minorBidi" w:hAnsiTheme="minorBidi" w:cstheme="minorBidi"/>
          <w:rtl/>
        </w:rPr>
      </w:pPr>
    </w:p>
    <w:p w14:paraId="756AB578" w14:textId="30218F8A" w:rsidR="00843019" w:rsidRPr="009753B7" w:rsidRDefault="00843019" w:rsidP="00F638FC">
      <w:pPr>
        <w:pStyle w:val="a3"/>
        <w:spacing w:line="360" w:lineRule="auto"/>
        <w:ind w:left="739"/>
        <w:rPr>
          <w:rFonts w:asciiTheme="minorBidi" w:hAnsiTheme="minorBidi" w:cstheme="minorBidi"/>
          <w:rtl/>
        </w:rPr>
      </w:pPr>
    </w:p>
    <w:tbl>
      <w:tblPr>
        <w:tblStyle w:val="3-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A532C3"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 xml:space="preserve">שיפור </w:t>
            </w:r>
            <w:r w:rsidRPr="00A532C3">
              <w:rPr>
                <w:rFonts w:asciiTheme="minorBidi" w:hAnsiTheme="minorBidi" w:cstheme="minorBidi"/>
                <w:sz w:val="20"/>
                <w:szCs w:val="20"/>
                <w:rtl/>
              </w:rPr>
              <w:t>–</w:t>
            </w:r>
            <w:r w:rsidRPr="00A532C3">
              <w:rPr>
                <w:rFonts w:asciiTheme="minorBidi" w:hAnsiTheme="minorBidi" w:cstheme="minorBidi" w:hint="cs"/>
                <w:sz w:val="20"/>
                <w:szCs w:val="20"/>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6B1F6866" w14:textId="2103F48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עבודה כפולה.</w:t>
            </w:r>
          </w:p>
        </w:tc>
      </w:tr>
      <w:tr w:rsidR="00A532C3" w:rsidRPr="00A532C3"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75B66D79" w14:textId="2FC906A9"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לחץ במשמרת עלול לגרור טעויות אנוש ועיכוב בהזמנה.</w:t>
            </w:r>
          </w:p>
        </w:tc>
        <w:tc>
          <w:tcPr>
            <w:tcW w:w="1532" w:type="pct"/>
            <w:vAlign w:val="center"/>
          </w:tcPr>
          <w:p w14:paraId="7292A9EC" w14:textId="28D0A5FA"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הקלדה ידנית ע"י המוקדנית אלא ע"י הלקוח וכך האחריות מוסרת מהחנות.</w:t>
            </w:r>
          </w:p>
        </w:tc>
      </w:tr>
      <w:tr w:rsidR="00A532C3" w:rsidRPr="00A532C3"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0220B558" w14:textId="4E11418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חוסך לחץ מיותר לעובדי החנות בעת משמרתם.</w:t>
            </w:r>
          </w:p>
        </w:tc>
      </w:tr>
      <w:tr w:rsidR="00A532C3" w:rsidRPr="00A532C3"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745EC90" w14:textId="6AFEBD9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0914FD7" w14:textId="244629B3"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המכירה תתעדכן אוטומטית בחשבונות החנות.</w:t>
            </w:r>
          </w:p>
        </w:tc>
        <w:tc>
          <w:tcPr>
            <w:tcW w:w="1414" w:type="pct"/>
            <w:vAlign w:val="center"/>
          </w:tcPr>
          <w:p w14:paraId="26663F3E" w14:textId="06916B8D"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עצמאות הלקוח בבחירת סל הקניות</w:t>
            </w:r>
          </w:p>
        </w:tc>
      </w:tr>
      <w:tr w:rsidR="00A532C3" w:rsidRPr="00A532C3"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46F29792" w14:textId="1390051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3AD89F6" w14:textId="32BA7804"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לא יאפשר הזנת כתובת מגורים או מיקוד שאינם קיימים.</w:t>
            </w:r>
          </w:p>
        </w:tc>
        <w:tc>
          <w:tcPr>
            <w:tcW w:w="1414" w:type="pct"/>
            <w:vAlign w:val="center"/>
          </w:tcPr>
          <w:p w14:paraId="13929EFA" w14:textId="13D7A7B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חיסכון בזמני המתנה בטלפון.</w:t>
            </w:r>
          </w:p>
        </w:tc>
      </w:tr>
      <w:tr w:rsidR="00A532C3" w:rsidRPr="00A532C3"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6</w:t>
            </w:r>
          </w:p>
        </w:tc>
        <w:tc>
          <w:tcPr>
            <w:tcW w:w="1831" w:type="pct"/>
            <w:vAlign w:val="center"/>
          </w:tcPr>
          <w:p w14:paraId="496FA688"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B5485CC" w14:textId="369B0FF0"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084C49DE"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27E8CE1D" w14:textId="7CFC89C4"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7</w:t>
            </w:r>
          </w:p>
        </w:tc>
        <w:tc>
          <w:tcPr>
            <w:tcW w:w="1831" w:type="pct"/>
            <w:vAlign w:val="center"/>
          </w:tcPr>
          <w:p w14:paraId="2937F259"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2590291" w14:textId="75BF45E6"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הלקוח יכול להיכנס ולבדוק את סטטוס ההזמנה והמשלוח.</w:t>
            </w:r>
          </w:p>
        </w:tc>
        <w:tc>
          <w:tcPr>
            <w:tcW w:w="1414" w:type="pct"/>
            <w:vAlign w:val="center"/>
          </w:tcPr>
          <w:p w14:paraId="0BC46466"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r>
      <w:tr w:rsidR="00A532C3" w:rsidRPr="00A532C3" w14:paraId="37A050C5"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09203D" w14:textId="7F3E296C"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8</w:t>
            </w:r>
          </w:p>
        </w:tc>
        <w:tc>
          <w:tcPr>
            <w:tcW w:w="1831" w:type="pct"/>
            <w:vAlign w:val="center"/>
          </w:tcPr>
          <w:p w14:paraId="692697C7"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0899A269" w14:textId="45E96EFB"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מעדכן באופן אוטומטי ומיידי את מלאי החנות.</w:t>
            </w:r>
          </w:p>
        </w:tc>
        <w:tc>
          <w:tcPr>
            <w:tcW w:w="1414" w:type="pct"/>
            <w:vAlign w:val="center"/>
          </w:tcPr>
          <w:p w14:paraId="08F845F4"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bl>
    <w:p w14:paraId="7B349AD8" w14:textId="5B238948" w:rsidR="00B64B55" w:rsidRPr="009753B7" w:rsidRDefault="00BE7C8C" w:rsidP="00B64B55">
      <w:pPr>
        <w:pStyle w:val="a3"/>
        <w:numPr>
          <w:ilvl w:val="0"/>
          <w:numId w:val="2"/>
        </w:numPr>
        <w:spacing w:line="360" w:lineRule="auto"/>
        <w:ind w:left="379" w:hanging="284"/>
        <w:rPr>
          <w:rFonts w:asciiTheme="minorBidi" w:hAnsiTheme="minorBidi" w:cstheme="minorBidi"/>
        </w:rPr>
      </w:pPr>
      <w:r>
        <w:rPr>
          <w:rFonts w:asciiTheme="minorBidi" w:hAnsiTheme="minorBidi" w:cstheme="minorBidi" w:hint="cs"/>
          <w:rtl/>
        </w:rPr>
        <w:lastRenderedPageBreak/>
        <w:t>מערכת מידע אחת לחנות עם תת מערכות לפי תהליכים עסקיים:</w:t>
      </w:r>
    </w:p>
    <w:p w14:paraId="5AADE2A5" w14:textId="5A449992" w:rsidR="00B64B55" w:rsidRPr="009753B7" w:rsidRDefault="00B64B55" w:rsidP="00BE7C8C">
      <w:pPr>
        <w:pStyle w:val="a3"/>
        <w:numPr>
          <w:ilvl w:val="0"/>
          <w:numId w:val="17"/>
        </w:numPr>
        <w:spacing w:line="360" w:lineRule="auto"/>
        <w:rPr>
          <w:rFonts w:asciiTheme="minorBidi" w:hAnsiTheme="minorBidi" w:cstheme="minorBidi"/>
        </w:rPr>
      </w:pPr>
      <w:r w:rsidRPr="009753B7">
        <w:rPr>
          <w:rFonts w:asciiTheme="minorBidi" w:hAnsiTheme="minorBidi" w:cstheme="minorBidi"/>
          <w:rtl/>
        </w:rPr>
        <w:t xml:space="preserve">תפקודי המערכת הנדרשים לפי </w:t>
      </w:r>
      <w:r w:rsidR="00BE7C8C">
        <w:rPr>
          <w:rFonts w:asciiTheme="minorBidi" w:hAnsiTheme="minorBidi" w:cstheme="minorBidi" w:hint="cs"/>
          <w:rtl/>
        </w:rPr>
        <w:t>ניהול עובדים ומשמרות</w:t>
      </w:r>
      <w:r w:rsidRPr="009753B7">
        <w:rPr>
          <w:rFonts w:asciiTheme="minorBidi" w:hAnsiTheme="minorBidi" w:cstheme="minorBidi"/>
          <w:rtl/>
        </w:rPr>
        <w:t xml:space="preserve"> </w:t>
      </w:r>
      <w:r w:rsidR="00BE7C8C">
        <w:rPr>
          <w:rFonts w:asciiTheme="minorBidi" w:hAnsiTheme="minorBidi" w:cstheme="minorBidi" w:hint="cs"/>
          <w:rtl/>
        </w:rPr>
        <w:t>:</w:t>
      </w:r>
    </w:p>
    <w:p w14:paraId="6C4B21CD" w14:textId="22B8E7E5"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עובד משבץ את עצמו )</w:t>
      </w:r>
    </w:p>
    <w:p w14:paraId="5A25027B"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 עם שעות העבודה של העובדים שתחתיו . </w:t>
      </w:r>
    </w:p>
    <w:p w14:paraId="18309DC8" w14:textId="79D230EF" w:rsidR="00BE7C8C" w:rsidRDefault="00BE7C8C" w:rsidP="0086020F">
      <w:pPr>
        <w:pStyle w:val="a3"/>
        <w:numPr>
          <w:ilvl w:val="0"/>
          <w:numId w:val="18"/>
        </w:numPr>
        <w:spacing w:line="360" w:lineRule="auto"/>
        <w:rPr>
          <w:rFonts w:asciiTheme="minorBidi" w:hAnsiTheme="minorBidi" w:cstheme="minorBidi" w:hint="cs"/>
        </w:rPr>
      </w:pPr>
      <w:r>
        <w:rPr>
          <w:rFonts w:asciiTheme="minorBidi" w:hAnsiTheme="minorBidi" w:cstheme="minorBidi" w:hint="cs"/>
          <w:rtl/>
        </w:rPr>
        <w:t xml:space="preserve">כניסה ויציאה למשמרת ע"י עובד </w:t>
      </w:r>
    </w:p>
    <w:p w14:paraId="4BD2A7DC"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הפקת דו"ח עומסים בחנות(ע"פ מכירות) לעומת כמות עובדים . </w:t>
      </w:r>
    </w:p>
    <w:p w14:paraId="0E43B8FB"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 </w:t>
      </w:r>
    </w:p>
    <w:p w14:paraId="00D9F590" w14:textId="4A699CF7" w:rsidR="00280F12"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שליחת לוח המשמרות לכלל העובדים בעת חתימתה לשבוע הבא (באמצעות מייל ,סמס) </w:t>
      </w:r>
    </w:p>
    <w:p w14:paraId="50B79555" w14:textId="1BBEEFC4" w:rsidR="00BE7C8C" w:rsidRDefault="00BE7C8C" w:rsidP="00BE7C8C">
      <w:pPr>
        <w:pStyle w:val="a3"/>
        <w:numPr>
          <w:ilvl w:val="0"/>
          <w:numId w:val="17"/>
        </w:numPr>
        <w:spacing w:line="360" w:lineRule="auto"/>
        <w:rPr>
          <w:rFonts w:asciiTheme="minorBidi" w:hAnsiTheme="minorBidi" w:cstheme="minorBidi"/>
        </w:rPr>
      </w:pPr>
      <w:r>
        <w:rPr>
          <w:rFonts w:asciiTheme="minorBidi" w:hAnsiTheme="minorBidi" w:cstheme="minorBidi" w:hint="cs"/>
          <w:rtl/>
        </w:rPr>
        <w:t>תפקודי המערכת הנדרשים לניהול מלאי:</w:t>
      </w:r>
    </w:p>
    <w:p w14:paraId="07010620" w14:textId="590255D7" w:rsidR="00BE7C8C" w:rsidRDefault="00663804" w:rsidP="00BE7C8C">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כלל הפריטים סרוקים למערכת </w:t>
      </w:r>
    </w:p>
    <w:p w14:paraId="49A408D3" w14:textId="3FFAC26E" w:rsidR="00663804" w:rsidRDefault="00663804" w:rsidP="00BE7C8C">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p>
    <w:p w14:paraId="14B93CBC" w14:textId="25BEB471" w:rsidR="00663804" w:rsidRDefault="00663804" w:rsidP="00BE7C8C">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סידור המערכת לפי פריטים ולפי הסדר במחסן (נוחות למחסנאי) </w:t>
      </w:r>
    </w:p>
    <w:p w14:paraId="67D22B5D" w14:textId="77777777"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דוח פריטים החסרים במלאי </w:t>
      </w:r>
    </w:p>
    <w:p w14:paraId="342493C4" w14:textId="1E1CF8B3" w:rsidR="00663804" w:rsidRDefault="00663804" w:rsidP="00663804">
      <w:pPr>
        <w:pStyle w:val="a3"/>
        <w:numPr>
          <w:ilvl w:val="0"/>
          <w:numId w:val="19"/>
        </w:numPr>
        <w:spacing w:line="360" w:lineRule="auto"/>
        <w:rPr>
          <w:rFonts w:asciiTheme="minorBidi" w:hAnsiTheme="minorBidi" w:cstheme="minorBidi"/>
        </w:rPr>
      </w:pPr>
      <w:r w:rsidRPr="00663804">
        <w:rPr>
          <w:rFonts w:asciiTheme="minorBidi" w:hAnsiTheme="minorBidi" w:cstheme="minorBidi" w:hint="cs"/>
          <w:rtl/>
        </w:rPr>
        <w:t xml:space="preserve">המערכת מעודכנת ע"פ עונות השנה וחגי ישראל </w:t>
      </w:r>
    </w:p>
    <w:p w14:paraId="587D9F07" w14:textId="696608F3" w:rsidR="00663804" w:rsidRPr="00663804" w:rsidRDefault="00663804" w:rsidP="00663804">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המערכת תפיק רשימת חסרים במלאי </w:t>
      </w:r>
      <w:r>
        <w:rPr>
          <w:rFonts w:asciiTheme="minorBidi" w:hAnsiTheme="minorBidi" w:cstheme="minorBidi" w:hint="cs"/>
          <w:rtl/>
        </w:rPr>
        <w:t>שניתן להעבירה ישירות לספק או לחילופין תשלח מייל לספק להזמנה (באישור המשתמש) .</w:t>
      </w:r>
      <w:r>
        <w:rPr>
          <w:rFonts w:asciiTheme="minorBidi" w:hAnsiTheme="minorBidi" w:cstheme="minorBidi" w:hint="cs"/>
          <w:rtl/>
        </w:rPr>
        <w:t xml:space="preserve"> ויודעת להעריך מה הכמויו</w:t>
      </w:r>
      <w:r>
        <w:rPr>
          <w:rFonts w:asciiTheme="minorBidi" w:hAnsiTheme="minorBidi" w:cstheme="minorBidi" w:hint="eastAsia"/>
          <w:rtl/>
        </w:rPr>
        <w:t>ת</w:t>
      </w:r>
      <w:r>
        <w:rPr>
          <w:rFonts w:asciiTheme="minorBidi" w:hAnsiTheme="minorBidi" w:cstheme="minorBidi" w:hint="cs"/>
          <w:rtl/>
        </w:rPr>
        <w:t xml:space="preserve"> שאותך צריך להזמין  לשבוע הבא.</w:t>
      </w:r>
    </w:p>
    <w:p w14:paraId="4F3486B6" w14:textId="20CEF54D" w:rsidR="00663804" w:rsidRDefault="00663804" w:rsidP="00BE7C8C">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כאשר פריט חסר במלאי המערכת תתריע </w:t>
      </w:r>
    </w:p>
    <w:p w14:paraId="3EA54617" w14:textId="544684D9" w:rsidR="00663804" w:rsidRDefault="00663804" w:rsidP="00BE7C8C">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אופציה להוסיף סוג פריט חדש </w:t>
      </w:r>
    </w:p>
    <w:p w14:paraId="3063616F" w14:textId="66CA1019"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 .</w:t>
      </w:r>
    </w:p>
    <w:p w14:paraId="70D882B2" w14:textId="0444CB5B" w:rsidR="00663804" w:rsidRDefault="00663804" w:rsidP="00663804">
      <w:pPr>
        <w:pStyle w:val="a3"/>
        <w:numPr>
          <w:ilvl w:val="0"/>
          <w:numId w:val="19"/>
        </w:numPr>
        <w:spacing w:line="360" w:lineRule="auto"/>
        <w:rPr>
          <w:rFonts w:asciiTheme="minorBidi" w:hAnsiTheme="minorBidi" w:cstheme="minorBidi" w:hint="cs"/>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/חסרים חריגים</w:t>
      </w:r>
    </w:p>
    <w:p w14:paraId="5A8C6059" w14:textId="6BA890FC" w:rsidR="00663804" w:rsidRDefault="00663804" w:rsidP="00663804">
      <w:pPr>
        <w:pStyle w:val="a3"/>
        <w:numPr>
          <w:ilvl w:val="0"/>
          <w:numId w:val="17"/>
        </w:numPr>
        <w:spacing w:line="360" w:lineRule="auto"/>
        <w:rPr>
          <w:rFonts w:asciiTheme="minorBidi" w:hAnsiTheme="minorBidi" w:cstheme="minorBidi" w:hint="cs"/>
        </w:rPr>
      </w:pPr>
      <w:r>
        <w:rPr>
          <w:rFonts w:asciiTheme="minorBidi" w:hAnsiTheme="minorBidi" w:cstheme="minorBidi" w:hint="cs"/>
          <w:rtl/>
        </w:rPr>
        <w:t>תפקודי המערכת ה</w:t>
      </w:r>
      <w:r w:rsidR="009160F2">
        <w:rPr>
          <w:rFonts w:asciiTheme="minorBidi" w:hAnsiTheme="minorBidi" w:cstheme="minorBidi" w:hint="cs"/>
          <w:rtl/>
        </w:rPr>
        <w:t xml:space="preserve">נדרשים למערך המשלוחים : </w:t>
      </w:r>
    </w:p>
    <w:p w14:paraId="3CCF0F7B" w14:textId="508A67FB" w:rsidR="009160F2" w:rsidRDefault="009160F2" w:rsidP="009160F2">
      <w:pPr>
        <w:pStyle w:val="a3"/>
        <w:numPr>
          <w:ilvl w:val="0"/>
          <w:numId w:val="20"/>
        </w:numPr>
        <w:spacing w:line="360" w:lineRule="auto"/>
        <w:rPr>
          <w:rFonts w:asciiTheme="minorBidi" w:hAnsiTheme="minorBidi" w:cstheme="minorBidi" w:hint="cs"/>
        </w:rPr>
      </w:pPr>
      <w:r>
        <w:rPr>
          <w:rFonts w:asciiTheme="minorBidi" w:hAnsiTheme="minorBidi" w:cstheme="minorBidi" w:hint="cs"/>
          <w:rtl/>
        </w:rPr>
        <w:t xml:space="preserve">אתר מסונכרן למערכת מלאי של החנות </w:t>
      </w:r>
    </w:p>
    <w:p w14:paraId="68C3D5BB" w14:textId="29FF2E2A" w:rsidR="009160F2" w:rsidRDefault="009160F2" w:rsidP="009160F2">
      <w:pPr>
        <w:pStyle w:val="a3"/>
        <w:numPr>
          <w:ilvl w:val="0"/>
          <w:numId w:val="20"/>
        </w:numPr>
        <w:spacing w:line="360" w:lineRule="auto"/>
        <w:rPr>
          <w:rFonts w:asciiTheme="minorBidi" w:hAnsiTheme="minorBidi" w:cstheme="minorBidi" w:hint="cs"/>
        </w:rPr>
      </w:pPr>
      <w:r>
        <w:rPr>
          <w:rFonts w:asciiTheme="minorBidi" w:hAnsiTheme="minorBidi" w:cstheme="minorBidi" w:hint="cs"/>
          <w:rtl/>
        </w:rPr>
        <w:t xml:space="preserve">מאגר כתובות ומיקוד של המדינה </w:t>
      </w:r>
    </w:p>
    <w:p w14:paraId="2518569F"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p>
    <w:p w14:paraId="4F4F5103" w14:textId="77777777" w:rsidR="009160F2" w:rsidRDefault="009160F2" w:rsidP="009160F2">
      <w:pPr>
        <w:pStyle w:val="a3"/>
        <w:numPr>
          <w:ilvl w:val="0"/>
          <w:numId w:val="20"/>
        </w:numPr>
        <w:spacing w:line="360" w:lineRule="auto"/>
        <w:rPr>
          <w:rFonts w:asciiTheme="minorBidi" w:hAnsiTheme="minorBidi" w:cstheme="minorBidi" w:hint="cs"/>
        </w:rPr>
      </w:pPr>
      <w:r>
        <w:rPr>
          <w:rFonts w:asciiTheme="minorBidi" w:hAnsiTheme="minorBidi" w:cstheme="minorBidi" w:hint="cs"/>
          <w:rtl/>
        </w:rPr>
        <w:t xml:space="preserve">עדכון ההזמנה אוטומטית במחשב הקופה </w:t>
      </w:r>
    </w:p>
    <w:p w14:paraId="26BE9AF2" w14:textId="77777777" w:rsidR="009160F2" w:rsidRDefault="009160F2" w:rsidP="009160F2">
      <w:pPr>
        <w:pStyle w:val="a3"/>
        <w:numPr>
          <w:ilvl w:val="0"/>
          <w:numId w:val="20"/>
        </w:numPr>
        <w:spacing w:line="360" w:lineRule="auto"/>
        <w:rPr>
          <w:rFonts w:asciiTheme="minorBidi" w:hAnsiTheme="minorBidi" w:cstheme="minorBidi" w:hint="cs"/>
        </w:rPr>
      </w:pPr>
      <w:r>
        <w:rPr>
          <w:rFonts w:asciiTheme="minorBidi" w:hAnsiTheme="minorBidi" w:cstheme="minorBidi" w:hint="cs"/>
          <w:rtl/>
        </w:rPr>
        <w:t xml:space="preserve">הגדרת כל הזמנה באתר כמשלוח או איסוף עצמי. </w:t>
      </w:r>
    </w:p>
    <w:p w14:paraId="7CE2E657" w14:textId="77777777" w:rsidR="009160F2" w:rsidRDefault="009160F2" w:rsidP="009160F2">
      <w:pPr>
        <w:pStyle w:val="a3"/>
        <w:numPr>
          <w:ilvl w:val="0"/>
          <w:numId w:val="20"/>
        </w:numPr>
        <w:spacing w:line="360" w:lineRule="auto"/>
        <w:rPr>
          <w:rFonts w:asciiTheme="minorBidi" w:hAnsiTheme="minorBidi" w:cstheme="minorBidi" w:hint="cs"/>
        </w:rPr>
      </w:pPr>
      <w:r>
        <w:rPr>
          <w:rFonts w:asciiTheme="minorBidi" w:hAnsiTheme="minorBidi" w:cstheme="minorBidi" w:hint="cs"/>
          <w:rtl/>
        </w:rPr>
        <w:t xml:space="preserve">הרכבת סל קניות </w:t>
      </w:r>
    </w:p>
    <w:p w14:paraId="3D9ADA59" w14:textId="1C57F079" w:rsidR="009160F2" w:rsidRPr="00663804" w:rsidRDefault="009160F2" w:rsidP="009160F2">
      <w:pPr>
        <w:pStyle w:val="a3"/>
        <w:numPr>
          <w:ilvl w:val="0"/>
          <w:numId w:val="20"/>
        </w:numPr>
        <w:spacing w:line="360" w:lineRule="auto"/>
        <w:rPr>
          <w:rFonts w:asciiTheme="minorBidi" w:hAnsiTheme="minorBidi" w:cstheme="minorBidi"/>
          <w:rtl/>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  </w:t>
      </w:r>
      <w:bookmarkStart w:id="0" w:name="_GoBack"/>
      <w:bookmarkEnd w:id="0"/>
    </w:p>
    <w:sectPr w:rsidR="009160F2" w:rsidRPr="00663804"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7"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9"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3"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18"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19"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6"/>
  </w:num>
  <w:num w:numId="4">
    <w:abstractNumId w:val="7"/>
  </w:num>
  <w:num w:numId="5">
    <w:abstractNumId w:val="12"/>
  </w:num>
  <w:num w:numId="6">
    <w:abstractNumId w:val="14"/>
  </w:num>
  <w:num w:numId="7">
    <w:abstractNumId w:val="10"/>
  </w:num>
  <w:num w:numId="8">
    <w:abstractNumId w:val="5"/>
  </w:num>
  <w:num w:numId="9">
    <w:abstractNumId w:val="9"/>
  </w:num>
  <w:num w:numId="10">
    <w:abstractNumId w:val="3"/>
  </w:num>
  <w:num w:numId="11">
    <w:abstractNumId w:val="0"/>
  </w:num>
  <w:num w:numId="12">
    <w:abstractNumId w:val="19"/>
  </w:num>
  <w:num w:numId="13">
    <w:abstractNumId w:val="1"/>
  </w:num>
  <w:num w:numId="14">
    <w:abstractNumId w:val="8"/>
  </w:num>
  <w:num w:numId="15">
    <w:abstractNumId w:val="11"/>
  </w:num>
  <w:num w:numId="16">
    <w:abstractNumId w:val="16"/>
  </w:num>
  <w:num w:numId="17">
    <w:abstractNumId w:val="17"/>
  </w:num>
  <w:num w:numId="18">
    <w:abstractNumId w:val="2"/>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A3"/>
    <w:rsid w:val="00114285"/>
    <w:rsid w:val="00272B70"/>
    <w:rsid w:val="00280F12"/>
    <w:rsid w:val="003336A6"/>
    <w:rsid w:val="005D57CA"/>
    <w:rsid w:val="00663804"/>
    <w:rsid w:val="00843019"/>
    <w:rsid w:val="0086020F"/>
    <w:rsid w:val="00872902"/>
    <w:rsid w:val="009160F2"/>
    <w:rsid w:val="0093642F"/>
    <w:rsid w:val="009753B7"/>
    <w:rsid w:val="00A532C3"/>
    <w:rsid w:val="00AE5046"/>
    <w:rsid w:val="00B64B55"/>
    <w:rsid w:val="00BE7C8C"/>
    <w:rsid w:val="00C07F45"/>
    <w:rsid w:val="00C918A3"/>
    <w:rsid w:val="00F638FC"/>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70"/>
    <w:pPr>
      <w:ind w:left="720"/>
      <w:contextualSpacing/>
    </w:pPr>
  </w:style>
  <w:style w:type="table" w:styleId="a4">
    <w:name w:val="Table Grid"/>
    <w:basedOn w:val="a1"/>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ABB56D02-6868-446C-AE8E-4BD8B327B37A}" srcId="{30B6DE8A-25D3-4F12-8DA8-8528D45C23A7}" destId="{D78416F5-660D-426D-9F4F-28A2D7F71282}" srcOrd="0" destOrd="0" parTransId="{0CD96964-5ACB-4450-AF9C-8914D4E69EAF}" sibTransId="{F2D0E42C-0695-4E9F-8CF6-2B461B474DF7}"/>
    <dgm:cxn modelId="{19C767AB-8B40-454D-9807-3102B89519FD}" type="presOf" srcId="{73AD787F-7964-4BE0-94CB-616ACAAE8808}" destId="{46FF9218-1048-457B-A0C7-0DDE2F004203}"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135000D-9233-4141-BCF6-69DA8551BA6E}" type="presOf" srcId="{A20CD5E6-1377-44CB-8CB8-79911694F1E2}" destId="{80CBE615-2945-48CB-B082-CC6E58D9F2AD}"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10A25504-9723-4907-B015-2B7864237AEE}" srcId="{73AD787F-7964-4BE0-94CB-616ACAAE8808}" destId="{CAC4C58C-91D9-48C6-8D07-7048F956A166}" srcOrd="1" destOrd="0" parTransId="{EABCB69D-D681-46A0-87E8-5044DA7D96DD}" sibTransId="{A20CD5E6-1377-44CB-8CB8-79911694F1E2}"/>
    <dgm:cxn modelId="{86DDB2FD-6CE2-495C-A657-E7AEED24CFA3}" type="presOf" srcId="{A20CD5E6-1377-44CB-8CB8-79911694F1E2}" destId="{153673F7-3FAD-48F4-AEAD-30310DF854D8}" srcOrd="1" destOrd="0"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12B6EEF6-6412-4089-8E65-2DAA2F8AFD35}" type="presOf" srcId="{457E2D23-1859-4C22-B294-91CB1788D990}" destId="{B2F830F9-74CA-4933-AA96-FA05E526C1EA}" srcOrd="0"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95C2EEA-64F4-450C-9119-80C3018E37F3}" type="presOf" srcId="{C224EEC8-7E01-4015-830E-F0E461D50911}" destId="{B2F830F9-74CA-4933-AA96-FA05E526C1EA}" srcOrd="0" destOrd="1"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8DB970CB-EF34-4F88-BB5A-A57E5D5A9480}" type="presOf" srcId="{30B6DE8A-25D3-4F12-8DA8-8528D45C23A7}" destId="{F370A7A1-C2B4-4E9D-A2D9-B2D768489590}"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B57FE58-25CF-4B05-837B-2C46D723FC87}" type="presOf" srcId="{0CDCE3D1-14DE-4386-B699-D094BFB16E32}" destId="{4E7E8A8C-A15E-4E42-BACB-8F2E4D3C8745}" srcOrd="1"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09ADE3F9-BBA1-4977-BBF2-44F56C497957}" srcId="{73AD787F-7964-4BE0-94CB-616ACAAE8808}" destId="{41419A8C-CF55-4955-BE6E-A0A00D436308}" srcOrd="0" destOrd="0" parTransId="{BC36131D-1FB4-4D7C-A065-34158F4702C0}" sibTransId="{0CDCE3D1-14DE-4386-B699-D094BFB16E32}"/>
    <dgm:cxn modelId="{911F1C05-9135-46F4-AB24-4BACA43637B0}" type="presOf" srcId="{65764F77-CCB6-4259-A37A-43D7B682436F}" destId="{4F0ADD13-0385-4576-B979-2C39195B0485}" srcOrd="0" destOrd="1"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BEDB0D0-9E11-4E6F-80FC-F645C4EA90B1}" type="presOf" srcId="{A544771E-3313-4316-A6D0-00B6C05109B9}" destId="{03B15E7F-8E94-4089-9019-68D47B1E0D47}"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4373F224-0351-4496-A180-AF608AE40A6D}" type="presOf" srcId="{75052901-4AAD-4150-BC09-414BBAD65728}" destId="{03B15E7F-8E94-4089-9019-68D47B1E0D47}" srcOrd="0" destOrd="1"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004191C6-4144-4E7A-B0ED-BDCF9CD1B8A7}" type="presOf" srcId="{CAC4C58C-91D9-48C6-8D07-7048F956A166}" destId="{834B6477-1715-4724-8611-701A8BB826FC}"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02BEB343-18A2-4660-84E4-A455CCFC1F01}" type="presOf" srcId="{F4347337-5105-49A2-9F11-8F28F7FCB278}" destId="{B2F830F9-74CA-4933-AA96-FA05E526C1EA}" srcOrd="0" destOrd="2" presId="urn:microsoft.com/office/officeart/2005/8/layout/process3"/>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86DDB2FD-6CE2-495C-A657-E7AEED24CFA3}" type="presOf" srcId="{A20CD5E6-1377-44CB-8CB8-79911694F1E2}" destId="{153673F7-3FAD-48F4-AEAD-30310DF854D8}"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BD4D3F48-DD07-4D54-A08E-0E7A49553480}" type="presOf" srcId="{42CFCF70-753F-4D04-91E4-835C05E36B40}" destId="{03B15E7F-8E94-4089-9019-68D47B1E0D47}" srcOrd="0" destOrd="1"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DB1F6AF-8B3B-4667-BBAF-680613FF03C9}" type="presOf" srcId="{00EE1D8A-10BB-4D08-9240-FE9B087C703F}" destId="{03B15E7F-8E94-4089-9019-68D47B1E0D47}" srcOrd="0" destOrd="3"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F882909-8EBB-49E8-AF86-59E898D4BE47}" srcId="{41419A8C-CF55-4955-BE6E-A0A00D436308}" destId="{42CFCF70-753F-4D04-91E4-835C05E36B40}" srcOrd="1" destOrd="0" parTransId="{D2119B01-A349-49AA-9401-1144D34BD486}" sibTransId="{4682D03A-4C3F-48CC-A58F-026B224FE882}"/>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dsp:txBody>
      <dsp:txXfrm>
        <a:off x="5280803" y="418256"/>
        <a:ext cx="1446974" cy="1363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4217</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meir</cp:lastModifiedBy>
  <cp:revision>2</cp:revision>
  <dcterms:created xsi:type="dcterms:W3CDTF">2020-11-08T21:16:00Z</dcterms:created>
  <dcterms:modified xsi:type="dcterms:W3CDTF">2020-11-08T21:16:00Z</dcterms:modified>
</cp:coreProperties>
</file>