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alessandro-aprile"/>
    <w:p>
      <w:pPr>
        <w:pStyle w:val="Heading1"/>
      </w:pPr>
      <w:r>
        <w:t xml:space="preserve">Alessandro Aprile</w:t>
      </w:r>
    </w:p>
    <w:p>
      <w:pPr>
        <w:pStyle w:val="FirstParagraph"/>
      </w:pPr>
      <w:r>
        <w:rPr>
          <w:bCs/>
          <w:b/>
        </w:rPr>
        <w:t xml:space="preserve">Sviluppatore frontend senior | Angular e React</w:t>
      </w:r>
    </w:p>
    <w:bookmarkStart w:id="20" w:name="profilo"/>
    <w:p>
      <w:pPr>
        <w:pStyle w:val="Heading2"/>
      </w:pPr>
      <w:r>
        <w:t xml:space="preserve">Profilo</w:t>
      </w:r>
    </w:p>
    <w:p>
      <w:pPr>
        <w:pStyle w:val="FirstParagraph"/>
      </w:pPr>
      <w:r>
        <w:t xml:space="preserve">Sviluppatore frontend con esperienza in applicazioni enterprise, servizi bancari e business intelligence. Ho ricoperto responsabilità di frontend lead, formato colleghi su Angular e contribuito alla definizione funzionale delle soluzioni insieme agli architetti. Sviluppo componenti condivisi e applicazioni React; utilizzo strumenti AI per sviluppo, test e documentazione, con attenzione alla condivisione della conoscenza nel team.</w:t>
      </w:r>
    </w:p>
    <w:bookmarkEnd w:id="20"/>
    <w:bookmarkStart w:id="21" w:name="competenze-principali"/>
    <w:p>
      <w:pPr>
        <w:pStyle w:val="Heading2"/>
      </w:pPr>
      <w:r>
        <w:t xml:space="preserve">Competenze principali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Frontend:</w:t>
      </w:r>
      <w:r>
        <w:t xml:space="preserve"> </w:t>
      </w:r>
      <w:r>
        <w:t xml:space="preserve">Angular, React, AngularJS; librerie di componenti condivisi; pattern Redux implementato senza la libreria Redux.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Qualità e AI:</w:t>
      </w:r>
      <w:r>
        <w:t xml:space="preserve"> </w:t>
      </w:r>
      <w:r>
        <w:t xml:space="preserve">Vitest, Playwright e Playwright MCP; harness e knowledge base AI; sviluppo assistito da Claude.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Collaborazione:</w:t>
      </w:r>
      <w:r>
        <w:t xml:space="preserve"> </w:t>
      </w:r>
      <w:r>
        <w:t xml:space="preserve">analisi funzionale, documentazione tecnica, formazione Angular, coordinamento operativo FE/BE e stima delle attività.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Altre esperienze:</w:t>
      </w:r>
      <w:r>
        <w:t xml:space="preserve"> </w:t>
      </w:r>
      <w:r>
        <w:t xml:space="preserve">microfrontend in Liferay; PL/SQL; interventi circoscritti su C# assistiti da AI.</w:t>
      </w:r>
    </w:p>
    <w:bookmarkEnd w:id="21"/>
    <w:bookmarkStart w:id="25" w:name="esperienze-selezionate"/>
    <w:p>
      <w:pPr>
        <w:pStyle w:val="Heading2"/>
      </w:pPr>
      <w:r>
        <w:t xml:space="preserve">Esperienze selezionate</w:t>
      </w:r>
    </w:p>
    <w:bookmarkStart w:id="22" w:name="icar-unipol-maggioagosto-2026"/>
    <w:p>
      <w:pPr>
        <w:pStyle w:val="Heading3"/>
      </w:pPr>
      <w:r>
        <w:t xml:space="preserve">ICAR / Unipol — maggio–agosto 2026</w:t>
      </w:r>
    </w:p>
    <w:p>
      <w:pPr>
        <w:pStyle w:val="FirstParagraph"/>
      </w:pPr>
      <w:r>
        <w:rPr>
          <w:bCs/>
          <w:b/>
        </w:rPr>
        <w:t xml:space="preserve">Sviluppatore frontend e FE lead · Apprendo → Digitality → Tinexta</w:t>
      </w:r>
    </w:p>
    <w:p>
      <w:pPr>
        <w:numPr>
          <w:ilvl w:val="0"/>
          <w:numId w:val="1002"/>
        </w:numPr>
        <w:pStyle w:val="Compact"/>
      </w:pPr>
      <w:r>
        <w:t xml:space="preserve">Coordinamento operativo temporaneo del gruppo frontend/backend Digitality fino a circa metà giugno: interlocuzione con Tinexta, interpretazione delle richieste, stime concordate con Digitality e assegnazione dei task.</w:t>
      </w:r>
    </w:p>
    <w:p>
      <w:pPr>
        <w:numPr>
          <w:ilvl w:val="0"/>
          <w:numId w:val="1002"/>
        </w:numPr>
        <w:pStyle w:val="Compact"/>
      </w:pPr>
      <w:r>
        <w:t xml:space="preserve">Implementazione personale e condivisa di harness e knowledge base AI per lo sviluppo e la documentazione tecnica continuamente aggiornata, a supporto dell’onboarding anche dei colleghi junior.</w:t>
      </w:r>
    </w:p>
    <w:p>
      <w:pPr>
        <w:numPr>
          <w:ilvl w:val="0"/>
          <w:numId w:val="1002"/>
        </w:numPr>
        <w:pStyle w:val="Compact"/>
      </w:pPr>
      <w:r>
        <w:t xml:space="preserve">Realizzazione di un sistema AI che genera ed esegue test a partire dall’export Jira e dal repository Git: Playwright e Playwright MCP per gli E2E, Vitest per i test unitari.</w:t>
      </w:r>
    </w:p>
    <w:p>
      <w:pPr>
        <w:numPr>
          <w:ilvl w:val="0"/>
          <w:numId w:val="1002"/>
        </w:numPr>
        <w:pStyle w:val="Compact"/>
      </w:pPr>
      <w:r>
        <w:t xml:space="preserve">Interventi mirati sul backend C# con il supporto di Claude.</w:t>
      </w:r>
    </w:p>
    <w:bookmarkEnd w:id="22"/>
    <w:bookmarkStart w:id="23" w:name="luxottica-20202022"/>
    <w:p>
      <w:pPr>
        <w:pStyle w:val="Heading3"/>
      </w:pPr>
      <w:r>
        <w:t xml:space="preserve">Luxottica — 2020–2022</w:t>
      </w:r>
    </w:p>
    <w:p>
      <w:pPr>
        <w:pStyle w:val="FirstParagraph"/>
      </w:pPr>
      <w:r>
        <w:rPr>
          <w:bCs/>
          <w:b/>
        </w:rPr>
        <w:t xml:space="preserve">Sviluppo React · ThinkOpen → Abstract → Luxottica</w:t>
      </w:r>
    </w:p>
    <w:p>
      <w:pPr>
        <w:numPr>
          <w:ilvl w:val="0"/>
          <w:numId w:val="1003"/>
        </w:numPr>
        <w:pStyle w:val="Compact"/>
      </w:pPr>
      <w:r>
        <w:t xml:space="preserve">Suite di applicazioni autonome di business intelligence con componenti comuni e livelli di drill-down dalla vista direzionale alle aree geografiche fino al singolo negozio.</w:t>
      </w:r>
    </w:p>
    <w:p>
      <w:pPr>
        <w:numPr>
          <w:ilvl w:val="0"/>
          <w:numId w:val="1003"/>
        </w:numPr>
        <w:pStyle w:val="Compact"/>
      </w:pPr>
      <w:r>
        <w:t xml:space="preserve">Scrittura di componenti della libreria condivisa e implementazione di applicazioni complete e parti di applicazioni.</w:t>
      </w:r>
    </w:p>
    <w:p>
      <w:pPr>
        <w:numPr>
          <w:ilvl w:val="0"/>
          <w:numId w:val="1003"/>
        </w:numPr>
        <w:pStyle w:val="Compact"/>
      </w:pPr>
      <w:r>
        <w:t xml:space="preserve">Gestione dello stato con pattern Redux implementato direttamente, senza la libreria Redux, secondo scelte di design del team mantenute attraverso PR sistematiche.</w:t>
      </w:r>
    </w:p>
    <w:p>
      <w:pPr>
        <w:numPr>
          <w:ilvl w:val="0"/>
          <w:numId w:val="1003"/>
        </w:numPr>
        <w:pStyle w:val="Compact"/>
      </w:pPr>
      <w:r>
        <w:t xml:space="preserve">Redazione di circa 50 pagine di documentazione sull’uso dei componenti e sull’implementazione del pattern Redux.</w:t>
      </w:r>
    </w:p>
    <w:bookmarkEnd w:id="23"/>
    <w:bookmarkStart w:id="24" w:name="gft-2022"/>
    <w:p>
      <w:pPr>
        <w:pStyle w:val="Heading3"/>
      </w:pPr>
      <w:r>
        <w:t xml:space="preserve">GFT — 2022</w:t>
      </w:r>
    </w:p>
    <w:p>
      <w:pPr>
        <w:pStyle w:val="FirstParagraph"/>
      </w:pPr>
      <w:r>
        <w:rPr>
          <w:bCs/>
          <w:b/>
        </w:rPr>
        <w:t xml:space="preserve">Sviluppo React · tramite ThinkOpen</w:t>
      </w:r>
    </w:p>
    <w:p>
      <w:pPr>
        <w:numPr>
          <w:ilvl w:val="0"/>
          <w:numId w:val="1004"/>
        </w:numPr>
        <w:pStyle w:val="Compact"/>
      </w:pPr>
      <w:r>
        <w:t xml:space="preserve">Attività su un sistema enterprise di gestione prestiti in React.</w:t>
      </w:r>
    </w:p>
    <w:bookmarkEnd w:id="24"/>
    <w:bookmarkEnd w:id="25"/>
    <w:bookmarkStart w:id="26" w:name="altri-progetti-e-responsabilità"/>
    <w:p>
      <w:pPr>
        <w:pStyle w:val="Heading2"/>
      </w:pPr>
      <w:r>
        <w:t xml:space="preserve">Altri progetti e responsabilità</w:t>
      </w:r>
    </w:p>
    <w:p>
      <w:pPr>
        <w:pStyle w:val="FirstParagraph"/>
      </w:pPr>
      <w:r>
        <w:rPr>
          <w:bCs/>
          <w:b/>
        </w:rPr>
        <w:t xml:space="preserve">Intesi / Deutsche Bank · tramite ThinkOpen</w:t>
      </w:r>
    </w:p>
    <w:p>
      <w:pPr>
        <w:pStyle w:val="BodyText"/>
      </w:pPr>
      <w:r>
        <w:t xml:space="preserve">Ruolo iniziale funzionale e architetturale con stesura dei documenti funzionali in accordo con gli architetti. Sviluppatore responsabile frontend in un team di tre sviluppatori Angular e formazione dei colleghi sul framework.</w:t>
      </w:r>
    </w:p>
    <w:p>
      <w:pPr>
        <w:pStyle w:val="BodyText"/>
      </w:pPr>
      <w:r>
        <w:rPr>
          <w:bCs/>
          <w:b/>
        </w:rPr>
        <w:t xml:space="preserve">What If / BFF Bank · Apprendo → Be Shaping the Future → Engineering</w:t>
      </w:r>
    </w:p>
    <w:p>
      <w:pPr>
        <w:pStyle w:val="BodyText"/>
      </w:pPr>
      <w:r>
        <w:t xml:space="preserve">Progetto di clearing dei pagamenti sui mutui, con requisito minimo di copertura dei test dell’80%.</w:t>
      </w:r>
    </w:p>
    <w:p>
      <w:pPr>
        <w:pStyle w:val="BodyText"/>
      </w:pPr>
      <w:r>
        <w:rPr>
          <w:bCs/>
          <w:b/>
        </w:rPr>
        <w:t xml:space="preserve">Spindox / Amplifon · tramite ThinkOpen</w:t>
      </w:r>
    </w:p>
    <w:p>
      <w:pPr>
        <w:pStyle w:val="BodyText"/>
      </w:pPr>
      <w:r>
        <w:t xml:space="preserve">Progetto e-commerce di apparecchi acustici per il mercato APAC.</w:t>
      </w:r>
    </w:p>
    <w:p>
      <w:pPr>
        <w:pStyle w:val="BodyText"/>
      </w:pPr>
      <w:r>
        <w:rPr>
          <w:bCs/>
          <w:b/>
        </w:rPr>
        <w:t xml:space="preserve">Vittoria Assicurazioni · tramite ThinkOpen</w:t>
      </w:r>
    </w:p>
    <w:p>
      <w:pPr>
        <w:pStyle w:val="BodyText"/>
      </w:pPr>
      <w:r>
        <w:t xml:space="preserve">Supporto all’ammodernamento del frontend del CRM interno.</w:t>
      </w:r>
    </w:p>
    <w:p>
      <w:pPr>
        <w:pStyle w:val="BodyText"/>
      </w:pPr>
      <w:r>
        <w:rPr>
          <w:bCs/>
          <w:b/>
        </w:rPr>
        <w:t xml:space="preserve">Winga</w:t>
      </w:r>
    </w:p>
    <w:p>
      <w:pPr>
        <w:pStyle w:val="BodyText"/>
      </w:pPr>
      <w:r>
        <w:t xml:space="preserve">Esperienza su un’architettura microfrontend in Liferay con applicazioni AngularJS.</w:t>
      </w:r>
    </w:p>
    <w:bookmarkEnd w:id="26"/>
    <w:bookmarkStart w:id="27" w:name="formazione"/>
    <w:p>
      <w:pPr>
        <w:pStyle w:val="Heading2"/>
      </w:pPr>
      <w:r>
        <w:t xml:space="preserve">Formazione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AI Management &amp; Prompt Engineering — Talent Garden:</w:t>
      </w:r>
      <w:r>
        <w:t xml:space="preserve"> </w:t>
      </w:r>
      <w:r>
        <w:t xml:space="preserve">completato a settembre 2026.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Architetture Enterprise in Angular 9 &amp; NgRx 9 — Fabio Biondi:</w:t>
      </w:r>
      <w:r>
        <w:t xml:space="preserve"> </w:t>
      </w:r>
      <w:r>
        <w:t xml:space="preserve">2019.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Disegno industriale, indirizzo Prodotto — Politecnico di Milano:</w:t>
      </w:r>
      <w:r>
        <w:t xml:space="preserve"> </w:t>
      </w:r>
      <w:r>
        <w:t xml:space="preserve">un anno frequentato nel 1999, senza conseguimento della laurea.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Diploma classico — Liceo Leopardi:</w:t>
      </w:r>
      <w:r>
        <w:t xml:space="preserve"> </w:t>
      </w:r>
      <w:r>
        <w:t xml:space="preserve">1997.</w:t>
      </w:r>
    </w:p>
    <w:bookmarkEnd w:id="27"/>
    <w:bookmarkEnd w:id="28"/>
    <w:sectPr>
      <w:pgSz w:h="15840" w:w="12240"/>
      <w:pgMar w:bottom="1008" w:left="1152" w:right="1152" w:top="10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/>
    </w:pPr>
    <w:rPr>
      <w:rFonts w:ascii="Calibri" w:hAnsi="Calibri"/>
      <w:color w:val="000000"/>
      <w:sz w:val="22"/>
    </w:rPr>
  </w:style>
  <w:style w:styleId="BodyText" w:type="paragraph">
    <w:name w:val="Body Text"/>
    <w:basedOn w:val="Normal"/>
    <w:link w:val="BodyTextChar"/>
    <w:pPr>
      <w:spacing w:after="120" w:before="180"/>
    </w:pPr>
    <w:qFormat/>
    <w:rPr>
      <w:rFonts w:ascii="Calibri" w:hAnsi="Calibri"/>
      <w:color w:val="000000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after="120"/>
    </w:pPr>
    <w:rPr>
      <w:rFonts w:ascii="Calibri" w:hAnsi="Calibri"/>
      <w:color w:val="000000"/>
      <w:sz w:val="22"/>
    </w:rPr>
  </w:style>
  <w:style w:customStyle="1" w:styleId="Compact" w:type="paragraph">
    <w:name w:val="Compact"/>
    <w:basedOn w:val="BodyText"/>
    <w:qFormat/>
    <w:pPr>
      <w:spacing w:after="120" w:before="36"/>
    </w:pPr>
    <w:rPr>
      <w:rFonts w:ascii="Calibri" w:hAnsi="Calibri"/>
      <w:color w:val="000000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120" w:before="0"/>
      <w:jc w:val="center"/>
    </w:pPr>
    <w:rPr>
      <w:rFonts w:ascii="Calibri" w:asciiTheme="majorHAnsi" w:cstheme="majorBidi" w:eastAsiaTheme="majorEastAsia" w:hAnsi="Calibri" w:hAnsiTheme="majorHAnsi"/>
      <w:b/>
      <w:bCs/>
      <w:color w:val="000000"/>
      <w:sz w:val="4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120" w:before="0"/>
      <w:jc w:val="center"/>
    </w:pPr>
    <w:rPr>
      <w:rFonts w:ascii="Calibri" w:hAnsi="Calibri"/>
      <w:color w:val="000000"/>
      <w:sz w:val="24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Calibri" w:hAnsi="Calibri"/>
      <w:color w:val="000000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Calibri" w:hAnsi="Calibri"/>
      <w:color w:val="000000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color w:val="000000"/>
      <w:sz w:val="20"/>
      <w:szCs w:val="20"/>
      <w:rFonts w:ascii="Calibri" w:hAnsi="Calibri"/>
      <w:b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Calibri" w:hAnsi="Calibri"/>
      <w:color w:val="000000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Calibri" w:hAnsi="Calibri"/>
      <w:color w:val="000000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20" w:before="240"/>
      <w:outlineLvl w:val="0"/>
    </w:pPr>
    <w:rPr>
      <w:rFonts w:ascii="Calibri" w:asciiTheme="majorHAnsi" w:cstheme="majorBidi" w:eastAsiaTheme="majorEastAsia" w:hAnsi="Calibri" w:hAnsiTheme="majorHAnsi"/>
      <w:b/>
      <w:bCs/>
      <w:color w:val="000000"/>
      <w:sz w:val="28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40"/>
      <w:outlineLvl w:val="1"/>
    </w:pPr>
    <w:rPr>
      <w:rFonts w:ascii="Calibri" w:asciiTheme="majorHAnsi" w:cstheme="majorBidi" w:eastAsiaTheme="majorEastAsia" w:hAnsi="Calibri" w:hAnsiTheme="majorHAnsi"/>
      <w:b/>
      <w:bCs/>
      <w:color w:val="000000"/>
      <w:sz w:val="24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20" w:before="240"/>
      <w:outlineLvl w:val="2"/>
    </w:pPr>
    <w:rPr>
      <w:rFonts w:ascii="Calibri" w:asciiTheme="majorHAnsi" w:cstheme="majorBidi" w:eastAsiaTheme="majorEastAsia" w:hAnsi="Calibri" w:hAnsiTheme="majorHAnsi"/>
      <w:b/>
      <w:bCs/>
      <w:color w:val="000000"/>
      <w:sz w:val="22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Calibri" w:asciiTheme="majorHAnsi" w:cstheme="majorBidi" w:eastAsiaTheme="majorEastAsia" w:hAnsi="Calibri" w:hAnsiTheme="majorHAnsi"/>
      <w:i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Calibri" w:asciiTheme="majorHAnsi" w:cstheme="majorBidi" w:eastAsiaTheme="majorEastAsia" w:hAnsi="Calibri" w:hAnsiTheme="majorHAnsi"/>
      <w:iCs/>
      <w:color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Calibri" w:asciiTheme="majorHAnsi" w:cstheme="majorBidi" w:eastAsiaTheme="majorEastAsia" w:hAnsi="Calibri" w:hAnsiTheme="majorHAnsi"/>
      <w:color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Calibri" w:asciiTheme="majorHAnsi" w:cstheme="majorBidi" w:eastAsiaTheme="majorEastAsia" w:hAnsi="Calibri" w:hAnsiTheme="majorHAnsi"/>
      <w:color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Calibri" w:asciiTheme="majorHAnsi" w:cstheme="majorBidi" w:eastAsiaTheme="majorEastAsia" w:hAnsi="Calibri" w:hAnsiTheme="majorHAnsi"/>
      <w:color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Calibri" w:asciiTheme="majorHAnsi" w:cstheme="majorBidi" w:eastAsiaTheme="majorEastAsia" w:hAnsi="Calibri" w:hAnsiTheme="majorHAnsi"/>
      <w:color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hAnsi="Calibri"/>
      <w:color w:val="000000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Calibri" w:hAnsi="Calibri"/>
      <w:color w:val="000000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Calibri" w:hAnsi="Calibri"/>
      <w:b/>
      <w:color w:val="000000"/>
    </w:rPr>
  </w:style>
  <w:style w:customStyle="1" w:styleId="Definition" w:type="paragraph">
    <w:name w:val="Definition"/>
    <w:basedOn w:val="Normal"/>
    <w:rPr>
      <w:rFonts w:ascii="Calibri" w:hAnsi="Calibri"/>
      <w:color w:val="000000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Calibri" w:hAnsi="Calibri"/>
      <w:i/>
      <w:color w:val="000000"/>
    </w:rPr>
  </w:style>
  <w:style w:customStyle="1" w:styleId="TableCaption" w:type="paragraph">
    <w:name w:val="Table Caption"/>
    <w:basedOn w:val="Caption"/>
    <w:pPr>
      <w:keepNext/>
    </w:pPr>
    <w:rPr>
      <w:rFonts w:ascii="Calibri" w:hAnsi="Calibri"/>
      <w:color w:val="000000"/>
    </w:rPr>
  </w:style>
  <w:style w:customStyle="1" w:styleId="ImageCaption" w:type="paragraph">
    <w:name w:val="Image Caption"/>
    <w:basedOn w:val="Caption"/>
    <w:rPr>
      <w:rFonts w:ascii="Calibri" w:hAnsi="Calibri"/>
      <w:color w:val="000000"/>
    </w:rPr>
  </w:style>
  <w:style w:customStyle="1" w:styleId="Figure" w:type="paragraph">
    <w:name w:val="Figure"/>
    <w:basedOn w:val="Normal"/>
    <w:rPr>
      <w:rFonts w:ascii="Calibri" w:hAnsi="Calibri"/>
      <w:color w:val="000000"/>
    </w:rPr>
  </w:style>
  <w:style w:customStyle="1" w:styleId="CaptionedFigure" w:type="paragraph">
    <w:name w:val="Captioned Figure"/>
    <w:basedOn w:val="Figure"/>
    <w:pPr>
      <w:keepNext/>
    </w:pPr>
    <w:rPr>
      <w:rFonts w:ascii="Calibri" w:hAnsi="Calibri"/>
      <w:color w:val="000000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asciiTheme="majorHAnsi" w:cstheme="majorBidi" w:eastAsiaTheme="majorEastAsia" w:hAnsi="Calibri" w:hAnsiTheme="majorHAnsi"/>
      <w:b w:val="0"/>
      <w:bCs w:val="0"/>
      <w:color w:val="00000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2026-10-10T13:59:08Z</dcterms:created>
  <dcterms:modified xsi:type="dcterms:W3CDTF">2026-10-10T13:59:08Z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