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1562"/>
        <w:gridCol w:w="2120"/>
        <w:gridCol w:w="5706"/>
        <w:gridCol w:w="3727"/>
      </w:tblGrid>
      <w:tr w:rsidR="00324453" w:rsidRPr="00FA73F4" w:rsidTr="00B56CE2">
        <w:trPr>
          <w:trHeight w:val="234"/>
          <w:tblHeader/>
          <w:jc w:val="center"/>
        </w:trPr>
        <w:tc>
          <w:tcPr>
            <w:tcW w:w="5000" w:type="pct"/>
            <w:gridSpan w:val="5"/>
            <w:shd w:val="pct10" w:color="auto" w:fill="auto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ind w:right="567"/>
              <w:jc w:val="center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bookmarkStart w:id="0" w:name="_Hlk72245022"/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ריכוז בדיקות בטיחות</w:t>
            </w:r>
          </w:p>
        </w:tc>
      </w:tr>
      <w:tr w:rsidR="00324453" w:rsidRPr="00FA73F4" w:rsidTr="00324453">
        <w:trPr>
          <w:trHeight w:val="370"/>
          <w:tblHeader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601"/>
              </w:tabs>
              <w:bidi/>
              <w:ind w:right="-327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מס'</w:t>
            </w: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  <w:tab w:val="left" w:pos="601"/>
              </w:tabs>
              <w:bidi/>
              <w:jc w:val="center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תחום הבדיקה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601"/>
              </w:tabs>
              <w:bidi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תדירות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bidi/>
              <w:jc w:val="center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הגוף המקצועי הבודק והמאשר</w:t>
            </w:r>
          </w:p>
        </w:tc>
      </w:tr>
      <w:tr w:rsidR="00324453" w:rsidRPr="00FA73F4" w:rsidTr="00324453">
        <w:trPr>
          <w:trHeight w:val="719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יציבות ותקינות המבנים (לרבות מבנים יבילים)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4"/>
              </w:numPr>
              <w:bidi/>
              <w:spacing w:before="120" w:after="120"/>
              <w:ind w:left="360"/>
              <w:rPr>
                <w:rFonts w:ascii="David" w:hAnsi="David"/>
                <w:b/>
                <w:bCs/>
                <w:snapToGrid/>
                <w:sz w:val="24"/>
                <w:szCs w:val="24"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במקרה ונצפו כשלי יציבות דוגמת שקיעות וסדקים.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4"/>
              </w:numPr>
              <w:bidi/>
              <w:spacing w:before="120" w:after="120"/>
              <w:ind w:left="36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מבנה יביל – אחת לחמש שנים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מהנדס מבנים</w:t>
            </w:r>
          </w:p>
        </w:tc>
      </w:tr>
      <w:tr w:rsidR="00324453" w:rsidRPr="00FA73F4" w:rsidTr="00324453">
        <w:trPr>
          <w:trHeight w:val="631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ind w:right="567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יציבות ותקינות סככות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5"/>
              </w:numPr>
              <w:bidi/>
              <w:spacing w:before="120" w:after="120"/>
              <w:ind w:left="357" w:hanging="357"/>
              <w:rPr>
                <w:rFonts w:ascii="David" w:hAnsi="David"/>
                <w:b/>
                <w:bCs/>
                <w:snapToGrid/>
                <w:sz w:val="24"/>
                <w:szCs w:val="24"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בהקמה ואחת לחמש שנים.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5"/>
              </w:numPr>
              <w:bidi/>
              <w:spacing w:before="120" w:after="120"/>
              <w:ind w:left="357" w:hanging="357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לפי הצורך (שקיעות, קורוזיה, סדקים)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מהנדס/הנדסאי מבנים</w:t>
            </w:r>
          </w:p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</w:tr>
      <w:tr w:rsidR="00324453" w:rsidRPr="00FA73F4" w:rsidTr="00324453">
        <w:trPr>
          <w:trHeight w:val="400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ind w:right="567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יציבות עמודי תאורה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6"/>
              </w:numPr>
              <w:bidi/>
              <w:spacing w:before="120" w:after="120"/>
              <w:ind w:left="360"/>
              <w:rPr>
                <w:rFonts w:ascii="David" w:hAnsi="David"/>
                <w:b/>
                <w:bCs/>
                <w:snapToGrid/>
                <w:sz w:val="24"/>
                <w:szCs w:val="24"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בהקמה ואחת לחמש שנים.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6"/>
              </w:numPr>
              <w:bidi/>
              <w:spacing w:before="120" w:after="120"/>
              <w:ind w:left="36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לפי הצורך (שקיעות, קורוזיה, סדקים)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מהנדס/הנדסאי מבנים</w:t>
            </w:r>
          </w:p>
        </w:tc>
      </w:tr>
      <w:tr w:rsidR="00324453" w:rsidRPr="00FA73F4" w:rsidTr="00324453">
        <w:trPr>
          <w:trHeight w:val="455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ind w:right="567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תקרות תלויות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8"/>
              </w:numPr>
              <w:bidi/>
              <w:spacing w:before="120" w:after="120"/>
              <w:ind w:left="360"/>
              <w:contextualSpacing/>
              <w:rPr>
                <w:rFonts w:ascii="David" w:hAnsi="David"/>
                <w:b/>
                <w:bCs/>
                <w:snapToGrid/>
                <w:sz w:val="24"/>
                <w:szCs w:val="24"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בהקמה ואחת לחמש שנים.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8"/>
              </w:numPr>
              <w:bidi/>
              <w:spacing w:before="120" w:after="120"/>
              <w:ind w:left="360"/>
              <w:contextualSpacing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לפי הצורך (שקיעות, קורוזיה, סדקים)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מהנדס/הנדסאי מבנים</w:t>
            </w:r>
          </w:p>
        </w:tc>
      </w:tr>
      <w:tr w:rsidR="00324453" w:rsidRPr="00FA73F4" w:rsidTr="00324453">
        <w:trPr>
          <w:trHeight w:val="418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ind w:right="567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מנשאים תלויים למזגנים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7"/>
              </w:numPr>
              <w:bidi/>
              <w:spacing w:before="120" w:after="120"/>
              <w:ind w:left="357" w:hanging="357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בהקמה ואחת לחמש שנים.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7"/>
              </w:numPr>
              <w:bidi/>
              <w:spacing w:before="120" w:after="120"/>
              <w:ind w:left="357" w:hanging="357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לפי הצורך (שקיעות, קורוזיה, סדקים, ריקבון)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מהנדס/הנדסאי מבנים</w:t>
            </w:r>
          </w:p>
        </w:tc>
      </w:tr>
      <w:tr w:rsidR="00324453" w:rsidRPr="00FA73F4" w:rsidTr="00324453">
        <w:trPr>
          <w:trHeight w:val="363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bookmarkStart w:id="1" w:name="_GoBack"/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תחנת הסעה ומסופים להסעות</w:t>
            </w:r>
          </w:p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סידורי בטיחות בתחנת איסוף והורדת ילדים ובמסופי הסעה הצמודים למוסד חינוכי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בהקמה ולאחר שינוי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מהנדס תנועה</w:t>
            </w:r>
          </w:p>
        </w:tc>
      </w:tr>
      <w:bookmarkEnd w:id="1"/>
      <w:tr w:rsidR="00324453" w:rsidRPr="00FA73F4" w:rsidTr="00324453">
        <w:trPr>
          <w:trHeight w:hRule="exact" w:val="376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מתקני משחקים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בהתאם לדרישות תקן מתקני משחק 1498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הצגת אישור לתחזוקת מתקני המשחקים בתו תקן ממכון התקנים לפי ת"י 1498</w:t>
            </w: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br/>
            </w:r>
          </w:p>
        </w:tc>
      </w:tr>
      <w:tr w:rsidR="00324453" w:rsidRPr="00FA73F4" w:rsidTr="00324453">
        <w:trPr>
          <w:trHeight w:hRule="exact" w:val="425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מתקני כושר בשטחי חוץ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בהתאם לדרישות תקן מתקני כושר  1497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 xml:space="preserve">אישור מעבדה - התאמה לתקן ישראלי 1497 </w:t>
            </w:r>
          </w:p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</w:tr>
      <w:tr w:rsidR="00324453" w:rsidRPr="00FA73F4" w:rsidTr="00324453">
        <w:trPr>
          <w:trHeight w:hRule="exact" w:val="417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וילונות חלוקה באולמות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בהתאם לדרישות תקן וילונות חלוקה 5517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אישור מעבדה – התאמה לתקן 5517</w:t>
            </w:r>
          </w:p>
        </w:tc>
      </w:tr>
      <w:tr w:rsidR="00324453" w:rsidRPr="00FA73F4" w:rsidTr="00324453">
        <w:trPr>
          <w:trHeight w:val="275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 xml:space="preserve">מתקני סל וספורט </w:t>
            </w: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br/>
              <w:t>במגרשים  ובאולמות.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  <w:tab w:val="left" w:pos="3579"/>
              </w:tabs>
              <w:bidi/>
              <w:spacing w:before="120" w:after="120"/>
              <w:ind w:right="139" w:hanging="567"/>
              <w:jc w:val="both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 xml:space="preserve">             בהקמה ואחת לשנה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  <w:tab w:val="left" w:pos="3579"/>
              </w:tabs>
              <w:bidi/>
              <w:spacing w:before="120" w:after="120"/>
              <w:rPr>
                <w:rFonts w:ascii="David" w:hAnsi="David"/>
                <w:b/>
                <w:bCs/>
                <w:color w:val="FF0000"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אישור מעבדה – התאמה לתקן 5515</w:t>
            </w:r>
          </w:p>
        </w:tc>
      </w:tr>
      <w:tr w:rsidR="00324453" w:rsidRPr="00FA73F4" w:rsidTr="00324453">
        <w:trPr>
          <w:trHeight w:val="369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מוצג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בהקמה ולפי הצורך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9"/>
              </w:numPr>
              <w:bidi/>
              <w:spacing w:before="120" w:after="120"/>
              <w:ind w:left="186" w:hanging="186"/>
              <w:contextualSpacing/>
              <w:rPr>
                <w:rFonts w:ascii="David" w:hAnsi="David"/>
                <w:b/>
                <w:bCs/>
                <w:snapToGrid/>
                <w:sz w:val="24"/>
                <w:szCs w:val="24"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הנדסאי מבנים,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9"/>
              </w:numPr>
              <w:bidi/>
              <w:spacing w:before="120" w:after="120"/>
              <w:ind w:left="186" w:hanging="186"/>
              <w:contextualSpacing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במוצג המשלב חשמל אישור בודק חשמל</w:t>
            </w:r>
          </w:p>
        </w:tc>
      </w:tr>
      <w:tr w:rsidR="00324453" w:rsidRPr="00FA73F4" w:rsidTr="00324453">
        <w:trPr>
          <w:trHeight w:hRule="exact" w:val="367"/>
          <w:jc w:val="center"/>
        </w:trPr>
        <w:tc>
          <w:tcPr>
            <w:tcW w:w="299" w:type="pct"/>
            <w:vMerge w:val="restar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560" w:type="pct"/>
            <w:vMerge w:val="restar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חשמל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760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מערכת חשמל</w:t>
            </w:r>
          </w:p>
          <w:p w:rsidR="00324453" w:rsidRPr="00FA73F4" w:rsidRDefault="00324453" w:rsidP="00B56CE2">
            <w:pPr>
              <w:widowControl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בתום חמש שנים מקבלת טופס 4 ובתדירות של אחת לחמש שנים.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bidi/>
              <w:spacing w:before="120" w:after="120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חשמלאי בודק מתאים</w:t>
            </w:r>
          </w:p>
        </w:tc>
      </w:tr>
      <w:tr w:rsidR="00324453" w:rsidRPr="00FA73F4" w:rsidTr="00324453">
        <w:trPr>
          <w:trHeight w:hRule="exact" w:val="551"/>
          <w:jc w:val="center"/>
        </w:trPr>
        <w:tc>
          <w:tcPr>
            <w:tcW w:w="299" w:type="pct"/>
            <w:vMerge/>
            <w:vAlign w:val="center"/>
          </w:tcPr>
          <w:p w:rsidR="00324453" w:rsidRPr="00FA73F4" w:rsidRDefault="00324453" w:rsidP="00324453">
            <w:pPr>
              <w:widowControl/>
              <w:numPr>
                <w:ilvl w:val="1"/>
                <w:numId w:val="1"/>
              </w:numPr>
              <w:bidi/>
              <w:spacing w:before="120" w:after="120"/>
              <w:ind w:left="601" w:right="-327" w:hanging="426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560" w:type="pct"/>
            <w:vMerge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760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color w:val="FF0000"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ציוד ומכשירי חשמל (ויזואלית בלבד)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שנתית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jc w:val="center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חשמלאי מוסמך</w:t>
            </w:r>
          </w:p>
        </w:tc>
      </w:tr>
      <w:tr w:rsidR="00324453" w:rsidRPr="00FA73F4" w:rsidTr="00324453">
        <w:trPr>
          <w:trHeight w:val="696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מערכת גז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spacing w:before="120" w:after="120"/>
              <w:jc w:val="right"/>
              <w:rPr>
                <w:rFonts w:ascii="David" w:hAnsi="David"/>
                <w:b/>
                <w:bCs/>
                <w:snapToGrid/>
                <w:sz w:val="24"/>
                <w:szCs w:val="24"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בהקמה ואחת לחמש שנים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התאמה לתקן 158 - טכנאי גז סוג 2</w:t>
            </w:r>
          </w:p>
        </w:tc>
      </w:tr>
      <w:tr w:rsidR="00324453" w:rsidRPr="00FA73F4" w:rsidTr="00324453">
        <w:trPr>
          <w:trHeight w:val="1711"/>
          <w:jc w:val="center"/>
        </w:trPr>
        <w:tc>
          <w:tcPr>
            <w:tcW w:w="299" w:type="pct"/>
            <w:vAlign w:val="center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  <w:vAlign w:val="center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 xml:space="preserve">ציוד וכלים טעוני בדיקה: </w:t>
            </w:r>
          </w:p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 xml:space="preserve">(מעליות, מתקני הרמה, אבזרי הרמה, מתקני לחץ, דודי קיטור, קולטי קיטור, אוטוקלבים) </w:t>
            </w:r>
          </w:p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ind w:hanging="567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על פי פקודת הבטיחות בעבודה-1970: למעליות כל 6 חודשים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למכונת  ההרמה כל 14 חודשים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לאבזרי ההרמה כל 6 חודשים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למתקני הלחץ כל 26 חודשים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לדודי הקיטור ולקולטי קיטור כל 26 חודשים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אביזרים ושרשראות למתקנים תלויים</w:t>
            </w:r>
          </w:p>
        </w:tc>
        <w:tc>
          <w:tcPr>
            <w:tcW w:w="1336" w:type="pct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 xml:space="preserve">אישור בדיקה בתוקף מבודק מוסמך (כהגדרתו בפקודת הבטיחות בעבודה לכל סוג של מתקן בהתאמה) 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מהנדס מבנים</w:t>
            </w:r>
          </w:p>
        </w:tc>
      </w:tr>
      <w:tr w:rsidR="00324453" w:rsidRPr="00FA73F4" w:rsidTr="00324453">
        <w:trPr>
          <w:trHeight w:val="1120"/>
          <w:jc w:val="center"/>
        </w:trPr>
        <w:tc>
          <w:tcPr>
            <w:tcW w:w="299" w:type="pct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 xml:space="preserve">מדידת קרינה אלקטרומגנטית (מדידת קרינה בתחום תדרי הרדיו) בתחום תדרי הרדיו </w:t>
            </w:r>
            <w:r w:rsidRPr="00FA73F4">
              <w:rPr>
                <w:rFonts w:ascii="David" w:hAnsi="David"/>
                <w:b/>
                <w:bCs/>
                <w:sz w:val="24"/>
                <w:szCs w:val="24"/>
              </w:rPr>
              <w:t>RF</w:t>
            </w: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 xml:space="preserve"> באזורי שהייה.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2"/>
              </w:numPr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קרינה סלולרית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2"/>
              </w:numPr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אינטרנט אלחוטי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בהתקנה ובמידה ויש שינוי ברשת ובהיקף הציוד ומכשירי הקצה.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בודק ובעל ציוד המוסמך ע"י המשרד להגנת הסביבה.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ביצוע על פי הנחיות המשרד להגנת הסביבה מספר 09-04-01</w:t>
            </w:r>
          </w:p>
        </w:tc>
      </w:tr>
      <w:tr w:rsidR="00324453" w:rsidRPr="00FA73F4" w:rsidTr="00324453">
        <w:trPr>
          <w:trHeight w:val="1711"/>
          <w:jc w:val="center"/>
        </w:trPr>
        <w:tc>
          <w:tcPr>
            <w:tcW w:w="299" w:type="pct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 xml:space="preserve">מדידת שדות מגנטיים וחשמליים בתחום תדר רשת החשמל </w:t>
            </w:r>
            <w:r w:rsidRPr="00FA73F4">
              <w:rPr>
                <w:rFonts w:ascii="David" w:hAnsi="David"/>
                <w:b/>
                <w:bCs/>
                <w:sz w:val="24"/>
                <w:szCs w:val="24"/>
              </w:rPr>
              <w:t>ELF</w:t>
            </w: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 xml:space="preserve"> באזורי שהייה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2"/>
              </w:numPr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שנאי חברת חשמל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2"/>
              </w:numPr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קווי חשמל תת קרקעיים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2"/>
              </w:numPr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ארונות חשמל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2"/>
              </w:numPr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מחשבים</w:t>
            </w:r>
          </w:p>
          <w:p w:rsidR="00324453" w:rsidRPr="00FA73F4" w:rsidRDefault="00324453" w:rsidP="00324453">
            <w:pPr>
              <w:widowControl/>
              <w:numPr>
                <w:ilvl w:val="0"/>
                <w:numId w:val="2"/>
              </w:numPr>
              <w:bidi/>
              <w:spacing w:before="120" w:after="120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ציוד חשמלי</w:t>
            </w:r>
          </w:p>
        </w:tc>
        <w:tc>
          <w:tcPr>
            <w:tcW w:w="2045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color w:val="FF0000"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בהתקנה ובמידה ויש שינוי ברשת ובהיקף הציוד ומכשירי הקצה.</w:t>
            </w:r>
          </w:p>
        </w:tc>
        <w:tc>
          <w:tcPr>
            <w:tcW w:w="1336" w:type="pct"/>
            <w:vAlign w:val="center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בודק ובעל ציוד המוסמך ע"י המשרד להגנת הסביבה.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ביצוע על פי הנחיות המשרד להגנת הסביבה מספר 09-04-01</w:t>
            </w:r>
          </w:p>
        </w:tc>
      </w:tr>
      <w:tr w:rsidR="00324453" w:rsidRPr="00FA73F4" w:rsidTr="00324453">
        <w:trPr>
          <w:trHeight w:val="578"/>
          <w:jc w:val="center"/>
        </w:trPr>
        <w:tc>
          <w:tcPr>
            <w:tcW w:w="299" w:type="pct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</w:tcPr>
          <w:p w:rsidR="00324453" w:rsidRPr="00FA73F4" w:rsidRDefault="00324453" w:rsidP="00B56CE2">
            <w:pPr>
              <w:widowControl/>
              <w:bidi/>
              <w:spacing w:before="120" w:after="120"/>
              <w:ind w:right="567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יציבות עצים וענפים</w:t>
            </w:r>
          </w:p>
          <w:p w:rsidR="00324453" w:rsidRPr="00FA73F4" w:rsidRDefault="00324453" w:rsidP="00B56CE2">
            <w:pPr>
              <w:widowControl/>
              <w:bidi/>
              <w:spacing w:before="120" w:after="120"/>
              <w:ind w:right="32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(בתחום בית הספר ובסמוך לגדרות מבחוץ)</w:t>
            </w:r>
          </w:p>
        </w:tc>
        <w:tc>
          <w:tcPr>
            <w:tcW w:w="2045" w:type="pct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color w:val="0070C0"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שנתית</w:t>
            </w:r>
          </w:p>
        </w:tc>
        <w:tc>
          <w:tcPr>
            <w:tcW w:w="1336" w:type="pct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color w:val="FF0000"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 xml:space="preserve">אגרונום או גוזם עצים מוסמך </w:t>
            </w:r>
          </w:p>
        </w:tc>
      </w:tr>
      <w:tr w:rsidR="00324453" w:rsidRPr="00FA73F4" w:rsidTr="00324453">
        <w:trPr>
          <w:trHeight w:val="351"/>
          <w:jc w:val="center"/>
        </w:trPr>
        <w:tc>
          <w:tcPr>
            <w:tcW w:w="299" w:type="pct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ind w:right="567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מוכנות ותקינות ציוד כיבוי אש</w:t>
            </w:r>
          </w:p>
        </w:tc>
        <w:tc>
          <w:tcPr>
            <w:tcW w:w="2045" w:type="pct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שנתית</w:t>
            </w:r>
          </w:p>
        </w:tc>
        <w:tc>
          <w:tcPr>
            <w:tcW w:w="1336" w:type="pct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color w:val="FF0000"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חברה המאושרת לביקורת ותחזוקה לציוד גילוי וכיבוי אש</w:t>
            </w:r>
          </w:p>
        </w:tc>
      </w:tr>
      <w:tr w:rsidR="00324453" w:rsidRPr="00FA73F4" w:rsidTr="00324453">
        <w:trPr>
          <w:trHeight w:val="357"/>
          <w:jc w:val="center"/>
        </w:trPr>
        <w:tc>
          <w:tcPr>
            <w:tcW w:w="299" w:type="pct"/>
          </w:tcPr>
          <w:p w:rsidR="00324453" w:rsidRPr="00FA73F4" w:rsidRDefault="00324453" w:rsidP="00324453">
            <w:pPr>
              <w:widowControl/>
              <w:numPr>
                <w:ilvl w:val="0"/>
                <w:numId w:val="3"/>
              </w:numPr>
              <w:bidi/>
              <w:spacing w:before="120" w:after="120"/>
              <w:ind w:left="119" w:right="-327" w:hanging="43"/>
              <w:jc w:val="center"/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</w:pPr>
          </w:p>
        </w:tc>
        <w:tc>
          <w:tcPr>
            <w:tcW w:w="1320" w:type="pct"/>
            <w:gridSpan w:val="2"/>
          </w:tcPr>
          <w:p w:rsidR="00324453" w:rsidRPr="00FA73F4" w:rsidRDefault="00324453" w:rsidP="00B56CE2">
            <w:pPr>
              <w:widowControl/>
              <w:tabs>
                <w:tab w:val="left" w:pos="397"/>
              </w:tabs>
              <w:bidi/>
              <w:spacing w:before="120" w:after="120"/>
              <w:ind w:right="567" w:hanging="567"/>
              <w:rPr>
                <w:rFonts w:ascii="David" w:hAnsi="David"/>
                <w:b/>
                <w:bCs/>
                <w:sz w:val="24"/>
                <w:szCs w:val="24"/>
                <w:rtl/>
              </w:rPr>
            </w:pPr>
            <w:proofErr w:type="spellStart"/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>מכמ</w:t>
            </w:r>
            <w:proofErr w:type="spellEnd"/>
            <w:r w:rsidRPr="00FA73F4">
              <w:rPr>
                <w:rFonts w:ascii="David" w:hAnsi="David"/>
                <w:b/>
                <w:bCs/>
                <w:sz w:val="24"/>
                <w:szCs w:val="24"/>
                <w:rtl/>
              </w:rPr>
              <w:t xml:space="preserve">    מנדף במעבדה</w:t>
            </w:r>
          </w:p>
        </w:tc>
        <w:tc>
          <w:tcPr>
            <w:tcW w:w="2045" w:type="pct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i/>
                <w:iCs/>
                <w:snapToGrid/>
                <w:color w:val="FF0000"/>
                <w:sz w:val="24"/>
                <w:szCs w:val="24"/>
                <w:u w:val="single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שנתית</w:t>
            </w:r>
          </w:p>
        </w:tc>
        <w:tc>
          <w:tcPr>
            <w:tcW w:w="1336" w:type="pct"/>
          </w:tcPr>
          <w:p w:rsidR="00324453" w:rsidRPr="00FA73F4" w:rsidRDefault="00324453" w:rsidP="00B56CE2">
            <w:pPr>
              <w:widowControl/>
              <w:bidi/>
              <w:spacing w:before="120" w:after="120"/>
              <w:rPr>
                <w:rFonts w:ascii="David" w:hAnsi="David"/>
                <w:b/>
                <w:bCs/>
                <w:snapToGrid/>
                <w:color w:val="FF0000"/>
                <w:sz w:val="24"/>
                <w:szCs w:val="24"/>
                <w:rtl/>
              </w:rPr>
            </w:pPr>
            <w:r w:rsidRPr="00FA73F4">
              <w:rPr>
                <w:rFonts w:ascii="David" w:hAnsi="David"/>
                <w:b/>
                <w:bCs/>
                <w:snapToGrid/>
                <w:sz w:val="24"/>
                <w:szCs w:val="24"/>
                <w:rtl/>
              </w:rPr>
              <w:t>לפי תקן 1839</w:t>
            </w:r>
          </w:p>
        </w:tc>
      </w:tr>
      <w:bookmarkEnd w:id="0"/>
    </w:tbl>
    <w:p w:rsidR="00324453" w:rsidRPr="00FA73F4" w:rsidRDefault="00324453" w:rsidP="00324453">
      <w:pPr>
        <w:tabs>
          <w:tab w:val="left" w:pos="11535"/>
        </w:tabs>
        <w:rPr>
          <w:rFonts w:ascii="David" w:hAnsi="David"/>
          <w:b/>
          <w:bCs/>
          <w:sz w:val="24"/>
          <w:szCs w:val="24"/>
        </w:rPr>
      </w:pPr>
    </w:p>
    <w:p w:rsidR="00246B82" w:rsidRDefault="00246B82"/>
    <w:sectPr w:rsidR="00246B82" w:rsidSect="00D368A7">
      <w:pgSz w:w="16840" w:h="11900" w:orient="landscape"/>
      <w:pgMar w:top="1418" w:right="1440" w:bottom="426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1A8" w:rsidRDefault="003171A8" w:rsidP="00324453">
      <w:r>
        <w:separator/>
      </w:r>
    </w:p>
  </w:endnote>
  <w:endnote w:type="continuationSeparator" w:id="0">
    <w:p w:rsidR="003171A8" w:rsidRDefault="003171A8" w:rsidP="0032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1A8" w:rsidRDefault="003171A8" w:rsidP="00324453">
      <w:r>
        <w:separator/>
      </w:r>
    </w:p>
  </w:footnote>
  <w:footnote w:type="continuationSeparator" w:id="0">
    <w:p w:rsidR="003171A8" w:rsidRDefault="003171A8" w:rsidP="00324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21E3"/>
    <w:multiLevelType w:val="hybridMultilevel"/>
    <w:tmpl w:val="D81C5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7ACB"/>
    <w:multiLevelType w:val="hybridMultilevel"/>
    <w:tmpl w:val="A386C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7628E"/>
    <w:multiLevelType w:val="hybridMultilevel"/>
    <w:tmpl w:val="C5225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3D3B"/>
    <w:multiLevelType w:val="hybridMultilevel"/>
    <w:tmpl w:val="C1D0D3D2"/>
    <w:lvl w:ilvl="0" w:tplc="AA0E57EA">
      <w:start w:val="1"/>
      <w:numFmt w:val="decimal"/>
      <w:lvlText w:val="%1."/>
      <w:lvlJc w:val="left"/>
      <w:pPr>
        <w:ind w:left="501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0498E"/>
    <w:multiLevelType w:val="hybridMultilevel"/>
    <w:tmpl w:val="424CC964"/>
    <w:lvl w:ilvl="0" w:tplc="67720F9E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B54C9"/>
    <w:multiLevelType w:val="multilevel"/>
    <w:tmpl w:val="640A3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D492475"/>
    <w:multiLevelType w:val="hybridMultilevel"/>
    <w:tmpl w:val="F4E6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A667E"/>
    <w:multiLevelType w:val="hybridMultilevel"/>
    <w:tmpl w:val="BCF21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E02DD"/>
    <w:multiLevelType w:val="hybridMultilevel"/>
    <w:tmpl w:val="C5225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FB"/>
    <w:rsid w:val="00246B82"/>
    <w:rsid w:val="003171A8"/>
    <w:rsid w:val="00324453"/>
    <w:rsid w:val="006A1DFB"/>
    <w:rsid w:val="00B6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5C49"/>
  <w15:chartTrackingRefBased/>
  <w15:docId w15:val="{B209620F-5DA2-4676-B217-A8A132AC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453"/>
    <w:pPr>
      <w:widowControl w:val="0"/>
      <w:spacing w:after="0" w:line="240" w:lineRule="auto"/>
    </w:pPr>
    <w:rPr>
      <w:rFonts w:ascii="Times New Roman" w:eastAsia="Times New Roman" w:hAnsi="Times New Roman" w:cs="David"/>
      <w:snapToGrid w:val="0"/>
      <w:sz w:val="20"/>
      <w:szCs w:val="20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">
    <w:name w:val="5.2"/>
    <w:basedOn w:val="a"/>
    <w:rsid w:val="00324453"/>
    <w:pPr>
      <w:widowControl/>
      <w:tabs>
        <w:tab w:val="left" w:pos="397"/>
      </w:tabs>
      <w:bidi/>
      <w:spacing w:before="120" w:line="300" w:lineRule="exact"/>
      <w:ind w:left="1021" w:right="567" w:hanging="567"/>
      <w:jc w:val="both"/>
    </w:pPr>
    <w:rPr>
      <w:rFonts w:ascii="Times"/>
      <w:b/>
      <w:bCs/>
      <w:sz w:val="22"/>
      <w:szCs w:val="24"/>
    </w:rPr>
  </w:style>
  <w:style w:type="paragraph" w:styleId="a3">
    <w:name w:val="header"/>
    <w:basedOn w:val="a"/>
    <w:link w:val="a4"/>
    <w:uiPriority w:val="99"/>
    <w:unhideWhenUsed/>
    <w:rsid w:val="00324453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324453"/>
    <w:rPr>
      <w:rFonts w:ascii="Times New Roman" w:eastAsia="Times New Roman" w:hAnsi="Times New Roman" w:cs="David"/>
      <w:snapToGrid w:val="0"/>
      <w:sz w:val="20"/>
      <w:szCs w:val="20"/>
      <w:lang w:eastAsia="he-IL"/>
    </w:rPr>
  </w:style>
  <w:style w:type="paragraph" w:styleId="a5">
    <w:name w:val="footer"/>
    <w:basedOn w:val="a"/>
    <w:link w:val="a6"/>
    <w:uiPriority w:val="99"/>
    <w:unhideWhenUsed/>
    <w:rsid w:val="0032445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324453"/>
    <w:rPr>
      <w:rFonts w:ascii="Times New Roman" w:eastAsia="Times New Roman" w:hAnsi="Times New Roman" w:cs="David"/>
      <w:snapToGrid w:val="0"/>
      <w:sz w:val="20"/>
      <w:szCs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Izhak</dc:creator>
  <cp:keywords/>
  <dc:description/>
  <cp:lastModifiedBy>Netanel Izhak</cp:lastModifiedBy>
  <cp:revision>2</cp:revision>
  <dcterms:created xsi:type="dcterms:W3CDTF">2022-05-23T10:16:00Z</dcterms:created>
  <dcterms:modified xsi:type="dcterms:W3CDTF">2022-05-23T10:16:00Z</dcterms:modified>
</cp:coreProperties>
</file>