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2" w:name="X63d9136038fe181533ec788ae4f8eb3ce4bf3d2"/>
    <w:p>
      <w:pPr>
        <w:pStyle w:val="Heading1"/>
      </w:pPr>
      <w:r>
        <w:t xml:space="preserve">PenuX-SAP Stage I Observational Cohort Study Protocol</w:t>
      </w:r>
    </w:p>
    <w:p>
      <w:pPr>
        <w:pStyle w:val="FirstParagraph"/>
      </w:pPr>
      <w:r>
        <w:rPr>
          <w:bCs/>
          <w:b/>
        </w:rPr>
        <w:t xml:space="preserve">Full Title:</w:t>
      </w:r>
      <w:r>
        <w:t xml:space="preserve"> </w:t>
      </w:r>
      <w:r>
        <w:t xml:space="preserve">Prospective Observational Validation of a Machine-Learning–Based Severity Prediction System (PenuX) in Adults Admitted with Acute Pancreatitis: A Stage I Cohort Study</w:t>
      </w:r>
    </w:p>
    <w:p>
      <w:pPr>
        <w:pStyle w:val="BodyText"/>
      </w:pPr>
      <w:r>
        <w:rPr>
          <w:bCs/>
          <w:b/>
        </w:rPr>
        <w:t xml:space="preserve">Protocol Version: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June 2026</w:t>
      </w:r>
      <w:r>
        <w:br/>
      </w:r>
      <w:r>
        <w:rPr>
          <w:bCs/>
          <w:b/>
        </w:rPr>
        <w:t xml:space="preserve">Principal Investigator:</w:t>
      </w:r>
      <w:r>
        <w:t xml:space="preserve"> </w:t>
      </w:r>
      <w:r>
        <w:t xml:space="preserve">Netanel Stern, PenuX Research Initiative</w:t>
      </w:r>
      <w:r>
        <w:br/>
      </w:r>
      <w:r>
        <w:rPr>
          <w:bCs/>
          <w:b/>
        </w:rPr>
        <w:t xml:space="preserve">Contact:</w:t>
      </w:r>
      <w:r>
        <w:t xml:space="preserve"> </w:t>
      </w:r>
      <w:r>
        <w:t xml:space="preserve">netanel@penux.uk | +972-55-970-8708</w:t>
      </w:r>
      <w:r>
        <w:br/>
      </w:r>
      <w:r>
        <w:rPr>
          <w:bCs/>
          <w:b/>
        </w:rPr>
        <w:t xml:space="preserve">ClinicalTrials.gov:</w:t>
      </w:r>
      <w:r>
        <w:t xml:space="preserve"> </w:t>
      </w:r>
      <w:r>
        <w:t xml:space="preserve">[Pending Registration]</w:t>
      </w:r>
    </w:p>
    <w:p>
      <w:r>
        <w:pict>
          <v:rect style="width:0;height:1.5pt" o:hralign="center" o:hrstd="t" o:hr="t"/>
        </w:pict>
      </w:r>
    </w:p>
    <w:bookmarkStart w:id="20" w:name="background-and-scientific-rationale"/>
    <w:p>
      <w:pPr>
        <w:pStyle w:val="Heading2"/>
      </w:pPr>
      <w:r>
        <w:t xml:space="preserve">1. Background and Scientific Rationale</w:t>
      </w:r>
    </w:p>
    <w:p>
      <w:pPr>
        <w:pStyle w:val="FirstParagraph"/>
      </w:pPr>
      <w:r>
        <w:t xml:space="preserve">Acute pancreatitis (AP) is one of the most common gastrointestinal emergencies, with a global annual incidence of approximately 34 per 100,000 persons and a rising trend. Roughly 10–20% of patients progress to severe acute pancreatitis (SAP), defined by the 2012 Revised Atlanta Classification (RAC) as persistent organ failure lasting more than 48 hours. SAP carries a mortality of 20–40% and places substantial demands on intensive care resources.</w:t>
      </w:r>
    </w:p>
    <w:p>
      <w:pPr>
        <w:pStyle w:val="BodyText"/>
      </w:pPr>
      <w:r>
        <w:t xml:space="preserve">Current severity scoring systems — Ranson criteria, APACHE II, BISAP, and the Modified CT Severity Index — require 24–48 hours of observation before reliable stratification is possible, or depend on contrast-enhanced CT imaging that may be unsafe in the acute phase. This delay limits early triage and timely escalation of care.</w:t>
      </w:r>
    </w:p>
    <w:p>
      <w:pPr>
        <w:pStyle w:val="BodyText"/>
      </w:pPr>
      <w:r>
        <w:t xml:space="preserve">PenuX is a machine-learning ensemble that predicts SAP severity at the time of hospital admission using routine laboratory values. In a retrospective computational study of 722 AP patients labelled according to the 2012 Revised Atlanta Classification, PenuX (Random Forest core) achieved AUC-ROC 0.877, sensitivity 96.8%, F1 0.917 and PPV 87.1% — outperforming all deep-learning architectures tested. A secondary pancreatic sepsis risk sub-model provides probabilistic sepsis risk stratification at admission.</w:t>
      </w:r>
    </w:p>
    <w:p>
      <w:pPr>
        <w:pStyle w:val="BodyText"/>
      </w:pPr>
      <w:r>
        <w:rPr>
          <w:bCs/>
          <w:b/>
        </w:rPr>
        <w:t xml:space="preserve">This Stage I study is the first prospective external validation</w:t>
      </w:r>
      <w:r>
        <w:t xml:space="preserve"> </w:t>
      </w:r>
      <w:r>
        <w:t xml:space="preserve">of the PenuX system in a real-world hospital population, conducted in silent-mode (prediction-only, no clinical intervention). The outputs of this stage will inform the design of a Stage II prospective interventional pilot.</w:t>
      </w:r>
    </w:p>
    <w:p>
      <w:r>
        <w:pict>
          <v:rect style="width:0;height:1.5pt" o:hralign="center" o:hrstd="t" o:hr="t"/>
        </w:pict>
      </w:r>
    </w:p>
    <w:bookmarkEnd w:id="20"/>
    <w:bookmarkStart w:id="23" w:name="objectives"/>
    <w:p>
      <w:pPr>
        <w:pStyle w:val="Heading2"/>
      </w:pPr>
      <w:r>
        <w:t xml:space="preserve">2. Objectives</w:t>
      </w:r>
    </w:p>
    <w:bookmarkStart w:id="21" w:name="primary-objective"/>
    <w:p>
      <w:pPr>
        <w:pStyle w:val="Heading3"/>
      </w:pPr>
      <w:r>
        <w:t xml:space="preserve">2.1 Primary Objective</w:t>
      </w:r>
    </w:p>
    <w:p>
      <w:pPr>
        <w:pStyle w:val="FirstParagraph"/>
      </w:pPr>
      <w:r>
        <w:t xml:space="preserve">Assess the external discriminative validity of the PenuX SAP severity prediction model in a prospective cohort of AP admissions, measured by AUC-ROC against the RAC gold-standard severity label at 48 hours.</w:t>
      </w:r>
    </w:p>
    <w:bookmarkEnd w:id="21"/>
    <w:bookmarkStart w:id="22" w:name="secondary-objectives"/>
    <w:p>
      <w:pPr>
        <w:pStyle w:val="Heading3"/>
      </w:pPr>
      <w:r>
        <w:t xml:space="preserve">2.2 Secondary Objectives</w:t>
      </w:r>
    </w:p>
    <w:p>
      <w:pPr>
        <w:numPr>
          <w:ilvl w:val="0"/>
          <w:numId w:val="1001"/>
        </w:numPr>
        <w:pStyle w:val="Compact"/>
      </w:pPr>
      <w:r>
        <w:t xml:space="preserve">Evaluate sensitivity, specificity, PPV, NPV, and F1 at the pre-specified operating threshold (optimised for maximal F1 in the development set).</w:t>
      </w:r>
    </w:p>
    <w:p>
      <w:pPr>
        <w:numPr>
          <w:ilvl w:val="0"/>
          <w:numId w:val="1001"/>
        </w:numPr>
        <w:pStyle w:val="Compact"/>
      </w:pPr>
      <w:r>
        <w:t xml:space="preserve">Assess calibration of predicted probabilities (Brier score, reliability diagram, Hosmer–Lemeshow test).</w:t>
      </w:r>
    </w:p>
    <w:p>
      <w:pPr>
        <w:numPr>
          <w:ilvl w:val="0"/>
          <w:numId w:val="1001"/>
        </w:numPr>
        <w:pStyle w:val="Compact"/>
      </w:pPr>
      <w:r>
        <w:t xml:space="preserve">Determine the lead-time advantage over BISAP score (comparing prediction accuracy at admission vs. 24 h).</w:t>
      </w:r>
    </w:p>
    <w:p>
      <w:pPr>
        <w:numPr>
          <w:ilvl w:val="0"/>
          <w:numId w:val="1001"/>
        </w:numPr>
        <w:pStyle w:val="Compact"/>
      </w:pPr>
      <w:r>
        <w:t xml:space="preserve">Evaluate the secondary pancreatic sepsis risk sub-model against culture-confirmed or clinically diagnosed pancreatic sepsis.</w:t>
      </w:r>
    </w:p>
    <w:p>
      <w:pPr>
        <w:numPr>
          <w:ilvl w:val="0"/>
          <w:numId w:val="1001"/>
        </w:numPr>
        <w:pStyle w:val="Compact"/>
      </w:pPr>
      <w:r>
        <w:t xml:space="preserve">Characterise any systematic performance differences across age, sex, aetiology (gallstone vs. alcohol vs. other), and BMI strata.</w:t>
      </w:r>
    </w:p>
    <w:p>
      <w:pPr>
        <w:numPr>
          <w:ilvl w:val="0"/>
          <w:numId w:val="1001"/>
        </w:numPr>
        <w:pStyle w:val="Compact"/>
      </w:pPr>
      <w:r>
        <w:t xml:space="preserve">Quantify clinical alert burden: proportion of patients flagged as high-risk, false-alert rate.</w:t>
      </w:r>
    </w:p>
    <w:p>
      <w:pPr>
        <w:numPr>
          <w:ilvl w:val="0"/>
          <w:numId w:val="1001"/>
        </w:numPr>
        <w:pStyle w:val="Compact"/>
      </w:pPr>
      <w:r>
        <w:t xml:space="preserve">Assess feasibility of data harmonisation between local EHR variables and PenuX input features.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study-design"/>
    <w:p>
      <w:pPr>
        <w:pStyle w:val="Heading2"/>
      </w:pPr>
      <w:r>
        <w:t xml:space="preserve">3. Study Design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840"/>
        <w:gridCol w:w="3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Prospective, observational, silent-mode (non-interventional)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or more hospital sites with dedicated gastroenterology / acute medicine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 enrolment + 3 months follow-up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clinical severity scores (BISAP, APACHE II at 24 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Clinicians blinded to PenuX outputs throughout Stage 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Ethics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IRB/Helsinki Committee approval required before initiation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Silent-mode rationale:</w:t>
      </w:r>
      <w:r>
        <w:t xml:space="preserve"> </w:t>
      </w:r>
      <w:r>
        <w:t xml:space="preserve">PenuX predictions are logged but not shown to treating clinicians during Stage I. This eliminates feedback loops, preserves standard-of-care as the sole treatment driver, and produces unbiased outcome labels.</w:t>
      </w:r>
    </w:p>
    <w:p>
      <w:r>
        <w:pict>
          <v:rect style="width:0;height:1.5pt" o:hralign="center" o:hrstd="t" o:hr="t"/>
        </w:pict>
      </w:r>
    </w:p>
    <w:bookmarkEnd w:id="24"/>
    <w:bookmarkStart w:id="28" w:name="study-population"/>
    <w:p>
      <w:pPr>
        <w:pStyle w:val="Heading2"/>
      </w:pPr>
      <w:r>
        <w:t xml:space="preserve">4. Study Population</w:t>
      </w:r>
    </w:p>
    <w:bookmarkStart w:id="25" w:name="inclusion-criteria"/>
    <w:p>
      <w:pPr>
        <w:pStyle w:val="Heading3"/>
      </w:pPr>
      <w:r>
        <w:t xml:space="preserve">4.1 Inclusion Criteria</w:t>
      </w:r>
    </w:p>
    <w:p>
      <w:pPr>
        <w:numPr>
          <w:ilvl w:val="0"/>
          <w:numId w:val="1002"/>
        </w:numPr>
        <w:pStyle w:val="Compact"/>
      </w:pPr>
      <w:r>
        <w:t xml:space="preserve">Age ≥ 18 years</w:t>
      </w:r>
    </w:p>
    <w:p>
      <w:pPr>
        <w:numPr>
          <w:ilvl w:val="0"/>
          <w:numId w:val="1002"/>
        </w:numPr>
        <w:pStyle w:val="Compact"/>
      </w:pPr>
      <w:r>
        <w:t xml:space="preserve">Admission diagnosis of acute pancreatitis meeting the 2012 Revised Atlanta Classification diagnostic criteria (≥2 of: characteristic abdominal pain; serum lipase or amylase ≥3× upper limit of normal; characteristic imaging findings)</w:t>
      </w:r>
    </w:p>
    <w:p>
      <w:pPr>
        <w:numPr>
          <w:ilvl w:val="0"/>
          <w:numId w:val="1002"/>
        </w:numPr>
        <w:pStyle w:val="Compact"/>
      </w:pPr>
      <w:r>
        <w:t xml:space="preserve">Admission within 24 hours of symptom onset</w:t>
      </w:r>
    </w:p>
    <w:p>
      <w:pPr>
        <w:numPr>
          <w:ilvl w:val="0"/>
          <w:numId w:val="1002"/>
        </w:numPr>
        <w:pStyle w:val="Compact"/>
      </w:pPr>
      <w:r>
        <w:t xml:space="preserve">Availability of routine admission blood tests (see Section 6) within 6 hours of presentation</w:t>
      </w:r>
    </w:p>
    <w:p>
      <w:pPr>
        <w:numPr>
          <w:ilvl w:val="0"/>
          <w:numId w:val="1002"/>
        </w:numPr>
        <w:pStyle w:val="Compact"/>
      </w:pPr>
      <w:r>
        <w:t xml:space="preserve">Informed consent (or waiver of consent approved by IRB for deferred consent in obtunded patients)</w:t>
      </w:r>
    </w:p>
    <w:bookmarkEnd w:id="25"/>
    <w:bookmarkStart w:id="26" w:name="exclusion-criteria"/>
    <w:p>
      <w:pPr>
        <w:pStyle w:val="Heading3"/>
      </w:pPr>
      <w:r>
        <w:t xml:space="preserve">4.2 Exclusion Criteria</w:t>
      </w:r>
    </w:p>
    <w:p>
      <w:pPr>
        <w:numPr>
          <w:ilvl w:val="0"/>
          <w:numId w:val="1003"/>
        </w:numPr>
        <w:pStyle w:val="Compact"/>
      </w:pPr>
      <w:r>
        <w:t xml:space="preserve">Chronic pancreatitis without acute-on-chronic exacerbation</w:t>
      </w:r>
    </w:p>
    <w:p>
      <w:pPr>
        <w:numPr>
          <w:ilvl w:val="0"/>
          <w:numId w:val="1003"/>
        </w:numPr>
        <w:pStyle w:val="Compact"/>
      </w:pPr>
      <w:r>
        <w:t xml:space="preserve">Post-ERCP pancreatitis (distinct physiology)</w:t>
      </w:r>
    </w:p>
    <w:p>
      <w:pPr>
        <w:numPr>
          <w:ilvl w:val="0"/>
          <w:numId w:val="1003"/>
        </w:numPr>
        <w:pStyle w:val="Compact"/>
      </w:pPr>
      <w:r>
        <w:t xml:space="preserve">Pre-existing pancreatic malignancy</w:t>
      </w:r>
    </w:p>
    <w:p>
      <w:pPr>
        <w:numPr>
          <w:ilvl w:val="0"/>
          <w:numId w:val="1003"/>
        </w:numPr>
        <w:pStyle w:val="Compact"/>
      </w:pPr>
      <w:r>
        <w:t xml:space="preserve">Patients admitted directly to ICU from another hospital after ≥48 hours of disease course (severity already established)</w:t>
      </w:r>
    </w:p>
    <w:p>
      <w:pPr>
        <w:numPr>
          <w:ilvl w:val="0"/>
          <w:numId w:val="1003"/>
        </w:numPr>
        <w:pStyle w:val="Compact"/>
      </w:pPr>
      <w:r>
        <w:t xml:space="preserve">Refusal of consent</w:t>
      </w:r>
    </w:p>
    <w:p>
      <w:pPr>
        <w:numPr>
          <w:ilvl w:val="0"/>
          <w:numId w:val="1003"/>
        </w:numPr>
        <w:pStyle w:val="Compact"/>
      </w:pPr>
      <w:r>
        <w:t xml:space="preserve">Pregnancy (separate physiological reference ranges; deferred to a dedicated sub-study)</w:t>
      </w:r>
    </w:p>
    <w:bookmarkEnd w:id="26"/>
    <w:bookmarkStart w:id="27" w:name="sample-size"/>
    <w:p>
      <w:pPr>
        <w:pStyle w:val="Heading3"/>
      </w:pPr>
      <w:r>
        <w:t xml:space="preserve">4.3 Sample Size</w:t>
      </w:r>
    </w:p>
    <w:p>
      <w:pPr>
        <w:pStyle w:val="FirstParagraph"/>
      </w:pPr>
      <w:r>
        <w:t xml:space="preserve">Based on the development-set AUC of 0.877 and assuming a conservative expected external-validation AUC of 0.82 (10% degradation), with H₀: AUC = 0.70, α = 0.05 (one-sided), power = 0.80, and SAP prevalence ~25% in a general hospital setting: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Required sample: n = 180 patients</w:t>
      </w:r>
      <w:r>
        <w:t xml:space="preserve"> </w:t>
      </w:r>
      <w:r>
        <w:t xml:space="preserve">(80 SAP, 100 non-SAP expected)</w:t>
      </w:r>
    </w:p>
    <w:p>
      <w:pPr>
        <w:numPr>
          <w:ilvl w:val="0"/>
          <w:numId w:val="1004"/>
        </w:numPr>
        <w:pStyle w:val="Compact"/>
      </w:pPr>
      <w:r>
        <w:t xml:space="preserve">Inflated to</w:t>
      </w:r>
      <w:r>
        <w:t xml:space="preserve"> </w:t>
      </w:r>
      <w:r>
        <w:rPr>
          <w:bCs/>
          <w:b/>
        </w:rPr>
        <w:t xml:space="preserve">n = 220</w:t>
      </w:r>
      <w:r>
        <w:t xml:space="preserve"> </w:t>
      </w:r>
      <w:r>
        <w:t xml:space="preserve">to account for 15% attrition (incomplete blood panels, loss to follow-up, withdrawal)</w:t>
      </w:r>
    </w:p>
    <w:p>
      <w:pPr>
        <w:numPr>
          <w:ilvl w:val="0"/>
          <w:numId w:val="1004"/>
        </w:numPr>
        <w:pStyle w:val="Compact"/>
      </w:pPr>
      <w:r>
        <w:t xml:space="preserve">Enrolment target:</w:t>
      </w:r>
      <w:r>
        <w:t xml:space="preserve"> </w:t>
      </w:r>
      <w:r>
        <w:rPr>
          <w:bCs/>
          <w:b/>
        </w:rPr>
        <w:t xml:space="preserve">~18–20 patients/month</w:t>
      </w:r>
      <w:r>
        <w:t xml:space="preserve"> </w:t>
      </w:r>
      <w:r>
        <w:t xml:space="preserve">over 12 months at a single site</w:t>
      </w:r>
    </w:p>
    <w:p>
      <w:pPr>
        <w:pStyle w:val="FirstParagraph"/>
      </w:pPr>
      <w:r>
        <w:rPr>
          <w:iCs/>
          <w:i/>
        </w:rPr>
        <w:t xml:space="preserve">Sample size calculation performed using the Obuchowski–Mcclish method for AUC comparison (MedCalc v22).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enrolment-and-consent-procedure"/>
    <w:p>
      <w:pPr>
        <w:pStyle w:val="Heading2"/>
      </w:pPr>
      <w:r>
        <w:t xml:space="preserve">5. Enrolment and Consent Procedure</w:t>
      </w:r>
    </w:p>
    <w:p>
      <w:pPr>
        <w:numPr>
          <w:ilvl w:val="0"/>
          <w:numId w:val="1005"/>
        </w:numPr>
        <w:pStyle w:val="Compact"/>
      </w:pPr>
      <w:r>
        <w:t xml:space="preserve">Attending physician or research nurse screens all AP admissions against inclusion/exclusion criteria within 6 hours of presentation.</w:t>
      </w:r>
    </w:p>
    <w:p>
      <w:pPr>
        <w:numPr>
          <w:ilvl w:val="0"/>
          <w:numId w:val="1005"/>
        </w:numPr>
        <w:pStyle w:val="Compact"/>
      </w:pPr>
      <w:r>
        <w:t xml:space="preserve">Eligible patients (or their next of kin if patient is obtunded) are approached for written informed consent.</w:t>
      </w:r>
    </w:p>
    <w:p>
      <w:pPr>
        <w:numPr>
          <w:ilvl w:val="0"/>
          <w:numId w:val="1005"/>
        </w:numPr>
        <w:pStyle w:val="Compact"/>
      </w:pPr>
      <w:r>
        <w:t xml:space="preserve">An IRB-approved deferred-consent pathway may be used for obtunded patients; full consent obtained at the earliest opportunity.</w:t>
      </w:r>
    </w:p>
    <w:p>
      <w:pPr>
        <w:numPr>
          <w:ilvl w:val="0"/>
          <w:numId w:val="1005"/>
        </w:numPr>
        <w:pStyle w:val="Compact"/>
      </w:pPr>
      <w:r>
        <w:t xml:space="preserve">Enrolment logged in REDCap with timestamp, enroller ID, and consent status.</w:t>
      </w:r>
    </w:p>
    <w:p>
      <w:r>
        <w:pict>
          <v:rect style="width:0;height:1.5pt" o:hralign="center" o:hrstd="t" o:hr="t"/>
        </w:pict>
      </w:r>
    </w:p>
    <w:bookmarkEnd w:id="29"/>
    <w:bookmarkStart w:id="33" w:name="data-collection"/>
    <w:p>
      <w:pPr>
        <w:pStyle w:val="Heading2"/>
      </w:pPr>
      <w:r>
        <w:t xml:space="preserve">6. Data Collection</w:t>
      </w:r>
    </w:p>
    <w:bookmarkStart w:id="30" w:name="admission-variables-penux-model-inputs"/>
    <w:p>
      <w:pPr>
        <w:pStyle w:val="Heading3"/>
      </w:pPr>
      <w:r>
        <w:t xml:space="preserve">6.1 Admission Variables (PenuX Model Inputs)</w:t>
      </w:r>
    </w:p>
    <w:p>
      <w:pPr>
        <w:pStyle w:val="FirstParagraph"/>
      </w:pPr>
      <w:r>
        <w:t xml:space="preserve">Collected from the EHR within 6 hours of presentation: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34"/>
        <w:gridCol w:w="45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Demographics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Age, sex, BMI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Inflammatory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CRP, WBC, Neutrophil %, Neutrophil count, Lymphocyte %, Lymphocyte count, Monocyte %, Monocyte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Pancreatic enzymes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Amylase (AMY), Lipase (where available)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Liver/biliary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ALT, AST, GGT, ALP, TBIL, DBIL, IBIL, ALB, TP, GLB, A/G 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Renal/electrolytes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Creatinine (Cr), Urea, Na⁺, K⁺, Cl⁻, Ca²⁺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Coagulation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PT, APTT, INR, FIB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Metabolic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Glucose (Glu), TG, LDL-C, CO₂-CP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Haematology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RBC, Hb, HCT, MCV, MCH, MCHC, RDW-CV, RDW-SD, PLT, PDW, PCT, P-LCR, MPV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Cardiac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LDH, α-HBDH, CK, CK-MB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Eosinophil %, Basophil %, Eosinophil count, Basophil count</w:t>
            </w:r>
          </w:p>
        </w:tc>
      </w:tr>
    </w:tbl>
    <w:bookmarkEnd w:id="30"/>
    <w:bookmarkStart w:id="31" w:name="clinical-outcome-variables"/>
    <w:p>
      <w:pPr>
        <w:pStyle w:val="Heading3"/>
      </w:pPr>
      <w:r>
        <w:t xml:space="preserve">6.2 Clinical Outcome Variables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46"/>
        <w:gridCol w:w="2436"/>
        <w:gridCol w:w="24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SAP label (RAC 2012)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48–72 h post-admission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assessment by gastroenterologist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BISAP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Admission, 24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APACHE II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ICU chart / clinical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Ranson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 failure (SOFA sub-scores: renal, respiratory, cardiovascular)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×5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EHR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Pancreatic necrosis (CT)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CT performed (clinical indication)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Radiology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Infected necrosis / pancreatic sepsis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by culture or clinical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Microbiology, clinical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ICU admission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point during admission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EHR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Length of hospital stay (days)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EHR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30-day mortality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 record or phone follow-up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30-day readmission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 record or phone follow-up</w:t>
            </w:r>
          </w:p>
        </w:tc>
      </w:tr>
    </w:tbl>
    <w:bookmarkEnd w:id="31"/>
    <w:bookmarkStart w:id="32" w:name="ap-aetiology"/>
    <w:p>
      <w:pPr>
        <w:pStyle w:val="Heading3"/>
      </w:pPr>
      <w:r>
        <w:t xml:space="preserve">6.3 AP Aetiology</w:t>
      </w:r>
    </w:p>
    <w:p>
      <w:pPr>
        <w:pStyle w:val="FirstParagraph"/>
      </w:pPr>
      <w:r>
        <w:t xml:space="preserve">Classified by attending physician: gallstone, alcohol, hypertriglyceridaemia, post-ERCP (excluded), idiopathic, other.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penux-system-operation-silent-mode"/>
    <w:p>
      <w:pPr>
        <w:pStyle w:val="Heading2"/>
      </w:pPr>
      <w:r>
        <w:t xml:space="preserve">7. PenuX System Operation (Silent Mode)</w:t>
      </w:r>
    </w:p>
    <w:p>
      <w:pPr>
        <w:numPr>
          <w:ilvl w:val="0"/>
          <w:numId w:val="1006"/>
        </w:numPr>
        <w:pStyle w:val="Compact"/>
      </w:pPr>
      <w:r>
        <w:t xml:space="preserve">Admission lab values are extracted from the EHR (manually or via HL7 interface) and entered into the PenuX web portal or API endpoint.</w:t>
      </w:r>
    </w:p>
    <w:p>
      <w:pPr>
        <w:numPr>
          <w:ilvl w:val="0"/>
          <w:numId w:val="1006"/>
        </w:numPr>
        <w:pStyle w:val="Compact"/>
      </w:pPr>
      <w:r>
        <w:t xml:space="preserve">The system outputs: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SAP Severity Probability</w:t>
      </w:r>
      <w:r>
        <w:t xml:space="preserve"> </w:t>
      </w:r>
      <w:r>
        <w:t xml:space="preserve">(0–1) and binary classification (high-risk / low-risk) at the pre-specified F1-optimal threshold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Pancreatic Sepsis Risk Probability</w:t>
      </w:r>
      <w:r>
        <w:t xml:space="preserve"> </w:t>
      </w:r>
      <w:r>
        <w:t xml:space="preserve">(0–1)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Risk group label</w:t>
      </w:r>
      <w:r>
        <w:t xml:space="preserve"> </w:t>
      </w:r>
      <w:r>
        <w:t xml:space="preserve">(low / moderate / high)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Feature attribution</w:t>
      </w:r>
      <w:r>
        <w:t xml:space="preserve"> </w:t>
      </w:r>
      <w:r>
        <w:t xml:space="preserve">(top-3 contributing variables per patient)</w:t>
      </w:r>
    </w:p>
    <w:p>
      <w:pPr>
        <w:numPr>
          <w:ilvl w:val="0"/>
          <w:numId w:val="1006"/>
        </w:numPr>
        <w:pStyle w:val="Compact"/>
      </w:pPr>
      <w:r>
        <w:t xml:space="preserve">All outputs are logged to a secure, access-controlled database. No output is displayed in clinical systems or to treating staff during Stage I.</w:t>
      </w:r>
    </w:p>
    <w:p>
      <w:pPr>
        <w:numPr>
          <w:ilvl w:val="0"/>
          <w:numId w:val="1006"/>
        </w:numPr>
        <w:pStyle w:val="Compact"/>
      </w:pPr>
      <w:r>
        <w:t xml:space="preserve">PenuX outputs are linked to patient records via pseudonymised study ID only.</w:t>
      </w:r>
    </w:p>
    <w:p>
      <w:r>
        <w:pict>
          <v:rect style="width:0;height:1.5pt" o:hralign="center" o:hrstd="t" o:hr="t"/>
        </w:pict>
      </w:r>
    </w:p>
    <w:bookmarkEnd w:id="34"/>
    <w:bookmarkStart w:id="37" w:name="primary-and-secondary-endpoints"/>
    <w:p>
      <w:pPr>
        <w:pStyle w:val="Heading2"/>
      </w:pPr>
      <w:r>
        <w:t xml:space="preserve">8. Primary and Secondary Endpoints</w:t>
      </w:r>
    </w:p>
    <w:bookmarkStart w:id="35" w:name="primary-endpoint"/>
    <w:p>
      <w:pPr>
        <w:pStyle w:val="Heading3"/>
      </w:pPr>
      <w:r>
        <w:t xml:space="preserve">8.1 Primary Endpoint</w:t>
      </w:r>
    </w:p>
    <w:p>
      <w:pPr>
        <w:numPr>
          <w:ilvl w:val="0"/>
          <w:numId w:val="1008"/>
        </w:numPr>
        <w:pStyle w:val="Compact"/>
      </w:pPr>
      <w:r>
        <w:t xml:space="preserve">AUC-ROC of PenuX SAP severity probability vs. RAC 2012 severity label at 48 h</w:t>
      </w:r>
    </w:p>
    <w:bookmarkEnd w:id="35"/>
    <w:bookmarkStart w:id="36" w:name="secondary-endpoints"/>
    <w:p>
      <w:pPr>
        <w:pStyle w:val="Heading3"/>
      </w:pPr>
      <w:r>
        <w:t xml:space="preserve">8.2 Secondary Endpoints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400"/>
        <w:gridCol w:w="35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Sensitivity at pre-specified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(95% CI)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Specificity at pre-specified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(95% CI)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(95% CI)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(95% CI)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(95% CI, bootstrap)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Brier score, Hosmer–Lemeshow 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 time vs. BISAP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 at admission vs. AUC at 24 h (DeLong test)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Pancreatic sepsis 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AUC-ROC vs. culture-confirmed/clinical sepsis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Subgroup AUC: age ≥65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AUC-ROC (95% CI)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Subgroup AUC: gallstone aetiology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AUC-ROC (95% CI)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 burden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patients flagged high-risk per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completeness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59 features available at admission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2" w:name="statistical-analysis-plan"/>
    <w:p>
      <w:pPr>
        <w:pStyle w:val="Heading2"/>
      </w:pPr>
      <w:r>
        <w:t xml:space="preserve">9. Statistical Analysis Plan</w:t>
      </w:r>
    </w:p>
    <w:bookmarkStart w:id="38" w:name="primary-analysis"/>
    <w:p>
      <w:pPr>
        <w:pStyle w:val="Heading3"/>
      </w:pPr>
      <w:r>
        <w:t xml:space="preserve">9.1 Primary Analysis</w:t>
      </w:r>
    </w:p>
    <w:p>
      <w:pPr>
        <w:pStyle w:val="FirstParagraph"/>
      </w:pPr>
      <w:r>
        <w:t xml:space="preserve">AUC-ROC calculated using the DeLong non-parametric estimator with 95% CI. Pre-specified H₀: AUC ≤ 0.70 (worse than existing scores). One-sided test, α = 0.05.</w:t>
      </w:r>
    </w:p>
    <w:bookmarkEnd w:id="38"/>
    <w:bookmarkStart w:id="39" w:name="secondary-analyses"/>
    <w:p>
      <w:pPr>
        <w:pStyle w:val="Heading3"/>
      </w:pPr>
      <w:r>
        <w:t xml:space="preserve">9.2 Secondary Analyses</w:t>
      </w:r>
    </w:p>
    <w:p>
      <w:pPr>
        <w:numPr>
          <w:ilvl w:val="0"/>
          <w:numId w:val="1009"/>
        </w:numPr>
        <w:pStyle w:val="Compact"/>
      </w:pPr>
      <w:r>
        <w:t xml:space="preserve">Sensitivity/specificity/PPV/NPV: Wilson score 95% CI</w:t>
      </w:r>
    </w:p>
    <w:p>
      <w:pPr>
        <w:numPr>
          <w:ilvl w:val="0"/>
          <w:numId w:val="1009"/>
        </w:numPr>
        <w:pStyle w:val="Compact"/>
      </w:pPr>
      <w:r>
        <w:t xml:space="preserve">Calibration: Brier score; HL χ² statistic (10 groups); reliability plot</w:t>
      </w:r>
    </w:p>
    <w:p>
      <w:pPr>
        <w:numPr>
          <w:ilvl w:val="0"/>
          <w:numId w:val="1009"/>
        </w:numPr>
        <w:pStyle w:val="Compact"/>
      </w:pPr>
      <w:r>
        <w:t xml:space="preserve">DeLong test for paired AUC comparison (PenuX-admission vs. BISAP-24h)</w:t>
      </w:r>
    </w:p>
    <w:p>
      <w:pPr>
        <w:numPr>
          <w:ilvl w:val="0"/>
          <w:numId w:val="1009"/>
        </w:numPr>
        <w:pStyle w:val="Compact"/>
      </w:pPr>
      <w:r>
        <w:t xml:space="preserve">Subgroup analyses: Cochran’s Q test for heterogeneity across pre-specified strata; no p-value correction (exploratory)</w:t>
      </w:r>
    </w:p>
    <w:p>
      <w:pPr>
        <w:numPr>
          <w:ilvl w:val="0"/>
          <w:numId w:val="1009"/>
        </w:numPr>
        <w:pStyle w:val="Compact"/>
      </w:pPr>
      <w:r>
        <w:t xml:space="preserve">Missing data: Multiple imputation by chained equations (MICE, m=10) for features missing in &lt;30% of cases; complete-case sensitivity analysis</w:t>
      </w:r>
    </w:p>
    <w:bookmarkEnd w:id="39"/>
    <w:bookmarkStart w:id="40" w:name="multiple-comparisons"/>
    <w:p>
      <w:pPr>
        <w:pStyle w:val="Heading3"/>
      </w:pPr>
      <w:r>
        <w:t xml:space="preserve">9.3 Multiple Comparisons</w:t>
      </w:r>
    </w:p>
    <w:p>
      <w:pPr>
        <w:pStyle w:val="FirstParagraph"/>
      </w:pPr>
      <w:r>
        <w:t xml:space="preserve">Secondary endpoints are exploratory. No Bonferroni adjustment is applied, but findings are interpreted as hypothesis-generating.</w:t>
      </w:r>
    </w:p>
    <w:bookmarkEnd w:id="40"/>
    <w:bookmarkStart w:id="41" w:name="software"/>
    <w:p>
      <w:pPr>
        <w:pStyle w:val="Heading3"/>
      </w:pPr>
      <w:r>
        <w:t xml:space="preserve">9.4 Software</w:t>
      </w:r>
    </w:p>
    <w:p>
      <w:pPr>
        <w:pStyle w:val="FirstParagraph"/>
      </w:pPr>
      <w:r>
        <w:t xml:space="preserve">Python 3.11 (scikit-learn, scipy, statsmodels), R 4.4 (pROC, rms), REDCap for data capture.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data-management-and-security"/>
    <w:p>
      <w:pPr>
        <w:pStyle w:val="Heading2"/>
      </w:pPr>
      <w:r>
        <w:t xml:space="preserve">10. Data Management and Security</w:t>
      </w:r>
    </w:p>
    <w:p>
      <w:pPr>
        <w:numPr>
          <w:ilvl w:val="0"/>
          <w:numId w:val="1010"/>
        </w:numPr>
        <w:pStyle w:val="Compact"/>
      </w:pPr>
      <w:r>
        <w:t xml:space="preserve">All patient data stored in REDCap (ISO 27001 certified, hosted within hospital firewall or approved cloud region)</w:t>
      </w:r>
    </w:p>
    <w:p>
      <w:pPr>
        <w:numPr>
          <w:ilvl w:val="0"/>
          <w:numId w:val="1010"/>
        </w:numPr>
        <w:pStyle w:val="Compact"/>
      </w:pPr>
      <w:r>
        <w:t xml:space="preserve">Pseudonymisation: patient linked to 8-character alphanumeric study ID; linkage key held by site PI only</w:t>
      </w:r>
    </w:p>
    <w:p>
      <w:pPr>
        <w:numPr>
          <w:ilvl w:val="0"/>
          <w:numId w:val="1010"/>
        </w:numPr>
        <w:pStyle w:val="Compact"/>
      </w:pPr>
      <w:r>
        <w:t xml:space="preserve">PenuX receives only pseudonymised structured data; no free-text, no imaging, no direct identifiers</w:t>
      </w:r>
    </w:p>
    <w:p>
      <w:pPr>
        <w:numPr>
          <w:ilvl w:val="0"/>
          <w:numId w:val="1010"/>
        </w:numPr>
        <w:pStyle w:val="Compact"/>
      </w:pPr>
      <w:r>
        <w:t xml:space="preserve">Data transfer to PenuX servers (if any) via TLS 1.3 encrypted API; server-side encryption at rest (AES-256)</w:t>
      </w:r>
    </w:p>
    <w:p>
      <w:pPr>
        <w:numPr>
          <w:ilvl w:val="0"/>
          <w:numId w:val="1010"/>
        </w:numPr>
        <w:pStyle w:val="Compact"/>
      </w:pPr>
      <w:r>
        <w:t xml:space="preserve">Right to access / erasure fulfilled by deleting the study ID from the linkage key</w:t>
      </w:r>
    </w:p>
    <w:p>
      <w:pPr>
        <w:numPr>
          <w:ilvl w:val="0"/>
          <w:numId w:val="1010"/>
        </w:numPr>
        <w:pStyle w:val="Compact"/>
      </w:pPr>
      <w:r>
        <w:t xml:space="preserve">Data retention: 10 years post-study completion per GCP guidelines; anonymised dataset archived for open science (post-publication)</w:t>
      </w:r>
    </w:p>
    <w:p>
      <w:r>
        <w:pict>
          <v:rect style="width:0;height:1.5pt" o:hralign="center" o:hrstd="t" o:hr="t"/>
        </w:pict>
      </w:r>
    </w:p>
    <w:bookmarkEnd w:id="43"/>
    <w:bookmarkStart w:id="44" w:name="ethical-and-regulatory-considerations"/>
    <w:p>
      <w:pPr>
        <w:pStyle w:val="Heading2"/>
      </w:pPr>
      <w:r>
        <w:t xml:space="preserve">11. Ethical and Regulatory Considerations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IRB/Helsinki approval</w:t>
      </w:r>
      <w:r>
        <w:t xml:space="preserve"> </w:t>
      </w:r>
      <w:r>
        <w:t xml:space="preserve">required at each site before enrolment commences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Informed consent</w:t>
      </w:r>
      <w:r>
        <w:t xml:space="preserve"> </w:t>
      </w:r>
      <w:r>
        <w:t xml:space="preserve">obtained in writing per Declaration of Helsinki (2013 revision)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Non-interventional</w:t>
      </w:r>
      <w:r>
        <w:t xml:space="preserve">: PenuX outputs are never used for clinical decision-making during Stage I; no additional procedures or interventions are imposed on participants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CE/FDA:</w:t>
      </w:r>
      <w:r>
        <w:t xml:space="preserve"> </w:t>
      </w:r>
      <w:r>
        <w:t xml:space="preserve">PenuX is not a CE-marked or FDA-cleared device; Stage I is conducted under the research exemption. Any future clinical use will require appropriate regulatory clearance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IEC 62304 lifecycle documentation</w:t>
      </w:r>
      <w:r>
        <w:t xml:space="preserve"> </w:t>
      </w:r>
      <w:r>
        <w:t xml:space="preserve">is maintained for the PenuX software module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Data Protection:</w:t>
      </w:r>
      <w:r>
        <w:t xml:space="preserve"> </w:t>
      </w:r>
      <w:r>
        <w:t xml:space="preserve">Compliant with GDPR (EU) / Israeli Privacy Protection Law 5741-1981 as applicable</w:t>
      </w:r>
    </w:p>
    <w:p>
      <w:r>
        <w:pict>
          <v:rect style="width:0;height:1.5pt" o:hralign="center" o:hrstd="t" o:hr="t"/>
        </w:pict>
      </w:r>
    </w:p>
    <w:bookmarkEnd w:id="44"/>
    <w:bookmarkStart w:id="45" w:name="site-requirements"/>
    <w:p>
      <w:pPr>
        <w:pStyle w:val="Heading2"/>
      </w:pPr>
      <w:r>
        <w:t xml:space="preserve">12. Site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AP admissions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80 patients/year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Gastroenterology or acute medicine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Clinical PI (MD)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 nurse or data coordinator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Highly recommended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EHR with structured lab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REDCap access or equivalent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IRB/ethics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protection officer sign-off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timeline"/>
    <w:p>
      <w:pPr>
        <w:pStyle w:val="Heading2"/>
      </w:pPr>
      <w:r>
        <w:t xml:space="preserve">13. Timeline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IRB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IRB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M2–M3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 setup, staff training, REDCap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M3–M4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patient enrolled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50% enrolment (n ≈ 110)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 patient enrolled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 patient 30-day follow-up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Statistical analysis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Manuscript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outputs-and-dissemination"/>
    <w:p>
      <w:pPr>
        <w:pStyle w:val="Heading2"/>
      </w:pPr>
      <w:r>
        <w:t xml:space="preserve">14. Outputs and Dissemination</w:t>
      </w:r>
    </w:p>
    <w:p>
      <w:pPr>
        <w:numPr>
          <w:ilvl w:val="0"/>
          <w:numId w:val="1012"/>
        </w:numPr>
        <w:pStyle w:val="Compact"/>
      </w:pPr>
      <w:r>
        <w:t xml:space="preserve">Primary manuscript: AUC/calibration/lead-time results submitted to a peer-reviewed gastroenterology or clinical AI journal (target:</w:t>
      </w:r>
      <w:r>
        <w:t xml:space="preserve"> </w:t>
      </w:r>
      <w:r>
        <w:rPr>
          <w:iCs/>
          <w:i/>
        </w:rPr>
        <w:t xml:space="preserve">Gut</w:t>
      </w:r>
      <w:r>
        <w:t xml:space="preserve">,</w:t>
      </w:r>
      <w:r>
        <w:t xml:space="preserve"> </w:t>
      </w:r>
      <w:r>
        <w:rPr>
          <w:iCs/>
          <w:i/>
        </w:rPr>
        <w:t xml:space="preserve">Pancreatology</w:t>
      </w:r>
      <w:r>
        <w:t xml:space="preserve">,</w:t>
      </w:r>
      <w:r>
        <w:t xml:space="preserve"> </w:t>
      </w:r>
      <w:r>
        <w:rPr>
          <w:iCs/>
          <w:i/>
        </w:rPr>
        <w:t xml:space="preserve">The Lancet Digital Health</w:t>
      </w:r>
      <w:r>
        <w:t xml:space="preserve">, or</w:t>
      </w:r>
      <w:r>
        <w:t xml:space="preserve"> </w:t>
      </w:r>
      <w:r>
        <w:rPr>
          <w:iCs/>
          <w:i/>
        </w:rPr>
        <w:t xml:space="preserve">PLOS Medicine</w:t>
      </w:r>
      <w:r>
        <w:t xml:space="preserve">)</w:t>
      </w:r>
    </w:p>
    <w:p>
      <w:pPr>
        <w:numPr>
          <w:ilvl w:val="0"/>
          <w:numId w:val="1012"/>
        </w:numPr>
        <w:pStyle w:val="Compact"/>
      </w:pPr>
      <w:r>
        <w:t xml:space="preserve">Anonymised dataset and analysis code released to GitHub (github.com/netanelcyber/penuX) upon publication</w:t>
      </w:r>
    </w:p>
    <w:p>
      <w:pPr>
        <w:numPr>
          <w:ilvl w:val="0"/>
          <w:numId w:val="1012"/>
        </w:numPr>
        <w:pStyle w:val="Compact"/>
      </w:pPr>
      <w:r>
        <w:t xml:space="preserve">Stage II pilot protocol: if primary AUC ≥ 0.80, initiate design of a prospective silent-to-active pilot with workflow integration and clinical impact assessment</w:t>
      </w:r>
    </w:p>
    <w:p>
      <w:pPr>
        <w:numPr>
          <w:ilvl w:val="0"/>
          <w:numId w:val="1012"/>
        </w:numPr>
        <w:pStyle w:val="Compact"/>
      </w:pPr>
      <w:r>
        <w:t xml:space="preserve">Conference abstract: European Pancreatic Club (EPC) or United European Gastroenterology Week (UEGW)</w:t>
      </w:r>
    </w:p>
    <w:p>
      <w:r>
        <w:pict>
          <v:rect style="width:0;height:1.5pt" o:hralign="center" o:hrstd="t" o:hr="t"/>
        </w:pict>
      </w:r>
    </w:p>
    <w:bookmarkEnd w:id="47"/>
    <w:bookmarkStart w:id="48" w:name="amendments"/>
    <w:p>
      <w:pPr>
        <w:pStyle w:val="Heading2"/>
      </w:pPr>
      <w:r>
        <w:t xml:space="preserve">15. Amendments</w:t>
      </w:r>
    </w:p>
    <w:p>
      <w:pPr>
        <w:pStyle w:val="FirstParagraph"/>
      </w:pPr>
      <w:r>
        <w:t xml:space="preserve">Protocol amendments require written approval from the IRB/ethics committee before implementation. Amendments are tracked in the protocol version history and notified to ClinicalTrials.gov within 30 days.</w:t>
      </w:r>
    </w:p>
    <w:p>
      <w:r>
        <w:pict>
          <v:rect style="width:0;height:1.5pt" o:hralign="center" o:hrstd="t" o:hr="t"/>
        </w:pict>
      </w:r>
    </w:p>
    <w:bookmarkEnd w:id="48"/>
    <w:bookmarkStart w:id="49" w:name="references"/>
    <w:p>
      <w:pPr>
        <w:pStyle w:val="Heading2"/>
      </w:pPr>
      <w:r>
        <w:t xml:space="preserve">16. References</w:t>
      </w:r>
    </w:p>
    <w:p>
      <w:pPr>
        <w:numPr>
          <w:ilvl w:val="0"/>
          <w:numId w:val="1013"/>
        </w:numPr>
        <w:pStyle w:val="Compact"/>
      </w:pPr>
      <w:r>
        <w:t xml:space="preserve">Banks PA et al. Classification of acute pancreatitis — 2012: revision of the Atlanta classification and definitions by international consensus.</w:t>
      </w:r>
      <w:r>
        <w:t xml:space="preserve"> </w:t>
      </w:r>
      <w:r>
        <w:rPr>
          <w:iCs/>
          <w:i/>
        </w:rPr>
        <w:t xml:space="preserve">Gut.</w:t>
      </w:r>
      <w:r>
        <w:t xml:space="preserve"> </w:t>
      </w:r>
      <w:r>
        <w:t xml:space="preserve">2013;62(1):102–111.</w:t>
      </w:r>
    </w:p>
    <w:p>
      <w:pPr>
        <w:numPr>
          <w:ilvl w:val="0"/>
          <w:numId w:val="1013"/>
        </w:numPr>
        <w:pStyle w:val="Compact"/>
      </w:pPr>
      <w:r>
        <w:t xml:space="preserve">Lankisch PG et al. Acute pancreatitis.</w:t>
      </w:r>
      <w:r>
        <w:t xml:space="preserve"> </w:t>
      </w:r>
      <w:r>
        <w:rPr>
          <w:iCs/>
          <w:i/>
        </w:rPr>
        <w:t xml:space="preserve">Nat Rev Dis Primers.</w:t>
      </w:r>
      <w:r>
        <w:t xml:space="preserve"> </w:t>
      </w:r>
      <w:r>
        <w:t xml:space="preserve">2015;1:15054.</w:t>
      </w:r>
    </w:p>
    <w:p>
      <w:pPr>
        <w:numPr>
          <w:ilvl w:val="0"/>
          <w:numId w:val="1013"/>
        </w:numPr>
        <w:pStyle w:val="Compact"/>
      </w:pPr>
      <w:r>
        <w:t xml:space="preserve">Petrov MS, Shanbhag S, Chakraborty M, Phillips AR, Windsor JA. Organ failure and infection of pancreatic necrosis as determinants of mortality in patients with acute pancreatitis.</w:t>
      </w:r>
      <w:r>
        <w:t xml:space="preserve"> </w:t>
      </w:r>
      <w:r>
        <w:rPr>
          <w:iCs/>
          <w:i/>
        </w:rPr>
        <w:t xml:space="preserve">Gastroenterology.</w:t>
      </w:r>
      <w:r>
        <w:t xml:space="preserve"> </w:t>
      </w:r>
      <w:r>
        <w:t xml:space="preserve">2010;139(3):813–820.</w:t>
      </w:r>
    </w:p>
    <w:p>
      <w:pPr>
        <w:numPr>
          <w:ilvl w:val="0"/>
          <w:numId w:val="1013"/>
        </w:numPr>
        <w:pStyle w:val="Compact"/>
      </w:pPr>
      <w:r>
        <w:t xml:space="preserve">Papachristou GI et al. Comparison of BISAP, Ranson’s, APACHE-II, and CTSI scores in predicting organ failure, complications, and mortality in acute pancreatitis.</w:t>
      </w:r>
      <w:r>
        <w:t xml:space="preserve"> </w:t>
      </w:r>
      <w:r>
        <w:rPr>
          <w:iCs/>
          <w:i/>
        </w:rPr>
        <w:t xml:space="preserve">Am J Gastroenterol.</w:t>
      </w:r>
      <w:r>
        <w:t xml:space="preserve"> </w:t>
      </w:r>
      <w:r>
        <w:t xml:space="preserve">2010;105(2):435–441.</w:t>
      </w:r>
    </w:p>
    <w:p>
      <w:pPr>
        <w:numPr>
          <w:ilvl w:val="0"/>
          <w:numId w:val="1013"/>
        </w:numPr>
        <w:pStyle w:val="Compact"/>
      </w:pPr>
      <w:r>
        <w:t xml:space="preserve">Qiu Q, Nian YJ, Guo Y et al. Development and validation of three machine-learning models for predicting multiple organ failure in moderately severe and severe acute pancreatitis.</w:t>
      </w:r>
      <w:r>
        <w:t xml:space="preserve"> </w:t>
      </w:r>
      <w:r>
        <w:rPr>
          <w:iCs/>
          <w:i/>
        </w:rPr>
        <w:t xml:space="preserve">BMC Gastroenterol.</w:t>
      </w:r>
      <w:r>
        <w:t xml:space="preserve"> </w:t>
      </w:r>
      <w:r>
        <w:t xml:space="preserve">2019;19(1):118.</w:t>
      </w:r>
    </w:p>
    <w:p>
      <w:pPr>
        <w:numPr>
          <w:ilvl w:val="0"/>
          <w:numId w:val="1013"/>
        </w:numPr>
        <w:pStyle w:val="Compact"/>
      </w:pPr>
      <w:r>
        <w:t xml:space="preserve">DeLong ER, DeLong DM, Clarke-Pearson DL. Comparing the areas under two or more correlated receiver operating characteristic curves: a nonparametric approach.</w:t>
      </w:r>
      <w:r>
        <w:t xml:space="preserve"> </w:t>
      </w:r>
      <w:r>
        <w:rPr>
          <w:iCs/>
          <w:i/>
        </w:rPr>
        <w:t xml:space="preserve">Biometrics.</w:t>
      </w:r>
      <w:r>
        <w:t xml:space="preserve"> </w:t>
      </w:r>
      <w:r>
        <w:t xml:space="preserve">1988;44(3):837–845.</w:t>
      </w:r>
    </w:p>
    <w:p>
      <w:pPr>
        <w:numPr>
          <w:ilvl w:val="0"/>
          <w:numId w:val="1013"/>
        </w:numPr>
        <w:pStyle w:val="Compact"/>
      </w:pPr>
      <w:r>
        <w:t xml:space="preserve">Stern N. Comparative evaluation of machine learning and deep learning models for early prediction of severe acute pancreatitis. PenuX Research Initiative. June 2026. [Preprint in preparation]</w:t>
      </w:r>
    </w:p>
    <w:p>
      <w:r>
        <w:pict>
          <v:rect style="width:0;height:1.5pt" o:hralign="center" o:hrstd="t" o:hr="t"/>
        </w:pict>
      </w:r>
    </w:p>
    <w:bookmarkEnd w:id="49"/>
    <w:bookmarkStart w:id="50" w:name="appendix-a-penux-input-feature-mapping"/>
    <w:p>
      <w:pPr>
        <w:pStyle w:val="Heading2"/>
      </w:pPr>
      <w:r>
        <w:t xml:space="preserve">Appendix A — PenuX Input Feature Mapping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PenuX Feature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EHR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LOINC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C-reactive protein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1988-5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 blood cell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×10⁹/L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6690-2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Neutrophil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Neutrophils/100 leukocytes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770-8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Amylase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1798-8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Alanine aminotransferase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1742-6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Creatinine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μmol/L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2160-0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Calcium,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mmol/L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17861-6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Albumin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1751-7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Glucose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mmol/L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2345-7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LDH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Lactate dehydrogenase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2532-0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Platelet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×10⁹/L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777-3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 normalised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6301-6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Triglycerides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mmol/L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2571-8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mmol/L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2951-2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Potassium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mmol/L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2823-3</w:t>
            </w:r>
          </w:p>
        </w:tc>
      </w:tr>
    </w:tbl>
    <w:p>
      <w:pPr>
        <w:pStyle w:val="BodyText"/>
      </w:pPr>
      <w:r>
        <w:rPr>
          <w:iCs/>
          <w:i/>
        </w:rPr>
        <w:t xml:space="preserve">Full 59-feature mapping available in the PenuX technical documentation.</w:t>
      </w:r>
    </w:p>
    <w:p>
      <w:r>
        <w:pict>
          <v:rect style="width:0;height:1.5pt" o:hralign="center" o:hrstd="t" o:hr="t"/>
        </w:pict>
      </w:r>
    </w:p>
    <w:bookmarkEnd w:id="50"/>
    <w:bookmarkStart w:id="51" w:name="X6155f8e58eddd87d9f6588a02ffda5ef775494a"/>
    <w:p>
      <w:pPr>
        <w:pStyle w:val="Heading2"/>
      </w:pPr>
      <w:r>
        <w:t xml:space="preserve">Appendix B — RAC 2012 Severity Classification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168"/>
        <w:gridCol w:w="37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Mild 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organ failure, no local or systemic complications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Moderately Severe 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Transient organ failure (&lt;48 h) and/or local complications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Severe AP (SAP)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 organ failure (&gt;48 h) — single or multi-organ</w:t>
            </w:r>
          </w:p>
        </w:tc>
      </w:tr>
    </w:tbl>
    <w:p>
      <w:pPr>
        <w:pStyle w:val="BodyText"/>
      </w:pPr>
      <w:r>
        <w:rPr>
          <w:iCs/>
          <w:i/>
        </w:rPr>
        <w:t xml:space="preserve">Organ failure assessed by Modified Marshall Scoring System (respiratory, renal, cardiovascular).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document is a research protocol and does not constitute clinical guidance. PenuX is an investigational system not approved for clinical use.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2026-06-25T07:01:20Z</dcterms:created>
  <dcterms:modified xsi:type="dcterms:W3CDTF">2026-06-25T07:01:20Z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