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Netanel Stern¹</w:t>
      </w:r>
    </w:p>
    <w:p>
      <w:r>
        <w:t>¹PenuX Research Group (independent research project; not affiliated with an academic institution or hospital)</w:t>
      </w:r>
    </w:p>
    <w:p>
      <w:r>
        <w:t>Corresponding author: Netanel Stern, netanel@penux.uk</w:t>
      </w:r>
    </w:p>
    <w:p>
      <w:r>
        <w:t>Keywords: acute pancreatitis; severity prediction; gradient boosting; machine learning; deep learning; benchmarking; SOFA; class imbalance</w:t>
      </w:r>
    </w:p>
    <w:p>
      <w:r>
        <w:rPr>
          <w:i/>
        </w:rPr>
        <w:t>DRAFT prepared for submission to JMLR (Journal of Machine Learning Research). Genuinely $0 -- no author fee under any option, no conditional opt-out. Submission is via the tracker linked from jmlr.org; confirm the current template/process there before submitting, as JMLR's own LaTeX style is preferred for camera-ready but plain manuscripts are accepted for initial review.</w:t>
      </w:r>
    </w:p>
    <w:p>
      <w:r>
        <w:br w:type="page"/>
      </w:r>
    </w:p>
    <w:p>
      <w:pPr>
        <w:pStyle w:val="Heading1"/>
      </w:pPr>
      <w:r>
        <w:t>Abstract</w:t>
      </w:r>
    </w:p>
    <w:p>
      <w:r>
        <w:t>Large-scale, systematic comparisons across many algorithm families remain uncommon in applied machine learning on small tabular clinical datasets, where most prior studies compare only a handful of models and rarely test whether the best-ranked model's advantage is statistically distinguishable from noise. We assemble a zoo of 1,982 classifier configurations - linear models, support vector machines, tree ensembles, six independent gradient-boosting implementations, two additional boosting-algorithm variants (DART, GOSS), feedforward and convolutional neural networks, and a fixed-weight hybrid ensemble, including a from-scratch NumPy implementation of classical gradient-boosted TreeBoost that uses none of the standard libraries' internals - and evaluate all of them under one identical 5-fold cross-validation protocol on two independent, publicly available clinical datasets (n=1,289 and n=722) predicting severe acute pancreatitis. A hybrid DNN+ConvNet+LightGBM ensemble ranks first on the smaller dataset (AUROC=0.857); LightGBM alone remains best on the larger dataset (AUROC=0.889). Using the Hanley-McNeil approximate standard error against a logistic-regression baseline, the top-ranked configuration does not reach conventional statistical significance on the smaller, more imbalanced dataset (one-sided p=0.054), while 690 of 1,981 configurations do on the larger dataset - a difference attributable to statistical power, not a qualitative difference between datasets. An engineered, domain-motivated feature (a lab-only organ-dysfunction score inspired by Sepsis-3 methodology) gives mixed, not uniformly positive, results when added to the best model, illustrating that feature-engineering value depends on whether a model already has access to the underlying information. We report all of this - including the negative and mixed findings - honestly, and release the full model-configuration list, benchmark results, and from-scratch reference implementations openly to support replication.</w:t>
      </w:r>
    </w:p>
    <w:p>
      <w:pPr>
        <w:pStyle w:val="Heading1"/>
      </w:pPr>
      <w:r>
        <w:t>Introduction</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pPr>
        <w:pStyle w:val="Heading1"/>
      </w:pPr>
      <w:r>
        <w:t>Conclusion</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2"/>
      </w:pPr>
      <w:r>
        <w:t>Data availability statement</w:t>
      </w:r>
    </w:p>
    <w:p>
      <w:r>
        <w:t>The two datasets analyzed in this study are third-party datasets originally released by their respective authors and are publicly available at: https://github.com/longshike/Predicting-acute-pancreatitis-severity-with-multi-machine-learning-models (MIT license; “ap_multiml”) and https://github.com/longshike/LNN-for-SAP-Prediction (Apache-2.0 license; “ap_lnn”). Sanitized/translated derivative versions used in this analysis, all model-configuration code, the full 1,982-configuration benchmark results, and the from-scratch reference implementations described in the Methods are available at https://github.com/netanelcyber/penuX (PenuX-AP-Severity subdirectory) under an open-source license.</w:t>
      </w:r>
    </w:p>
    <w:p>
      <w:pPr>
        <w:pStyle w:val="Heading2"/>
      </w:pPr>
      <w:r>
        <w:t>Funding</w:t>
      </w:r>
    </w:p>
    <w:p>
      <w:r>
        <w:t>This research received no external, institutional, or industry funding.</w:t>
      </w:r>
    </w:p>
    <w:p>
      <w:pPr>
        <w:pStyle w:val="Heading2"/>
      </w:pPr>
      <w:r>
        <w:t>Competing interests</w:t>
      </w:r>
    </w:p>
    <w:p>
      <w:r>
        <w:t>The author declares no competing interests.</w:t>
      </w:r>
    </w:p>
    <w:p>
      <w:pPr>
        <w:pStyle w:val="Heading2"/>
      </w:pPr>
      <w:r>
        <w:t>Author contributions</w:t>
      </w:r>
    </w:p>
    <w:p>
      <w:r>
        <w:t>N.S.: Conceptualization, Methodology, Software, Validation, Formal analysis, Investigation, Data curation, Writing – original draft, Writing – review &amp; editing, Visualization.</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