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Netanel Stern</w:t>
      </w:r>
    </w:p>
    <w:p>
      <w:r>
        <w:t>PenuX Research Group (independent research project)</w:t>
      </w:r>
    </w:p>
    <w:p>
      <w:r>
        <w:t>netanel@penux.uk</w:t>
      </w:r>
    </w:p>
    <w:p/>
    <w:p>
      <w:r>
        <w:t>To the Editors of PLOS ONE,</w:t>
      </w:r>
    </w:p>
    <w:p/>
    <w:p>
      <w:r>
        <w:t>I am submitting our manuscript, "Benchmarking 1,982 classifier configurations for early severity prediction in acute pancreatitis: an exploratory multi-dataset analysis," for consideration as a Research Article in PLOS ONE.</w:t>
      </w:r>
    </w:p>
    <w:p>
      <w:r>
        <w:t>Severe acute pancreatitis (SAP) carries substantial morbidity and mortality, and most prior machine-learning studies of SAP severity prediction compare only a small number of algorithm families, rarely with formal significance testing against a simple baseline. This manuscript reports, to our knowledge, an unusually large systematic comparison — 1,982 classifier configurations spanning linear models, tree ensembles, six independent gradient-boosting implementations, two additional boosting-algorithm variants, deep learning architectures, and a hybrid ensemble — evaluated under one identical cross-validation protocol on two independent public de-identified datasets, together with Hanley-McNeil significance testing against a logistic-regression baseline and an engineered lab-only organ-dysfunction feature.</w:t>
      </w:r>
    </w:p>
    <w:p>
      <w:r>
        <w:t>We believe this work is well suited to PLOS ONE because its primary contribution is methodological rigor and transparent reporting of both positive and negative/mixed findings (the top-ranked model did not reach conventional statistical significance on one dataset; an engineered clinical feature did not consistently improve performance), rather than a single striking discrimination result. We report these findings honestly rather than emphasizing only the more favorable results.</w:t>
      </w:r>
    </w:p>
    <w:p>
      <w:r>
        <w:t>This manuscript is not under consideration elsewhere. All authors have approved the manuscript and this submission. We have no competing interests to declare. This study is a secondary analysis of two previously published, de-identified public datasets; no new human-subject data were collected. Please see the enclosed Ethics Statement, which describes this situation directly: the original data-collection ethics oversight was reported by the original dataset authors and was not independently re-verified beyond the datasets' public licensing and de-identification status. We are glad to provide any further documentation the editors or reviewers require.</w:t>
      </w:r>
    </w:p>
    <w:p>
      <w:r>
        <w:t>All code, model configurations, benchmark results, and from-scratch reference implementations described in the manuscript are openly available (see Data Availability Statement).</w:t>
      </w:r>
    </w:p>
    <w:p>
      <w:r>
        <w:t>Thank you for considering our manuscript.</w:t>
      </w:r>
    </w:p>
    <w:p>
      <w:r>
        <w:t>Sincerely,</w:t>
        <w:br/>
        <w:t>Netanel Stern</w:t>
        <w:br/>
        <w:t>Corresponding author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