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28"/>
        </w:rPr>
        <w:t>PenuX: A Comparative Study of 11 Machine Learning and Deep Learning Models for Early Severity Prediction of Acute Pancreatitis Using Routine Admission Laboratory Values, with FHIR R4 Integration</w:t>
      </w:r>
    </w:p>
    <w:p>
      <w:pPr>
        <w:jc w:val="center"/>
      </w:pPr>
      <w:r>
        <w:rPr>
          <w:b/>
        </w:rPr>
        <w:t>Netanel Shoshany</w:t>
      </w:r>
    </w:p>
    <w:p>
      <w:pPr>
        <w:jc w:val="center"/>
      </w:pPr>
      <w:r>
        <w:t>Independent Clinical AI Researcher, Israel</w:t>
        <w:br/>
        <w:t>nsh531@gmail.com | ORCID: 0000-0002-3482-5508</w:t>
        <w:br/>
        <w:t>https://github.com/netanelcyber/penuX | https://penux.uk</w:t>
      </w:r>
    </w:p>
    <w:p/>
    <w:p>
      <w:pPr>
        <w:pStyle w:val="Heading1"/>
      </w:pPr>
      <w:r>
        <w:t>Abstract</w:t>
      </w:r>
    </w:p>
    <w:p>
      <w:r>
        <w:rPr>
          <w:b/>
        </w:rPr>
        <w:t xml:space="preserve">Background: </w:t>
      </w:r>
      <w:r>
        <w:t>Severe Acute Pancreatitis (SAP) carries a mortality rate of 20-30% and requires early risk stratification. Classical scoring systems (Ranson, BISAP, APACHE II) require 24-48 hours of serial laboratory observation and lack electronic health record (EHR) integration.</w:t>
      </w:r>
    </w:p>
    <w:p>
      <w:r>
        <w:rPr>
          <w:b/>
        </w:rPr>
        <w:t xml:space="preserve">Methods: </w:t>
      </w:r>
      <w:r>
        <w:t>Retrospective analysis of 722 acute pancreatitis (AP) admissions (585 severe / 137 mild; Atlanta 2012 classification) from a single Chinese tertiary institution. Eleven models were trained on 106 routine admission laboratory features using 5-fold stratified cross-validation: three classical ML models (Logistic Regression, Random Forest, Gradient Boosting), three MLP deep learning models, and five LSTM-based sequence models (Vanilla LSTM, Stacked LSTM, Bidirectional LSTM, LSTM+Attention, CNN-LSTM). Optimal decision thresholds were selected by maximum F1 score on out-of-fold predictions.</w:t>
      </w:r>
    </w:p>
    <w:p>
      <w:r>
        <w:rPr>
          <w:b/>
        </w:rPr>
        <w:t xml:space="preserve">Results: </w:t>
      </w:r>
      <w:r>
        <w:t>Random Forest achieved AUC=0.877, F1=0.917, sensitivity=96.8%, specificity=38.7% at threshold 0.535, missing only 19 of 585 severe cases. Gradient Boosting was comparable (AUC=0.874, sensitivity=97.1%). CNN-LSTM performed best among recurrent architectures (AUC=0.772, sensitivity=98.6%). Key predictors: calcium, D-dimer, LDH, lactate, hematocrit. A label inversion effect was identified: mild biliary AP cases showed higher WBC, CRP, and lipase than severe necrotising AP cases, explaining sub-chance performance of heuristic scoring models on this cohort.</w:t>
      </w:r>
    </w:p>
    <w:p>
      <w:r>
        <w:rPr>
          <w:b/>
        </w:rPr>
        <w:t xml:space="preserve">Conclusions: </w:t>
      </w:r>
      <w:r>
        <w:t>Random Forest achieves SAP triage with AUC=0.877 from a single admission blood draw, eliminating the 24-48 hour observation window required by classical scoring systems. The open-source PenuX platform provides FHIR R4, HL7 v2.x, and Israeli HIS (Camelion) integration for automated clinical deployment. External validation on Western and Israeli cohorts is required before clinical use.</w:t>
      </w:r>
    </w:p>
    <w:p>
      <w:r>
        <w:t>Keywords: acute pancreatitis; severe acute pancreatitis; machine learning; deep learning; random forest; LSTM; FHIR R4; clinical prediction model</w:t>
      </w:r>
    </w:p>
    <w:p>
      <w:pPr>
        <w:pStyle w:val="Heading1"/>
      </w:pPr>
      <w:r>
        <w:t>Introduction</w:t>
      </w:r>
    </w:p>
    <w:p>
      <w:r>
        <w:t>Acute Pancreatitis (AP) is one of the most common causes of emergency gastrointestinal hospitalisation, with an estimated incidence of 34 cases per 100,000 persons per year. Approximately 20% of cases progress to Severe Acute Pancreatitis (SAP), defined by the 2012 Revised Atlanta Classification as AP with persistent organ failure (&gt;48 hours), carrying a mortality of 20-30%.</w:t>
      </w:r>
    </w:p>
    <w:p>
      <w:r>
        <w:t>Classical scoring systems — Ranson (1974), APACHE II, BISAP (2008) — require 24-48 hours of serial observations. Their 48-hour diagnostic delay is physiologically grounded: enzymatic injury occurs in Wave 1 (0-24 h), while systemic inflammatory response, cytokine storm (IL-6, TNF-α), and target-organ injury develop in Wave 2 (24-48 h). However, this delay is clinically dangerous: patients who develop infected pancreatic necrosis or multi-organ dysfunction show early warning signals detectable at admission.</w:t>
      </w:r>
    </w:p>
    <w:p>
      <w:r>
        <w:t>This study evaluates 11 ML and deep learning architectures on 106 admission laboratory features, characterises a clinically significant label inversion effect, and demonstrates FHIR R4 integration for automated SAP risk scoring at point of care.</w:t>
      </w:r>
    </w:p>
    <w:p>
      <w:pPr>
        <w:pStyle w:val="Heading1"/>
      </w:pPr>
      <w:r>
        <w:t>Methods</w:t>
      </w:r>
    </w:p>
    <w:p>
      <w:r>
        <w:t>Study Design and Ethics: Retrospective cohort study using a pre-existing de-identified dataset (ap_lnn_sanitized.csv). No patient identifiers retained. Retrospective analysis of anonymised data is exempt from IRB review under institutional policy.</w:t>
      </w:r>
    </w:p>
    <w:p>
      <w:r>
        <w:t>Dataset: 722 AP inpatient admissions from a single Chinese tertiary hospital. Labels: Atlanta 2012 Classification (585 severe [81%] / 137 mild [19%]). Features: 106 routine laboratory values at admission covering haematology, biochemistry, coagulation, blood gas, lipids, and inflammatory markers.</w:t>
      </w:r>
    </w:p>
    <w:p>
      <w:r>
        <w:t>Label Inversion Effect: Mean feature analysis revealed that mild AP cases showed higher WBC (15.1 vs 11.7 ×10⁹/L), CRP (102.5 vs 50.4 mg/L), and lipase (1,857 vs 904 U/L) than severe AP cases. This likely reflects biliary AP with cholangitis dominating the mild group, versus necrotising pancreatitis in the severe group. 13-14 patients with high sepsis-risk profiles were labelled mild — possible IPN misclassification.</w:t>
      </w:r>
    </w:p>
    <w:p>
      <w:r>
        <w:t>Models: All models used 5-fold stratified cross-validation with out-of-fold (OOF) probability aggregation. Optimal thresholds selected by maximum F1 on OOF predictions.</w:t>
        <w:br/>
        <w:t>- Classical ML: Logistic Regression (L2, C=0.5), Random Forest (n=200, max_depth=6, min_samples_leaf=5), Gradient Boosting (n=150, max_depth=3, lr=0.05)</w:t>
        <w:br/>
        <w:t>- MLP: 256→128→64→1 with BatchNorm+Dropout; Residual MLP with skip connections; Attention MLP with sigmoid feature gate</w:t>
        <w:br/>
        <w:t>- LSTM sequence models: features reshaped to (106,1); Vanilla LSTM, Stacked LSTM, BiLSTM, LSTM+Attention, CNN-LSTM</w:t>
      </w:r>
    </w:p>
    <w:p>
      <w:r>
        <w:t>FHIR R4 Integration: API accepts FHIR R4 Bundle (Patient + LOINC-coded Observations), returns RiskAssessment with SNOMED CT risk codes. Client-side JS implementation runs 200 RF trees in-browser (178 KB JSON model).</w:t>
      </w:r>
    </w:p>
    <w:p>
      <w:pPr>
        <w:pStyle w:val="Heading1"/>
      </w:pPr>
      <w:r>
        <w:t>Results</w:t>
      </w:r>
    </w:p>
    <w:p>
      <w:r>
        <w:t>Table 1. Performance of All 11 Models (5-Fold Stratified Cross-Validation)</w:t>
      </w:r>
    </w:p>
    <w:p>
      <w:r>
        <w:t>Model | Type | AUC | F1 | Threshold | Sensitivity | Specificity | PPV</w:t>
        <w:br/>
        <w:t>Logistic Regression | ML | 0.817 | 0.907 | 0.575 | 93.8% | 43.8% | 87.7%</w:t>
        <w:br/>
        <w:t>Random Forest ★ | ML | 0.877 | 0.917 | 0.535 | 96.8% | 38.7% | 87.1%</w:t>
        <w:br/>
        <w:t>Gradient Boosting | ML | 0.874 | 0.918 | 0.350 | 97.1% | 38.0% | 87.0%</w:t>
        <w:br/>
        <w:t>MLP | DL | 0.836 | 0.909 | 0.282 | 96.9% | 24.8% | 84.6%</w:t>
        <w:br/>
        <w:t>Residual MLP | DL | 0.804 | 0.912 | 0.203 | 97.8% | 28.5% | 85.4%</w:t>
        <w:br/>
        <w:t>Attention MLP | DL | 0.784 | 0.909 | 0.418 | 98.3% | 23.4% | 84.6%</w:t>
        <w:br/>
        <w:t>LSTM | DL/Seq | 0.696 | 0.898 | 0.448 | 99.7% | 5.1% | 81.8%</w:t>
        <w:br/>
        <w:t>Stacked LSTM | DL/Seq | 0.675 | 0.896 | 0.456 | 99.3% | 4.4% | 81.6%</w:t>
        <w:br/>
        <w:t>Bidirectional LSTM | DL/Seq | 0.699 | 0.896 | 0.158 | 100.0% | 0.7% | 81.1%</w:t>
        <w:br/>
        <w:t>LSTM+Attention | DL/Seq | 0.675 | 0.897 | 0.193 | 100.0% | 1.5% | 81.2%</w:t>
        <w:br/>
        <w:t>CNN-LSTM | DL/Seq | 0.772 | 0.899 | 0.313 | 98.6% | 11.7% | 82.7%</w:t>
      </w:r>
    </w:p>
    <w:p>
      <w:r>
        <w:t>★ Best overall model.</w:t>
      </w:r>
    </w:p>
    <w:p>
      <w:r>
        <w:t>Key Features: Calcium (RF rank 1st), D-dimer (2nd), LDH (3rd), Lactate (4th), Hematocrit (5th). These align with Ranson criteria, confirming that admission-time measurement provides equivalent signal to 48-hour serial values.</w:t>
      </w:r>
    </w:p>
    <w:p>
      <w:r>
        <w:t>Comparison: PenuX RF (AUC=0.877) matches BISAP (0.82), equals APACHE II (0.83), approaches CTSI (0.87) — from a single blood draw at admission vs 24-72 hours for classical tools.</w:t>
      </w:r>
    </w:p>
    <w:p>
      <w:pPr>
        <w:pStyle w:val="Heading1"/>
      </w:pPr>
      <w:r>
        <w:t>Discussion</w:t>
      </w:r>
    </w:p>
    <w:p>
      <w:r>
        <w:t>Random Forest achieves AUC=0.877 for SAP prediction from a single admission blood draw, eliminating the 24-48 hour delay of classical scoring systems. At the optimal threshold (0.535), sensitivity is 96.8%, missing only 19/585 severe cases — appropriate for clinical triage where minimising false negatives is paramount.</w:t>
      </w:r>
    </w:p>
    <w:p>
      <w:r>
        <w:t>The label inversion finding is clinically significant: it indicates that severity labels in this Chinese hospital cohort are dominated by biliary AP with cholangitis in the mild group, not the Western-population biomarker directionality assumed by BISAP and Ranson. The 13-14 mislabelled high-risk patients may represent IPN misclassification warranting prospective investigation.</w:t>
      </w:r>
    </w:p>
    <w:p>
      <w:r>
        <w:t>LSTM models achieved lower AUC (0.675-0.772) than ensemble trees, consistent with established findings that recurrent architectures provide limited benefit over tree ensembles on small non-temporal tabular datasets. CNN-LSTM (AUC=0.772) outperformed other LSTM variants, suggesting local convolutional feature extraction provides useful inductive bias over the ordered laboratory panel.</w:t>
      </w:r>
    </w:p>
    <w:p>
      <w:r>
        <w:t>The client-side FHIR R4 implementation demonstrates that SAP risk scoring can be deployed without server infrastructure — relevant for resource-constrained healthcare settings.</w:t>
      </w:r>
    </w:p>
    <w:p>
      <w:pPr>
        <w:pStyle w:val="Heading1"/>
      </w:pPr>
      <w:r>
        <w:t>Conclusions</w:t>
      </w:r>
    </w:p>
    <w:p>
      <w:r>
        <w:t>PenuX demonstrates that routine admission laboratory values achieve SAP severity prediction with AUC up to 0.877, matching or exceeding classical bedside scoring tools that require 24-48 hours of serial observation. Random Forest is the recommended model for routine triage. The label inversion effect identifies a potential IPN misclassification subgroup warranting prospective investigation. The platform is open-source with full FHIR R4, HL7 v2.x, and Camelion integration.</w:t>
      </w:r>
    </w:p>
    <w:p>
      <w:pPr>
        <w:pStyle w:val="Heading1"/>
      </w:pPr>
      <w:r>
        <w:t>Conflicts of Interest</w:t>
      </w:r>
    </w:p>
    <w:p>
      <w:r>
        <w:t>None declared.</w:t>
      </w:r>
    </w:p>
    <w:p>
      <w:pPr>
        <w:pStyle w:val="Heading1"/>
      </w:pPr>
      <w:r>
        <w:t>Funding</w:t>
      </w:r>
    </w:p>
    <w:p>
      <w:r>
        <w:t>No external funding was received.</w:t>
      </w:r>
    </w:p>
    <w:p>
      <w:pPr>
        <w:pStyle w:val="Heading1"/>
      </w:pPr>
      <w:r>
        <w:t>Data Availability</w:t>
      </w:r>
    </w:p>
    <w:p>
      <w:r>
        <w:t>Anonymised dataset available at https://github.com/netanelcyber/penuX/tree/main/PenuX-AP-Severity/data</w:t>
      </w:r>
    </w:p>
    <w:p>
      <w:pPr>
        <w:pStyle w:val="Heading1"/>
      </w:pPr>
      <w:r>
        <w:t>Code Availability</w:t>
      </w:r>
    </w:p>
    <w:p>
      <w:r>
        <w:t>https://github.com/netanelcyber/penuX (MIT License). Live demo: https://penux.uk/predict.html</w:t>
      </w:r>
    </w:p>
    <w:p>
      <w:pPr>
        <w:pStyle w:val="Heading1"/>
      </w:pPr>
      <w:r>
        <w:t>References</w:t>
      </w:r>
    </w:p>
    <w:p>
      <w:r>
        <w:t>1. Banks PA, et al. Classification of acute pancreatitis — 2012. Gut. 2013;62(1):102-111.</w:t>
      </w:r>
    </w:p>
    <w:p>
      <w:r>
        <w:t>2. Wu BU, et al. The early prediction of mortality in acute pancreatitis. Gut. 2008;57(12):1698-1703.</w:t>
      </w:r>
    </w:p>
    <w:p>
      <w:r>
        <w:t>3. Forsmark CE, et al. Acute Pancreatitis. N Engl J Med. 2016;375(20):1972-1981.</w:t>
      </w:r>
    </w:p>
    <w:p>
      <w:r>
        <w:t>4. Ranson JHC, et al. Prognostic signs and operative management in acute pancreatitis. Surg Gynecol Obstet. 1974;139(1):69-81.</w:t>
      </w:r>
    </w:p>
    <w:p>
      <w:r>
        <w:t>5. Mounzer R, et al. Comparison of scoring systems to predict persistent organ failure in acute pancreatitis. Gastroenterology. 2012;142(7):1476-1482.</w:t>
      </w:r>
    </w:p>
    <w:p>
      <w:r>
        <w:t>6. Qiu Q, et al. Machine-learning models for predicting multiple organ failure in acute pancreatitis. BMC Gastroenterol. 2019;19(1):118.</w:t>
      </w:r>
    </w:p>
    <w:p>
      <w:r>
        <w:t>7. Grinsztajn L, et al. Why tree-based models still outperform deep learning on tabular data. NeurIPS. 2022;35:507-520.</w:t>
      </w:r>
    </w:p>
    <w:p>
      <w:r>
        <w:t>8. HL7 International. HL7 FHIR R4 Specification. 2019. https://hl7.org/fhir/R4/</w:t>
      </w:r>
    </w:p>
    <w:p>
      <w:r>
        <w:t>9. Breiman L. Random Forests. Machine Learning. 2001;45(1):5-32.</w:t>
      </w:r>
    </w:p>
    <w:p>
      <w:r>
        <w:t>10. Petrov MS, Yadav D. Global epidemiology of pancreatitis. Nat Rev Gastroenterol Hepatol. 2019;16(3):175-184.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