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1E3A5F"/>
          <w:sz w:val="60"/>
          <w:szCs w:val="60"/>
        </w:rPr>
        <w:t xml:space="preserve">NETCOMPLEX</w:t>
      </w:r>
    </w:p>
    <w:p>
      <w:pPr>
        <w:spacing w:after="60" w:before="60"/>
        <w:jc w:val="center"/>
      </w:pPr>
      <w:r>
        <w:rPr>
          <w:rFonts w:ascii="Arial" w:cs="Arial" w:eastAsia="Arial" w:hAnsi="Arial"/>
          <w:color w:val="0D9488"/>
          <w:sz w:val="28"/>
          <w:szCs w:val="28"/>
        </w:rPr>
        <w:t xml:space="preserve">Migration Progress Review</w:t>
      </w:r>
    </w:p>
    <w:p>
      <w:pPr>
        <w:pBdr>
          <w:bottom w:val="single" w:color="0D9488" w:sz="6" w:space="4"/>
        </w:pBdr>
        <w:spacing w:after="60" w:before="0"/>
        <w:jc w:val="center"/>
      </w:pPr>
      <w:r>
        <w:rPr>
          <w:sz w:val="10"/>
          <w:szCs w:val="10"/>
        </w:rPr>
        <w:t xml:space="preserve"> </w:t>
      </w:r>
    </w:p>
    <w:p>
      <w:pPr>
        <w:spacing w:after="0" w:before="80"/>
      </w:pPr>
      <w:r>
        <w:t xml:space="preserve"/>
      </w:r>
    </w:p>
    <w:p>
      <w:pPr>
        <w:jc w:val="center"/>
      </w:pPr>
      <w:r>
        <w:rPr>
          <w:rFonts w:ascii="Arial" w:cs="Arial" w:eastAsia="Arial" w:hAnsi="Arial"/>
          <w:i/>
          <w:iCs/>
          <w:color w:val="6B7280"/>
          <w:sz w:val="19"/>
          <w:szCs w:val="19"/>
        </w:rPr>
        <w:t xml:space="preserve">Repo audit — April 2026  |  Compared against: netcomplex-migration-plan.docx v1</w:t>
      </w:r>
    </w:p>
    <w:p>
      <w:pPr>
        <w:spacing w:after="0" w:before="560"/>
      </w:pPr>
      <w:r>
        <w:t xml:space="preserve"/>
      </w:r>
    </w:p>
    <w:p>
      <w:pPr>
        <w:pStyle w:val="Heading1"/>
        <w:pBdr>
          <w:bottom w:val="single" w:color="0D9488" w:sz="8" w:space="4"/>
        </w:pBdr>
        <w:spacing w:after="120" w:before="360"/>
      </w:pPr>
      <w:r>
        <w:rPr>
          <w:rFonts w:ascii="Arial" w:cs="Arial" w:eastAsia="Arial" w:hAnsi="Arial"/>
          <w:b/>
          <w:bCs/>
          <w:color w:val="1E3A5F"/>
          <w:sz w:val="32"/>
          <w:szCs w:val="32"/>
        </w:rPr>
        <w:t xml:space="preserve">Executive Summary</w:t>
      </w:r>
    </w:p>
    <w:p>
      <w:pPr>
        <w:spacing w:after="60" w:before="60"/>
      </w:pPr>
      <w:r>
        <w:rPr>
          <w:rFonts w:ascii="Arial" w:cs="Arial" w:eastAsia="Arial" w:hAnsi="Arial"/>
          <w:sz w:val="21"/>
          <w:szCs w:val="21"/>
        </w:rPr>
        <w:t xml:space="preserve">This report compares the current repository state against the NetComplex multi-tenant migration plan. The tree was diffed against both the previous snapshot (original review) and the updated migration plan to identify progress, variances, and open risks.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3DE" w:val="clear"/>
            <w:tcMar>
              <w:top w:type="dxa" w:w="120"/>
              <w:left w:type="dxa" w:w="140"/>
              <w:bottom w:type="dxa" w:w="120"/>
              <w:right w:type="dxa" w:w="140"/>
            </w:tcMar>
          </w:tcPr>
          <w:p>
            <w:pPr>
              <w:jc w:val="center"/>
            </w:pPr>
            <w:r>
              <w:rPr>
                <w:rFonts w:ascii="Arial" w:cs="Arial" w:eastAsia="Arial" w:hAnsi="Arial"/>
                <w:b/>
                <w:bCs/>
                <w:color w:val="27500A"/>
                <w:sz w:val="48"/>
                <w:szCs w:val="48"/>
              </w:rPr>
              <w:t xml:space="preserve">8</w:t>
            </w:r>
          </w:p>
          <w:p>
            <w:pPr>
              <w:spacing w:before="40"/>
              <w:jc w:val="center"/>
            </w:pPr>
            <w:r>
              <w:rPr>
                <w:rFonts w:ascii="Arial" w:cs="Arial" w:eastAsia="Arial" w:hAnsi="Arial"/>
                <w:color w:val="27500A"/>
                <w:sz w:val="18"/>
                <w:szCs w:val="18"/>
              </w:rPr>
              <w:t xml:space="preserve">Items completed</w:t>
            </w:r>
          </w:p>
        </w:tc>
        <w:tc>
          <w:tcPr>
            <w:tcW w:type="dxa" w:w="2340"/>
            <w:tcBorders>
              <w:top w:val="single" w:color="CCCCCC" w:sz="1"/>
              <w:left w:val="single" w:color="CCCCCC" w:sz="1"/>
              <w:bottom w:val="single" w:color="CCCCCC" w:sz="1"/>
              <w:right w:val="single" w:color="CCCCCC" w:sz="1"/>
            </w:tcBorders>
            <w:shd w:fill="FAEEDA" w:val="clear"/>
            <w:tcMar>
              <w:top w:type="dxa" w:w="120"/>
              <w:left w:type="dxa" w:w="140"/>
              <w:bottom w:type="dxa" w:w="120"/>
              <w:right w:type="dxa" w:w="140"/>
            </w:tcMar>
          </w:tcPr>
          <w:p>
            <w:pPr>
              <w:jc w:val="center"/>
            </w:pPr>
            <w:r>
              <w:rPr>
                <w:rFonts w:ascii="Arial" w:cs="Arial" w:eastAsia="Arial" w:hAnsi="Arial"/>
                <w:b/>
                <w:bCs/>
                <w:color w:val="633806"/>
                <w:sz w:val="48"/>
                <w:szCs w:val="48"/>
              </w:rPr>
              <w:t xml:space="preserve">4</w:t>
            </w:r>
          </w:p>
          <w:p>
            <w:pPr>
              <w:spacing w:before="40"/>
              <w:jc w:val="center"/>
            </w:pPr>
            <w:r>
              <w:rPr>
                <w:rFonts w:ascii="Arial" w:cs="Arial" w:eastAsia="Arial" w:hAnsi="Arial"/>
                <w:color w:val="633806"/>
                <w:sz w:val="18"/>
                <w:szCs w:val="18"/>
              </w:rPr>
              <w:t xml:space="preserve">In progress</w:t>
            </w:r>
          </w:p>
        </w:tc>
        <w:tc>
          <w:tcPr>
            <w:tcW w:type="dxa" w:w="2340"/>
            <w:tcBorders>
              <w:top w:val="single" w:color="CCCCCC" w:sz="1"/>
              <w:left w:val="single" w:color="CCCCCC" w:sz="1"/>
              <w:bottom w:val="single" w:color="CCCCCC" w:sz="1"/>
              <w:right w:val="single" w:color="CCCCCC" w:sz="1"/>
            </w:tcBorders>
            <w:shd w:fill="FCEBEB" w:val="clear"/>
            <w:tcMar>
              <w:top w:type="dxa" w:w="120"/>
              <w:left w:type="dxa" w:w="140"/>
              <w:bottom w:type="dxa" w:w="120"/>
              <w:right w:type="dxa" w:w="140"/>
            </w:tcMar>
          </w:tcPr>
          <w:p>
            <w:pPr>
              <w:jc w:val="center"/>
            </w:pPr>
            <w:r>
              <w:rPr>
                <w:rFonts w:ascii="Arial" w:cs="Arial" w:eastAsia="Arial" w:hAnsi="Arial"/>
                <w:b/>
                <w:bCs/>
                <w:color w:val="791F1F"/>
                <w:sz w:val="48"/>
                <w:szCs w:val="48"/>
              </w:rPr>
              <w:t xml:space="preserve">5</w:t>
            </w:r>
          </w:p>
          <w:p>
            <w:pPr>
              <w:spacing w:before="40"/>
              <w:jc w:val="center"/>
            </w:pPr>
            <w:r>
              <w:rPr>
                <w:rFonts w:ascii="Arial" w:cs="Arial" w:eastAsia="Arial" w:hAnsi="Arial"/>
                <w:color w:val="791F1F"/>
                <w:sz w:val="18"/>
                <w:szCs w:val="18"/>
              </w:rPr>
              <w:t xml:space="preserve">Open gaps</w:t>
            </w:r>
          </w:p>
        </w:tc>
        <w:tc>
          <w:tcPr>
            <w:tcW w:type="dxa" w:w="2340"/>
            <w:tcBorders>
              <w:top w:val="single" w:color="CCCCCC" w:sz="1"/>
              <w:left w:val="single" w:color="CCCCCC" w:sz="1"/>
              <w:bottom w:val="single" w:color="CCCCCC" w:sz="1"/>
              <w:right w:val="single" w:color="CCCCCC" w:sz="1"/>
            </w:tcBorders>
            <w:shd w:fill="F1EFE8" w:val="clear"/>
            <w:tcMar>
              <w:top w:type="dxa" w:w="120"/>
              <w:left w:type="dxa" w:w="140"/>
              <w:bottom w:type="dxa" w:w="120"/>
              <w:right w:type="dxa" w:w="140"/>
            </w:tcMar>
          </w:tcPr>
          <w:p>
            <w:pPr>
              <w:jc w:val="center"/>
            </w:pPr>
            <w:r>
              <w:rPr>
                <w:rFonts w:ascii="Arial" w:cs="Arial" w:eastAsia="Arial" w:hAnsi="Arial"/>
                <w:b/>
                <w:bCs/>
                <w:color w:val="444441"/>
                <w:sz w:val="48"/>
                <w:szCs w:val="48"/>
              </w:rPr>
              <w:t xml:space="preserve">2</w:t>
            </w:r>
          </w:p>
          <w:p>
            <w:pPr>
              <w:spacing w:before="40"/>
              <w:jc w:val="center"/>
            </w:pPr>
            <w:r>
              <w:rPr>
                <w:rFonts w:ascii="Arial" w:cs="Arial" w:eastAsia="Arial" w:hAnsi="Arial"/>
                <w:color w:val="444441"/>
                <w:sz w:val="18"/>
                <w:szCs w:val="18"/>
              </w:rPr>
              <w:t xml:space="preserve">Deferred (correct)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8"/>
              <w:bottom w:val="single" w:color="1E3A5F" w:sz="4"/>
              <w:right w:val="single" w:color="1E3A5F" w:sz="4"/>
            </w:tcBorders>
            <w:shd w:fill="EFF6FF" w:val="clear"/>
            <w:tcMar>
              <w:top w:type="dxa" w:w="120"/>
              <w:left w:type="dxa" w:w="220"/>
              <w:bottom w:type="dxa" w:w="120"/>
              <w:right w:type="dxa" w:w="180"/>
            </w:tcMar>
          </w:tcPr>
          <w:p>
            <w:pPr>
              <w:spacing w:after="40" w:before="40"/>
            </w:pPr>
            <w:r>
              <w:rPr>
                <w:rFonts w:ascii="Arial" w:cs="Arial" w:eastAsia="Arial" w:hAnsi="Arial"/>
                <w:b/>
                <w:bCs/>
                <w:color w:val="1E3A5F"/>
                <w:sz w:val="21"/>
                <w:szCs w:val="21"/>
              </w:rPr>
              <w:t xml:space="preserve">Overall Assessment</w:t>
            </w:r>
          </w:p>
          <w:p>
            <w:pPr>
              <w:spacing w:after="20" w:before="20"/>
            </w:pPr>
            <w:r>
              <w:rPr>
                <w:rFonts w:ascii="Arial" w:cs="Arial" w:eastAsia="Arial" w:hAnsi="Arial"/>
                <w:sz w:val="19"/>
                <w:szCs w:val="19"/>
              </w:rPr>
              <w:t xml:space="preserve">Good momentum. The structural work from Phases 0-2 progressed quickly — route group</w:t>
            </w:r>
          </w:p>
          <w:p>
            <w:pPr>
              <w:spacing w:after="20" w:before="20"/>
            </w:pPr>
            <w:r>
              <w:rPr>
                <w:rFonts w:ascii="Arial" w:cs="Arial" w:eastAsia="Arial" w:hAnsi="Arial"/>
                <w:sz w:val="19"/>
                <w:szCs w:val="19"/>
              </w:rPr>
              <w:t xml:space="preserve">separation, tenant/ component folder, lib/tenant/ expansion, and admin scaffolding are all in.</w:t>
            </w:r>
          </w:p>
          <w:p>
            <w:pPr>
              <w:spacing w:after="20" w:before="20"/>
            </w:pPr>
            <w:r>
              <w:rPr>
                <w:rFonts w:ascii="Arial" w:cs="Arial" w:eastAsia="Arial" w:hAnsi="Arial"/>
                <w:sz w:val="19"/>
                <w:szCs w:val="19"/>
              </w:rPr>
              <w:t xml:space="preserve">The two remaining critical blockers before a second tenant can be onboarded are API route</w:t>
            </w:r>
          </w:p>
          <w:p>
            <w:pPr>
              <w:spacing w:after="20" w:before="20"/>
            </w:pPr>
            <w:r>
              <w:rPr>
                <w:rFonts w:ascii="Arial" w:cs="Arial" w:eastAsia="Arial" w:hAnsi="Arial"/>
                <w:sz w:val="19"/>
                <w:szCs w:val="19"/>
              </w:rPr>
              <w:t xml:space="preserve">enforcement (withTenant() not yet applied to 35+ routes) and CSS variable wiring to the DB.</w:t>
            </w:r>
          </w:p>
        </w:tc>
      </w:tr>
    </w:tbl>
    <w:p>
      <w:pPr>
        <w:spacing w:after="0" w:before="120"/>
      </w:pPr>
      <w:r>
        <w:t xml:space="preserve"/>
      </w:r>
    </w:p>
    <w:p>
      <w:r>
        <w:br w:type="page"/>
      </w:r>
    </w:p>
    <w:p>
      <w:pPr>
        <w:pStyle w:val="Heading1"/>
        <w:pBdr>
          <w:bottom w:val="single" w:color="0D9488" w:sz="8" w:space="4"/>
        </w:pBdr>
        <w:spacing w:after="120" w:before="360"/>
      </w:pPr>
      <w:r>
        <w:rPr>
          <w:rFonts w:ascii="Arial" w:cs="Arial" w:eastAsia="Arial" w:hAnsi="Arial"/>
          <w:b/>
          <w:bCs/>
          <w:color w:val="1E3A5F"/>
          <w:sz w:val="32"/>
          <w:szCs w:val="32"/>
        </w:rPr>
        <w:t xml:space="preserve">Phase 0 — Foundation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Task / Item</w:t>
            </w:r>
          </w:p>
        </w:tc>
        <w:tc>
          <w:tcPr>
            <w:tcW w:type="dxa" w:w="1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Status</w:t>
            </w:r>
          </w:p>
        </w:tc>
        <w:tc>
          <w:tcPr>
            <w:tcW w:type="dxa" w:w="50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LOCAL_TENANT_SLUG env var</w:t>
            </w:r>
          </w:p>
        </w:tc>
        <w:tc>
          <w:tcPr>
            <w:tcW w:type="dxa" w:w="15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jc w:val="center"/>
            </w:pPr>
            <w:r>
              <w:rPr>
                <w:rFonts w:ascii="Arial" w:cs="Arial" w:eastAsia="Arial" w:hAnsi="Arial"/>
                <w:b/>
                <w:bCs/>
                <w:color w:val="791F1F"/>
                <w:sz w:val="18"/>
                <w:szCs w:val="18"/>
              </w:rPr>
              <w:t xml:space="preserve">✗  Open</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Not visible in the tree. No .env.local committed (expected), but not referenced in AGENTS.md or README. Verify this is set in all dev environments before any Soralia work continues.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withTenant() helper</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pPr>
              <w:jc w:val="center"/>
            </w:pPr>
            <w:r>
              <w:rPr>
                <w:rFonts w:ascii="Arial" w:cs="Arial" w:eastAsia="Arial" w:hAnsi="Arial"/>
                <w:b/>
                <w:bCs/>
                <w:color w:val="27500A"/>
                <w:sz w:val="18"/>
                <w:szCs w:val="18"/>
              </w:rPr>
              <w:t xml:space="preserve">✓  Done</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src/lib/tenant/with-tenant.ts created — exactly as specified. lib/tenant/ is now a proper folder.</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lib/tenant/context.tsx</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pPr>
              <w:jc w:val="center"/>
            </w:pPr>
            <w:r>
              <w:rPr>
                <w:rFonts w:ascii="Arial" w:cs="Arial" w:eastAsia="Arial" w:hAnsi="Arial"/>
                <w:b/>
                <w:bCs/>
                <w:color w:val="27500A"/>
                <w:sz w:val="18"/>
                <w:szCs w:val="18"/>
              </w:rPr>
              <w:t xml:space="preserve">✓  Done</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Added alongside with-tenant.ts. Server + React context helpers are in place.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Soralia seeded as tenant #1</w:t>
            </w:r>
          </w:p>
        </w:tc>
        <w:tc>
          <w:tcPr>
            <w:tcW w:type="dxa" w:w="1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pPr>
              <w:jc w:val="center"/>
            </w:pPr>
            <w:r>
              <w:rPr>
                <w:rFonts w:ascii="Arial" w:cs="Arial" w:eastAsia="Arial" w:hAnsi="Arial"/>
                <w:b/>
                <w:bCs/>
                <w:color w:val="633806"/>
                <w:sz w:val="18"/>
                <w:szCs w:val="18"/>
              </w:rPr>
              <w:t xml:space="preserve">~  Partial</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scripts/backfill-tenant-records.ts is new and covers the data migration requirement. However, no seed that creates Soralia as the canonical tenant #1 with branding values (logo, colors) is visible.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TierGuard vs FeatureGate decision</w:t>
            </w:r>
          </w:p>
        </w:tc>
        <w:tc>
          <w:tcPr>
            <w:tcW w:type="dxa" w:w="1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pPr>
              <w:jc w:val="center"/>
            </w:pPr>
            <w:r>
              <w:rPr>
                <w:rFonts w:ascii="Arial" w:cs="Arial" w:eastAsia="Arial" w:hAnsi="Arial"/>
                <w:b/>
                <w:bCs/>
                <w:color w:val="633806"/>
                <w:sz w:val="18"/>
                <w:szCs w:val="18"/>
              </w:rPr>
              <w:t xml:space="preserve">~  Partial</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FeatureGate.tsx was created in components/tenant/. TierGuard.tsx still exists in components/ui/. Both now coexist with no documented scope boundary — this needs a decision and a comment in each file.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/admin/platform/ vs /platform/ decision</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pPr>
              <w:jc w:val="center"/>
            </w:pPr>
            <w:r>
              <w:rPr>
                <w:rFonts w:ascii="Arial" w:cs="Arial" w:eastAsia="Arial" w:hAnsi="Arial"/>
                <w:b/>
                <w:bCs/>
                <w:color w:val="27500A"/>
                <w:sz w:val="18"/>
                <w:szCs w:val="18"/>
              </w:rPr>
              <w:t xml:space="preserve">✓  Done</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Resolved cleanly via the new (platform) route group containing home, pricing, login, and signup pages. NetComplex marketing surface is now clearly separated from tenant app routes.</w:t>
            </w:r>
          </w:p>
        </w:tc>
      </w:tr>
    </w:tbl>
    <w:p>
      <w:pPr>
        <w:spacing w:after="0" w:before="120"/>
      </w:pPr>
      <w:r>
        <w:t xml:space="preserve"/>
      </w:r>
    </w:p>
    <w:p>
      <w:pPr>
        <w:pStyle w:val="Heading1"/>
        <w:pBdr>
          <w:bottom w:val="single" w:color="0D9488" w:sz="8" w:space="4"/>
        </w:pBdr>
        <w:spacing w:after="120" w:before="360"/>
      </w:pPr>
      <w:r>
        <w:rPr>
          <w:rFonts w:ascii="Arial" w:cs="Arial" w:eastAsia="Arial" w:hAnsi="Arial"/>
          <w:b/>
          <w:bCs/>
          <w:color w:val="1E3A5F"/>
          <w:sz w:val="32"/>
          <w:szCs w:val="32"/>
        </w:rPr>
        <w:t xml:space="preserve">Phase 1 — Enforcement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91F1F" w:sz="4"/>
              <w:left w:val="single" w:color="791F1F" w:sz="18"/>
              <w:bottom w:val="single" w:color="791F1F" w:sz="4"/>
              <w:right w:val="single" w:color="791F1F" w:sz="4"/>
            </w:tcBorders>
            <w:shd w:fill="FCEBEB" w:val="clear"/>
            <w:tcMar>
              <w:top w:type="dxa" w:w="120"/>
              <w:left w:type="dxa" w:w="220"/>
              <w:bottom w:type="dxa" w:w="120"/>
              <w:right w:type="dxa" w:w="180"/>
            </w:tcMar>
          </w:tcPr>
          <w:p>
            <w:pPr>
              <w:spacing w:after="40" w:before="40"/>
            </w:pPr>
            <w:r>
              <w:rPr>
                <w:rFonts w:ascii="Arial" w:cs="Arial" w:eastAsia="Arial" w:hAnsi="Arial"/>
                <w:b/>
                <w:bCs/>
                <w:color w:val="791F1F"/>
                <w:sz w:val="21"/>
                <w:szCs w:val="21"/>
              </w:rPr>
              <w:t xml:space="preserve">Critical: Both items below are blockers for second-tenant onboarding</w:t>
            </w:r>
          </w:p>
          <w:p>
            <w:pPr>
              <w:spacing w:after="20" w:before="20"/>
            </w:pPr>
            <w:r>
              <w:rPr>
                <w:rFonts w:ascii="Arial" w:cs="Arial" w:eastAsia="Arial" w:hAnsi="Arial"/>
                <w:sz w:val="19"/>
                <w:szCs w:val="19"/>
              </w:rPr>
              <w:t xml:space="preserve">API route enforcement and dynamic branding must be complete before any tenant other than</w:t>
            </w:r>
          </w:p>
          <w:p>
            <w:pPr>
              <w:spacing w:after="20" w:before="20"/>
            </w:pPr>
            <w:r>
              <w:rPr>
                <w:rFonts w:ascii="Arial" w:cs="Arial" w:eastAsia="Arial" w:hAnsi="Arial"/>
                <w:sz w:val="19"/>
                <w:szCs w:val="19"/>
              </w:rPr>
              <w:t xml:space="preserve">Soralia Village is activated on the platform. Data leakage between tenants is a critical incident.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Task / Item</w:t>
            </w:r>
          </w:p>
        </w:tc>
        <w:tc>
          <w:tcPr>
            <w:tcW w:type="dxa" w:w="1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Status</w:t>
            </w:r>
          </w:p>
        </w:tc>
        <w:tc>
          <w:tcPr>
            <w:tcW w:type="dxa" w:w="50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API route tenant enforcement</w:t>
            </w:r>
          </w:p>
        </w:tc>
        <w:tc>
          <w:tcPr>
            <w:tcW w:type="dxa" w:w="15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jc w:val="center"/>
            </w:pPr>
            <w:r>
              <w:rPr>
                <w:rFonts w:ascii="Arial" w:cs="Arial" w:eastAsia="Arial" w:hAnsi="Arial"/>
                <w:b/>
                <w:bCs/>
                <w:color w:val="791F1F"/>
                <w:sz w:val="18"/>
                <w:szCs w:val="18"/>
              </w:rPr>
              <w:t xml:space="preserve">✗  Open</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35+ routes under src/app/api/ remain unscoped. withTenant() helper was created but appears not yet applied to individual route handlers. Every route must call withTenant() first and pass the resolved tenantId to all Drizzle queries.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CSS vars wired to tenant DB</w:t>
            </w:r>
          </w:p>
        </w:tc>
        <w:tc>
          <w:tcPr>
            <w:tcW w:type="dxa" w:w="15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jc w:val="center"/>
            </w:pPr>
            <w:r>
              <w:rPr>
                <w:rFonts w:ascii="Arial" w:cs="Arial" w:eastAsia="Arial" w:hAnsi="Arial"/>
                <w:b/>
                <w:bCs/>
                <w:color w:val="791F1F"/>
                <w:sz w:val="18"/>
                <w:szCs w:val="18"/>
              </w:rPr>
              <w:t xml:space="preserve">✗  Open</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TenantStyles.tsx was moved to components/tenant/ but no new DB-wiring code is visible from the tree. Dynamic branding (primaryColor, accentColor, logoUrl pulled from the tenants table) appears to still be pending.</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TenantProvider + TenantStyles moved</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pPr>
              <w:jc w:val="center"/>
            </w:pPr>
            <w:r>
              <w:rPr>
                <w:rFonts w:ascii="Arial" w:cs="Arial" w:eastAsia="Arial" w:hAnsi="Arial"/>
                <w:b/>
                <w:bCs/>
                <w:color w:val="27500A"/>
                <w:sz w:val="18"/>
                <w:szCs w:val="18"/>
              </w:rPr>
              <w:t xml:space="preserve">✓  Done</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Both now live in src/components/tenant/ alongside FeatureGate.tsx. The tenant/ component folder is correctly established.</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Locale file consolidation</w:t>
            </w:r>
          </w:p>
        </w:tc>
        <w:tc>
          <w:tcPr>
            <w:tcW w:type="dxa" w:w="15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jc w:val="center"/>
            </w:pPr>
            <w:r>
              <w:rPr>
                <w:rFonts w:ascii="Arial" w:cs="Arial" w:eastAsia="Arial" w:hAnsi="Arial"/>
                <w:b/>
                <w:bCs/>
                <w:color w:val="791F1F"/>
                <w:sz w:val="18"/>
                <w:szCs w:val="18"/>
              </w:rPr>
              <w:t xml:space="preserve">✗  Open</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Duplication persists: public/locales/ (af/en/xh/zu) and src/app/[lng]/locales/ (af/en/xh/zu) both still present. Must be resolved before multi-tenant i18n or per-tenant translation overrides are considered.</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FeatureGate applied to routes</w:t>
            </w:r>
          </w:p>
        </w:tc>
        <w:tc>
          <w:tcPr>
            <w:tcW w:type="dxa" w:w="1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pPr>
              <w:jc w:val="center"/>
            </w:pPr>
            <w:r>
              <w:rPr>
                <w:rFonts w:ascii="Arial" w:cs="Arial" w:eastAsia="Arial" w:hAnsi="Arial"/>
                <w:b/>
                <w:bCs/>
                <w:color w:val="633806"/>
                <w:sz w:val="18"/>
                <w:szCs w:val="18"/>
              </w:rPr>
              <w:t xml:space="preserve">~  Partial</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FeatureGate.tsx component created. No evidence yet of it being applied to individual page routes or nav items — the wrapping step is still pending.</w:t>
            </w:r>
          </w:p>
        </w:tc>
      </w:tr>
    </w:tbl>
    <w:p>
      <w:pPr>
        <w:spacing w:after="0" w:before="120"/>
      </w:pPr>
      <w:r>
        <w:t xml:space="preserve"/>
      </w:r>
    </w:p>
    <w:p>
      <w:r>
        <w:br w:type="page"/>
      </w:r>
    </w:p>
    <w:p>
      <w:pPr>
        <w:pStyle w:val="Heading1"/>
        <w:pBdr>
          <w:bottom w:val="single" w:color="0D9488" w:sz="8" w:space="4"/>
        </w:pBdr>
        <w:spacing w:after="120" w:before="360"/>
      </w:pPr>
      <w:r>
        <w:rPr>
          <w:rFonts w:ascii="Arial" w:cs="Arial" w:eastAsia="Arial" w:hAnsi="Arial"/>
          <w:b/>
          <w:bCs/>
          <w:color w:val="1E3A5F"/>
          <w:sz w:val="32"/>
          <w:szCs w:val="32"/>
        </w:rPr>
        <w:t xml:space="preserve">Phase 2 — Admin UI &amp; Tenant Tooling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Task / Item</w:t>
            </w:r>
          </w:p>
        </w:tc>
        <w:tc>
          <w:tcPr>
            <w:tcW w:type="dxa" w:w="1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Status</w:t>
            </w:r>
          </w:p>
        </w:tc>
        <w:tc>
          <w:tcPr>
            <w:tcW w:type="dxa" w:w="50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Tenant admin UI — edit &amp; features</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pPr>
              <w:jc w:val="center"/>
            </w:pPr>
            <w:r>
              <w:rPr>
                <w:rFonts w:ascii="Arial" w:cs="Arial" w:eastAsia="Arial" w:hAnsi="Arial"/>
                <w:b/>
                <w:bCs/>
                <w:color w:val="27500A"/>
                <w:sz w:val="18"/>
                <w:szCs w:val="18"/>
              </w:rPr>
              <w:t xml:space="preserve">✓  Done</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(platform)/admin/platform/[id]/edit/ and /features/ pages added, each with a components.tsx. Full CRUD for tenants is now scaffolded.</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tenantId backfill script</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pPr>
              <w:jc w:val="center"/>
            </w:pPr>
            <w:r>
              <w:rPr>
                <w:rFonts w:ascii="Arial" w:cs="Arial" w:eastAsia="Arial" w:hAnsi="Arial"/>
                <w:b/>
                <w:bCs/>
                <w:color w:val="27500A"/>
                <w:sz w:val="18"/>
                <w:szCs w:val="18"/>
              </w:rPr>
              <w:t xml:space="preserve">✓  Done</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scripts/backfill-tenant-records.ts is new and covers the data migration requirement for existing rows.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Migration: make tenantId nullable</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pPr>
              <w:jc w:val="center"/>
            </w:pPr>
            <w:r>
              <w:rPr>
                <w:rFonts w:ascii="Arial" w:cs="Arial" w:eastAsia="Arial" w:hAnsi="Arial"/>
                <w:b/>
                <w:bCs/>
                <w:color w:val="27500A"/>
                <w:sz w:val="18"/>
                <w:szCs w:val="18"/>
              </w:rPr>
              <w:t xml:space="preserve">✓  Done</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New migration 20260406_make_better_auth_tenantid_nullable applied. Pragmatic move that allows the backfill to run without breaking existing rows.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(platform) route group</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pPr>
              <w:jc w:val="center"/>
            </w:pPr>
            <w:r>
              <w:rPr>
                <w:rFonts w:ascii="Arial" w:cs="Arial" w:eastAsia="Arial" w:hAnsi="Arial"/>
                <w:b/>
                <w:bCs/>
                <w:color w:val="27500A"/>
                <w:sz w:val="18"/>
                <w:szCs w:val="18"/>
              </w:rPr>
              <w:t xml:space="preserve">✓  Done</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src/app/(platform)/ created with home, pricing, login, and signup pages plus a shared layout.tsx. NetComplex marketing surface is now a first-class route group.</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(tenant) route group</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pPr>
              <w:jc w:val="center"/>
            </w:pPr>
            <w:r>
              <w:rPr>
                <w:rFonts w:ascii="Arial" w:cs="Arial" w:eastAsia="Arial" w:hAnsi="Arial"/>
                <w:b/>
                <w:bCs/>
                <w:color w:val="27500A"/>
                <w:sz w:val="18"/>
                <w:szCs w:val="18"/>
              </w:rPr>
              <w:t xml:space="preserve">✓  Done</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All tenant-scoped admin routes moved under (tenant)/ with its own layout.tsx. Clean separation from platform-level admin is achieved.</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tenantFeatures.tsx</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pPr>
              <w:jc w:val="center"/>
            </w:pPr>
            <w:r>
              <w:rPr>
                <w:rFonts w:ascii="Arial" w:cs="Arial" w:eastAsia="Arial" w:hAnsi="Arial"/>
                <w:b/>
                <w:bCs/>
                <w:color w:val="27500A"/>
                <w:sz w:val="18"/>
                <w:szCs w:val="18"/>
              </w:rPr>
              <w:t xml:space="preserve">✓  Done</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src/lib/features/tenantFeatures.tsx created. Per-tenant feature config now sits alongside the existing feature registry.</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Component registry (registry.ts)</w:t>
            </w:r>
          </w:p>
        </w:tc>
        <w:tc>
          <w:tcPr>
            <w:tcW w:type="dxa" w:w="15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jc w:val="center"/>
            </w:pPr>
            <w:r>
              <w:rPr>
                <w:rFonts w:ascii="Arial" w:cs="Arial" w:eastAsia="Arial" w:hAnsi="Arial"/>
                <w:b/>
                <w:bCs/>
                <w:color w:val="791F1F"/>
                <w:sz w:val="18"/>
                <w:szCs w:val="18"/>
              </w:rPr>
              <w:t xml:space="preserve">✗  Open</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No src/components/registry.ts visible in the tree. WidgetRenderer is not yet wired to a central component registry.</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components/custom/ + CustomSectionRenderer</w:t>
            </w:r>
          </w:p>
        </w:tc>
        <w:tc>
          <w:tcPr>
            <w:tcW w:type="dxa" w:w="15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jc w:val="center"/>
            </w:pPr>
            <w:r>
              <w:rPr>
                <w:rFonts w:ascii="Arial" w:cs="Arial" w:eastAsia="Arial" w:hAnsi="Arial"/>
                <w:b/>
                <w:bCs/>
                <w:color w:val="791F1F"/>
                <w:sz w:val="18"/>
                <w:szCs w:val="18"/>
              </w:rPr>
              <w:t xml:space="preserve">✗  Open</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No custom/ folder created yet. The bespoke slot pattern for tenant-specific content sections has not been started.</w:t>
            </w:r>
          </w:p>
        </w:tc>
      </w:tr>
    </w:tbl>
    <w:p>
      <w:pPr>
        <w:spacing w:after="0" w:before="120"/>
      </w:pPr>
      <w:r>
        <w:t xml:space="preserve"/>
      </w:r>
    </w:p>
    <w:p>
      <w:pPr>
        <w:pStyle w:val="Heading1"/>
        <w:pBdr>
          <w:bottom w:val="single" w:color="0D9488" w:sz="8" w:space="4"/>
        </w:pBdr>
        <w:spacing w:after="120" w:before="360"/>
      </w:pPr>
      <w:r>
        <w:rPr>
          <w:rFonts w:ascii="Arial" w:cs="Arial" w:eastAsia="Arial" w:hAnsi="Arial"/>
          <w:b/>
          <w:bCs/>
          <w:color w:val="1E3A5F"/>
          <w:sz w:val="32"/>
          <w:szCs w:val="32"/>
        </w:rPr>
        <w:t xml:space="preserve">Phases 3 &amp; 4 — Correctly Deferred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Task / Item</w:t>
            </w:r>
          </w:p>
        </w:tc>
        <w:tc>
          <w:tcPr>
            <w:tcW w:type="dxa" w:w="1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Status</w:t>
            </w:r>
          </w:p>
        </w:tc>
        <w:tc>
          <w:tcPr>
            <w:tcW w:type="dxa" w:w="50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Second tenant onboarding</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jc w:val="center"/>
            </w:pPr>
            <w:r>
              <w:rPr>
                <w:rFonts w:ascii="Arial" w:cs="Arial" w:eastAsia="Arial" w:hAnsi="Arial"/>
                <w:b/>
                <w:bCs/>
                <w:color w:val="444441"/>
                <w:sz w:val="18"/>
                <w:szCs w:val="18"/>
              </w:rPr>
              <w:t xml:space="preserve">—  Deferred</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Not started. Correctly deferred — Phase 1 enforcement (API scoping + CSS vars) must be complete first.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b/>
                <w:bCs/>
                <w:color w:val="1E3A5F"/>
                <w:sz w:val="20"/>
                <w:szCs w:val="20"/>
              </w:rPr>
              <w:t xml:space="preserve">[lng] page migration</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jc w:val="center"/>
            </w:pPr>
            <w:r>
              <w:rPr>
                <w:rFonts w:ascii="Arial" w:cs="Arial" w:eastAsia="Arial" w:hAnsi="Arial"/>
                <w:b/>
                <w:bCs/>
                <w:color w:val="444441"/>
                <w:sz w:val="18"/>
                <w:szCs w:val="18"/>
              </w:rPr>
              <w:t xml:space="preserve">—  Deferred</w:t>
            </w:r>
          </w:p>
        </w:tc>
        <w:tc>
          <w:tcPr>
            <w:tcW w:type="dxa" w:w="50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r>
              <w:rPr>
                <w:rFonts w:ascii="Arial" w:cs="Arial" w:eastAsia="Arial" w:hAnsi="Arial"/>
                <w:color w:val="3d3d3a"/>
                <w:sz w:val="19"/>
                <w:szCs w:val="19"/>
              </w:rPr>
              <w:t xml:space="preserve">src/app/[lng]/layout.tsx exists but no application pages have moved. Correctly deferred — this is the highest-risk change and stays last.</w:t>
            </w:r>
          </w:p>
        </w:tc>
      </w:tr>
    </w:tbl>
    <w:p>
      <w:pPr>
        <w:spacing w:after="0" w:before="120"/>
      </w:pPr>
      <w:r>
        <w:t xml:space="preserve"/>
      </w:r>
    </w:p>
    <w:p>
      <w:r>
        <w:br w:type="page"/>
      </w:r>
    </w:p>
    <w:p>
      <w:pPr>
        <w:pStyle w:val="Heading1"/>
        <w:pBdr>
          <w:bottom w:val="single" w:color="0D9488" w:sz="8" w:space="4"/>
        </w:pBdr>
        <w:spacing w:after="120" w:before="360"/>
      </w:pPr>
      <w:r>
        <w:rPr>
          <w:rFonts w:ascii="Arial" w:cs="Arial" w:eastAsia="Arial" w:hAnsi="Arial"/>
          <w:b/>
          <w:bCs/>
          <w:color w:val="1E3A5F"/>
          <w:sz w:val="32"/>
          <w:szCs w:val="32"/>
        </w:rPr>
        <w:t xml:space="preserve">New Additions Not in the Plan</w:t>
      </w:r>
    </w:p>
    <w:p>
      <w:pPr>
        <w:spacing w:after="60" w:before="60"/>
      </w:pPr>
      <w:r>
        <w:rPr>
          <w:rFonts w:ascii="Arial" w:cs="Arial" w:eastAsia="Arial" w:hAnsi="Arial"/>
          <w:sz w:val="21"/>
          <w:szCs w:val="21"/>
        </w:rPr>
        <w:t xml:space="preserve">The following files and folders appeared in the current tree that were not present in the original snapshot and are not covered by the migration plan.</w:t>
      </w:r>
    </w:p>
    <w:p>
      <w:pPr>
        <w:spacing w:after="0" w:before="80"/>
      </w:pPr>
      <w:r>
        <w:t xml:space="preserve"/>
      </w:r>
    </w:p>
    <w:p>
      <w:pPr>
        <w:pStyle w:val="Heading2"/>
        <w:spacing w:after="80" w:before="240"/>
      </w:pPr>
      <w:r>
        <w:rPr>
          <w:rFonts w:ascii="Arial" w:cs="Arial" w:eastAsia="Arial" w:hAnsi="Arial"/>
          <w:b/>
          <w:bCs/>
          <w:color w:val="1E3A5F"/>
          <w:sz w:val="24"/>
          <w:szCs w:val="24"/>
        </w:rPr>
        <w:t xml:space="preserve">demo-site/</w:t>
      </w:r>
    </w:p>
    <w:p>
      <w:pPr>
        <w:spacing w:after="60" w:before="60"/>
      </w:pPr>
      <w:r>
        <w:rPr>
          <w:rFonts w:ascii="Arial" w:cs="Arial" w:eastAsia="Arial" w:hAnsi="Arial"/>
          <w:sz w:val="21"/>
          <w:szCs w:val="21"/>
        </w:rPr>
        <w:t xml:space="preserve">A static HTML/JS demo site was added covering conservation, dashboard, directory, services, and other pages. This is a meaningful body of work outside the migration plan.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3806" w:sz="4"/>
              <w:left w:val="single" w:color="633806" w:sz="18"/>
              <w:bottom w:val="single" w:color="633806" w:sz="4"/>
              <w:right w:val="single" w:color="633806" w:sz="4"/>
            </w:tcBorders>
            <w:shd w:fill="FAEEDA" w:val="clear"/>
            <w:tcMar>
              <w:top w:type="dxa" w:w="120"/>
              <w:left w:type="dxa" w:w="220"/>
              <w:bottom w:type="dxa" w:w="120"/>
              <w:right w:type="dxa" w:w="180"/>
            </w:tcMar>
          </w:tcPr>
          <w:p>
            <w:pPr>
              <w:spacing w:after="40" w:before="40"/>
            </w:pPr>
            <w:r>
              <w:rPr>
                <w:rFonts w:ascii="Arial" w:cs="Arial" w:eastAsia="Arial" w:hAnsi="Arial"/>
                <w:b/>
                <w:bCs/>
                <w:color w:val="633806"/>
                <w:sz w:val="21"/>
                <w:szCs w:val="21"/>
              </w:rPr>
              <w:t xml:space="preserve">Action required</w:t>
            </w:r>
          </w:p>
          <w:p>
            <w:pPr>
              <w:spacing w:after="20" w:before="20"/>
            </w:pPr>
            <w:r>
              <w:rPr>
                <w:rFonts w:ascii="Arial" w:cs="Arial" w:eastAsia="Arial" w:hAnsi="Arial"/>
                <w:sz w:val="19"/>
                <w:szCs w:val="19"/>
              </w:rPr>
              <w:t xml:space="preserve">Clarify the intent: is this a sales tool for prospective NetComplex clients, a design prototype,</w:t>
            </w:r>
          </w:p>
          <w:p>
            <w:pPr>
              <w:spacing w:after="20" w:before="20"/>
            </w:pPr>
            <w:r>
              <w:rPr>
                <w:rFonts w:ascii="Arial" w:cs="Arial" w:eastAsia="Arial" w:hAnsi="Arial"/>
                <w:sz w:val="19"/>
                <w:szCs w:val="19"/>
              </w:rPr>
              <w:t xml:space="preserve">or something else? If it is a sales/pitch tool it should be tracked and maintained deliberately —</w:t>
            </w:r>
          </w:p>
          <w:p>
            <w:pPr>
              <w:spacing w:after="20" w:before="20"/>
            </w:pPr>
            <w:r>
              <w:rPr>
                <w:rFonts w:ascii="Arial" w:cs="Arial" w:eastAsia="Arial" w:hAnsi="Arial"/>
                <w:sz w:val="19"/>
                <w:szCs w:val="19"/>
              </w:rPr>
              <w:t xml:space="preserve">it will go stale as the real platform evolves. Assign an owner.</w:t>
            </w:r>
          </w:p>
        </w:tc>
      </w:tr>
    </w:tbl>
    <w:p>
      <w:pPr>
        <w:spacing w:after="0" w:before="100"/>
      </w:pPr>
      <w:r>
        <w:t xml:space="preserve"/>
      </w:r>
    </w:p>
    <w:p>
      <w:pPr>
        <w:pStyle w:val="Heading2"/>
        <w:spacing w:after="80" w:before="240"/>
      </w:pPr>
      <w:r>
        <w:rPr>
          <w:rFonts w:ascii="Arial" w:cs="Arial" w:eastAsia="Arial" w:hAnsi="Arial"/>
          <w:b/>
          <w:bCs/>
          <w:color w:val="1E3A5F"/>
          <w:sz w:val="24"/>
          <w:szCs w:val="24"/>
        </w:rPr>
        <w:t xml:space="preserve">docs/ folder — significant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FF6FF" w:val="clear"/>
            <w:tcMar>
              <w:top w:type="dxa" w:w="70"/>
              <w:left w:type="dxa" w:w="130"/>
              <w:bottom w:type="dxa" w:w="70"/>
              <w:right w:type="dxa" w:w="100"/>
            </w:tcMar>
            <w:vAlign w:val="top"/>
          </w:tcPr>
          <w:p>
            <w:r>
              <w:rPr>
                <w:rFonts w:ascii="Arial" w:cs="Arial" w:eastAsia="Arial" w:hAnsi="Arial"/>
                <w:b/>
                <w:bCs/>
                <w:color w:val="1E3A5F"/>
                <w:sz w:val="19"/>
                <w:szCs w:val="19"/>
              </w:rPr>
              <w:t xml:space="preserve">NETCOMPLEX_ARCHITECTURE.md</w:t>
            </w:r>
          </w:p>
        </w:tc>
        <w:tc>
          <w:tcPr>
            <w:tcW w:type="dxa" w:w="6760"/>
            <w:tcBorders>
              <w:top w:val="single" w:color="CCCCCC" w:sz="1"/>
              <w:left w:val="single" w:color="CCCCCC" w:sz="1"/>
              <w:bottom w:val="single" w:color="CCCCCC" w:sz="1"/>
              <w:right w:val="single" w:color="CCCCCC" w:sz="1"/>
            </w:tcBorders>
            <w:shd w:fill="EFF6FF" w:val="clear"/>
            <w:tcMar>
              <w:top w:type="dxa" w:w="70"/>
              <w:left w:type="dxa" w:w="130"/>
              <w:bottom w:type="dxa" w:w="70"/>
              <w:right w:type="dxa" w:w="100"/>
            </w:tcMar>
            <w:vAlign w:val="top"/>
          </w:tcPr>
          <w:p>
            <w:r>
              <w:rPr>
                <w:rFonts w:ascii="Arial" w:cs="Arial" w:eastAsia="Arial" w:hAnsi="Arial"/>
                <w:sz w:val="19"/>
                <w:szCs w:val="19"/>
              </w:rPr>
              <w:t xml:space="preserve">New high-level architecture doc</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r>
              <w:rPr>
                <w:rFonts w:ascii="Arial" w:cs="Arial" w:eastAsia="Arial" w:hAnsi="Arial"/>
                <w:b/>
                <w:bCs/>
                <w:color w:val="1E3A5F"/>
                <w:sz w:val="19"/>
                <w:szCs w:val="19"/>
              </w:rPr>
              <w:t xml:space="preserve">NETCOMPLEX_PLAN.md</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r>
              <w:rPr>
                <w:rFonts w:ascii="Arial" w:cs="Arial" w:eastAsia="Arial" w:hAnsi="Arial"/>
                <w:sz w:val="19"/>
                <w:szCs w:val="19"/>
              </w:rPr>
              <w:t xml:space="preserve">New plan document</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30"/>
              <w:bottom w:type="dxa" w:w="70"/>
              <w:right w:type="dxa" w:w="100"/>
            </w:tcMar>
            <w:vAlign w:val="top"/>
          </w:tcPr>
          <w:p>
            <w:r>
              <w:rPr>
                <w:rFonts w:ascii="Arial" w:cs="Arial" w:eastAsia="Arial" w:hAnsi="Arial"/>
                <w:b/>
                <w:bCs/>
                <w:color w:val="1E3A5F"/>
                <w:sz w:val="19"/>
                <w:szCs w:val="19"/>
              </w:rPr>
              <w:t xml:space="preserve">MULTI_TENANT.md + MULTI_TENANT_SIGNUP.md</w:t>
            </w:r>
          </w:p>
        </w:tc>
        <w:tc>
          <w:tcPr>
            <w:tcW w:type="dxa" w:w="6760"/>
            <w:tcBorders>
              <w:top w:val="single" w:color="CCCCCC" w:sz="1"/>
              <w:left w:val="single" w:color="CCCCCC" w:sz="1"/>
              <w:bottom w:val="single" w:color="CCCCCC" w:sz="1"/>
              <w:right w:val="single" w:color="CCCCCC" w:sz="1"/>
            </w:tcBorders>
            <w:shd w:fill="EFF6FF" w:val="clear"/>
            <w:tcMar>
              <w:top w:type="dxa" w:w="70"/>
              <w:left w:type="dxa" w:w="130"/>
              <w:bottom w:type="dxa" w:w="70"/>
              <w:right w:type="dxa" w:w="100"/>
            </w:tcMar>
            <w:vAlign w:val="top"/>
          </w:tcPr>
          <w:p>
            <w:r>
              <w:rPr>
                <w:rFonts w:ascii="Arial" w:cs="Arial" w:eastAsia="Arial" w:hAnsi="Arial"/>
                <w:sz w:val="19"/>
                <w:szCs w:val="19"/>
              </w:rPr>
              <w:t xml:space="preserve">Multi-tenant design docs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r>
              <w:rPr>
                <w:rFonts w:ascii="Arial" w:cs="Arial" w:eastAsia="Arial" w:hAnsi="Arial"/>
                <w:b/>
                <w:bCs/>
                <w:color w:val="1E3A5F"/>
                <w:sz w:val="19"/>
                <w:szCs w:val="19"/>
              </w:rPr>
              <w:t xml:space="preserve">TENANT_AUDIT.md</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r>
              <w:rPr>
                <w:rFonts w:ascii="Arial" w:cs="Arial" w:eastAsia="Arial" w:hAnsi="Arial"/>
                <w:sz w:val="19"/>
                <w:szCs w:val="19"/>
              </w:rPr>
              <w:t xml:space="preserve">Tenant audit reference</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30"/>
              <w:bottom w:type="dxa" w:w="70"/>
              <w:right w:type="dxa" w:w="100"/>
            </w:tcMar>
            <w:vAlign w:val="top"/>
          </w:tcPr>
          <w:p>
            <w:r>
              <w:rPr>
                <w:rFonts w:ascii="Arial" w:cs="Arial" w:eastAsia="Arial" w:hAnsi="Arial"/>
                <w:b/>
                <w:bCs/>
                <w:color w:val="1E3A5F"/>
                <w:sz w:val="19"/>
                <w:szCs w:val="19"/>
              </w:rPr>
              <w:t xml:space="preserve">WHITE_LABEL_MIGRATE.md</w:t>
            </w:r>
          </w:p>
        </w:tc>
        <w:tc>
          <w:tcPr>
            <w:tcW w:type="dxa" w:w="6760"/>
            <w:tcBorders>
              <w:top w:val="single" w:color="CCCCCC" w:sz="1"/>
              <w:left w:val="single" w:color="CCCCCC" w:sz="1"/>
              <w:bottom w:val="single" w:color="CCCCCC" w:sz="1"/>
              <w:right w:val="single" w:color="CCCCCC" w:sz="1"/>
            </w:tcBorders>
            <w:shd w:fill="EFF6FF" w:val="clear"/>
            <w:tcMar>
              <w:top w:type="dxa" w:w="70"/>
              <w:left w:type="dxa" w:w="130"/>
              <w:bottom w:type="dxa" w:w="70"/>
              <w:right w:type="dxa" w:w="100"/>
            </w:tcMar>
            <w:vAlign w:val="top"/>
          </w:tcPr>
          <w:p>
            <w:r>
              <w:rPr>
                <w:rFonts w:ascii="Arial" w:cs="Arial" w:eastAsia="Arial" w:hAnsi="Arial"/>
                <w:sz w:val="19"/>
                <w:szCs w:val="19"/>
              </w:rPr>
              <w:t xml:space="preserve">White-label migration notes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r>
              <w:rPr>
                <w:rFonts w:ascii="Arial" w:cs="Arial" w:eastAsia="Arial" w:hAnsi="Arial"/>
                <w:b/>
                <w:bCs/>
                <w:color w:val="1E3A5F"/>
                <w:sz w:val="19"/>
                <w:szCs w:val="19"/>
              </w:rPr>
              <w:t xml:space="preserve">netcomplex_migration_planV0.md + v1.md</w:t>
            </w:r>
          </w:p>
        </w:tc>
        <w:tc>
          <w:tcPr>
            <w:tcW w:type="dxa" w:w="6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r>
              <w:rPr>
                <w:rFonts w:ascii="Arial" w:cs="Arial" w:eastAsia="Arial" w:hAnsi="Arial"/>
                <w:sz w:val="19"/>
                <w:szCs w:val="19"/>
              </w:rPr>
              <w:t xml:space="preserve">Versioned plan iterations</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30"/>
              <w:bottom w:type="dxa" w:w="70"/>
              <w:right w:type="dxa" w:w="100"/>
            </w:tcMar>
            <w:vAlign w:val="top"/>
          </w:tcPr>
          <w:p>
            <w:r>
              <w:rPr>
                <w:rFonts w:ascii="Arial" w:cs="Arial" w:eastAsia="Arial" w:hAnsi="Arial"/>
                <w:b/>
                <w:bCs/>
                <w:color w:val="1E3A5F"/>
                <w:sz w:val="19"/>
                <w:szCs w:val="19"/>
              </w:rPr>
              <w:t xml:space="preserve">Netcomplex-migration-plan.docx (in docs/)</w:t>
            </w:r>
          </w:p>
        </w:tc>
        <w:tc>
          <w:tcPr>
            <w:tcW w:type="dxa" w:w="6760"/>
            <w:tcBorders>
              <w:top w:val="single" w:color="CCCCCC" w:sz="1"/>
              <w:left w:val="single" w:color="CCCCCC" w:sz="1"/>
              <w:bottom w:val="single" w:color="CCCCCC" w:sz="1"/>
              <w:right w:val="single" w:color="CCCCCC" w:sz="1"/>
            </w:tcBorders>
            <w:shd w:fill="EFF6FF" w:val="clear"/>
            <w:tcMar>
              <w:top w:type="dxa" w:w="70"/>
              <w:left w:type="dxa" w:w="130"/>
              <w:bottom w:type="dxa" w:w="70"/>
              <w:right w:type="dxa" w:w="100"/>
            </w:tcMar>
            <w:vAlign w:val="top"/>
          </w:tcPr>
          <w:p>
            <w:r>
              <w:rPr>
                <w:rFonts w:ascii="Arial" w:cs="Arial" w:eastAsia="Arial" w:hAnsi="Arial"/>
                <w:sz w:val="19"/>
                <w:szCs w:val="19"/>
              </w:rPr>
              <w:t xml:space="preserve">The living plan document</w:t>
            </w:r>
          </w:p>
        </w:tc>
      </w:tr>
    </w:tbl>
    <w:p>
      <w:pPr>
        <w:spacing w:after="0" w:before="80"/>
      </w:pPr>
      <w:r>
        <w:t xml:space="preserve"/>
      </w:r>
    </w:p>
    <w:p>
      <w:pPr>
        <w:spacing w:after="60" w:before="60"/>
      </w:pPr>
      <w:r>
        <w:rPr>
          <w:rFonts w:ascii="Arial" w:cs="Arial" w:eastAsia="Arial" w:hAnsi="Arial"/>
          <w:sz w:val="21"/>
          <w:szCs w:val="21"/>
        </w:rPr>
        <w:t xml:space="preserve">Good for team alignment. However, multiple versioned plan documents (V0, v1, XML, docx) risk divergence. Treat the .docx as the single source of truth going forward and remove or archive the markdown iterations.</w:t>
      </w:r>
    </w:p>
    <w:p>
      <w:pPr>
        <w:spacing w:after="0" w:before="100"/>
      </w:pPr>
      <w:r>
        <w:t xml:space="preserve"/>
      </w:r>
    </w:p>
    <w:p>
      <w:pPr>
        <w:pStyle w:val="Heading2"/>
        <w:spacing w:after="80" w:before="240"/>
      </w:pPr>
      <w:r>
        <w:rPr>
          <w:rFonts w:ascii="Arial" w:cs="Arial" w:eastAsia="Arial" w:hAnsi="Arial"/>
          <w:b/>
          <w:bCs/>
          <w:color w:val="1E3A5F"/>
          <w:sz w:val="24"/>
          <w:szCs w:val="24"/>
        </w:rPr>
        <w:t xml:space="preserve">src/proxy.ts at src/ root</w:t>
      </w:r>
    </w:p>
    <w:p>
      <w:pPr>
        <w:spacing w:after="60" w:before="60"/>
      </w:pPr>
      <w:r>
        <w:rPr>
          <w:rFonts w:ascii="Arial" w:cs="Arial" w:eastAsia="Arial" w:hAnsi="Arial"/>
          <w:sz w:val="21"/>
          <w:szCs w:val="21"/>
        </w:rPr>
        <w:t xml:space="preserve">A new </w:t>
      </w:r>
      <w:r>
        <w:rPr>
          <w:rFonts w:ascii="Arial" w:cs="Arial" w:eastAsia="Arial" w:hAnsi="Arial"/>
          <w:b/>
          <w:bCs/>
          <w:sz w:val="21"/>
          <w:szCs w:val="21"/>
        </w:rPr>
        <w:t xml:space="preserve">src/proxy.ts</w:t>
      </w:r>
      <w:r>
        <w:rPr>
          <w:rFonts w:ascii="Arial" w:cs="Arial" w:eastAsia="Arial" w:hAnsi="Arial"/>
          <w:sz w:val="21"/>
          <w:szCs w:val="21"/>
        </w:rPr>
        <w:t xml:space="preserve"> appeared alongside the existing </w:t>
      </w:r>
      <w:r>
        <w:rPr>
          <w:rFonts w:ascii="Arial" w:cs="Arial" w:eastAsia="Arial" w:hAnsi="Arial"/>
          <w:b/>
          <w:bCs/>
          <w:sz w:val="21"/>
          <w:szCs w:val="21"/>
        </w:rPr>
        <w:t xml:space="preserve">src/app/proxy.ts</w:t>
      </w:r>
      <w:r>
        <w:rPr>
          <w:rFonts w:ascii="Arial" w:cs="Arial" w:eastAsia="Arial" w:hAnsi="Arial"/>
          <w:sz w:val="21"/>
          <w:szCs w:val="21"/>
        </w:rPr>
        <w:t xml:space="preserve">. Two proxy files in different locations is a risk — confirm which is active and remove the other.</w:t>
      </w:r>
    </w:p>
    <w:p>
      <w:pPr>
        <w:spacing w:after="0" w:before="100"/>
      </w:pPr>
      <w:r>
        <w:t xml:space="preserve"/>
      </w:r>
    </w:p>
    <w:p>
      <w:pPr>
        <w:pStyle w:val="Heading2"/>
        <w:spacing w:after="80" w:before="240"/>
      </w:pPr>
      <w:r>
        <w:rPr>
          <w:rFonts w:ascii="Arial" w:cs="Arial" w:eastAsia="Arial" w:hAnsi="Arial"/>
          <w:b/>
          <w:bCs/>
          <w:color w:val="1E3A5F"/>
          <w:sz w:val="24"/>
          <w:szCs w:val="24"/>
        </w:rPr>
        <w:t xml:space="preserve">opencode.json</w:t>
      </w:r>
    </w:p>
    <w:p>
      <w:pPr>
        <w:spacing w:after="60" w:before="60"/>
      </w:pPr>
      <w:r>
        <w:rPr>
          <w:rFonts w:ascii="Arial" w:cs="Arial" w:eastAsia="Arial" w:hAnsi="Arial"/>
          <w:sz w:val="21"/>
          <w:szCs w:val="21"/>
        </w:rPr>
        <w:t xml:space="preserve">AI coding assistant config at the root. Acceptable — verify that no sensitive context (DB credentials, tenant slugs, API keys) is baked into it.</w:t>
      </w:r>
    </w:p>
    <w:p>
      <w:pPr>
        <w:spacing w:after="0" w:before="100"/>
      </w:pPr>
      <w:r>
        <w:t xml:space="preserve"/>
      </w:r>
    </w:p>
    <w:p>
      <w:pPr>
        <w:pStyle w:val="Heading2"/>
        <w:spacing w:after="80" w:before="240"/>
      </w:pPr>
      <w:r>
        <w:rPr>
          <w:rFonts w:ascii="Arial" w:cs="Arial" w:eastAsia="Arial" w:hAnsi="Arial"/>
          <w:b/>
          <w:bCs/>
          <w:color w:val="1E3A5F"/>
          <w:sz w:val="24"/>
          <w:szCs w:val="24"/>
        </w:rPr>
        <w:t xml:space="preserve">justfile</w:t>
      </w:r>
    </w:p>
    <w:p>
      <w:pPr>
        <w:spacing w:after="60" w:before="60"/>
      </w:pPr>
      <w:r>
        <w:rPr>
          <w:rFonts w:ascii="Arial" w:cs="Arial" w:eastAsia="Arial" w:hAnsi="Arial"/>
          <w:sz w:val="21"/>
          <w:szCs w:val="21"/>
        </w:rPr>
        <w:t xml:space="preserve">Task runner added to the root. Good practice for discoverability. Ensure that migration-critical tasks (backfill, seed, tenant setup, withTenant() audit) are wired into it so the whole team can run them without digging through scripts/.</w:t>
      </w:r>
    </w:p>
    <w:p>
      <w:pPr>
        <w:spacing w:after="0" w:before="120"/>
      </w:pPr>
      <w:r>
        <w:t xml:space="preserve"/>
      </w:r>
    </w:p>
    <w:p>
      <w:r>
        <w:br w:type="page"/>
      </w:r>
    </w:p>
    <w:p>
      <w:pPr>
        <w:pStyle w:val="Heading1"/>
        <w:pBdr>
          <w:bottom w:val="single" w:color="0D9488" w:sz="8" w:space="4"/>
        </w:pBdr>
        <w:spacing w:after="120" w:before="360"/>
      </w:pPr>
      <w:r>
        <w:rPr>
          <w:rFonts w:ascii="Arial" w:cs="Arial" w:eastAsia="Arial" w:hAnsi="Arial"/>
          <w:b/>
          <w:bCs/>
          <w:color w:val="1E3A5F"/>
          <w:sz w:val="32"/>
          <w:szCs w:val="32"/>
        </w:rPr>
        <w:t xml:space="preserve">Priority Actions — What to Do Next</w:t>
      </w:r>
    </w:p>
    <w:p>
      <w:pPr>
        <w:spacing w:after="0" w:before="60"/>
      </w:pPr>
      <w:r>
        <w:t xml:space="preserve"/>
      </w:r>
    </w:p>
    <w:p>
      <w:pPr>
        <w:pStyle w:val="Heading2"/>
        <w:spacing w:after="80" w:before="240"/>
      </w:pPr>
      <w:r>
        <w:rPr>
          <w:rFonts w:ascii="Arial" w:cs="Arial" w:eastAsia="Arial" w:hAnsi="Arial"/>
          <w:b/>
          <w:bCs/>
          <w:color w:val="1E3A5F"/>
          <w:sz w:val="24"/>
          <w:szCs w:val="24"/>
        </w:rPr>
        <w:t xml:space="preserve">Immediate (before any other work)</w:t>
      </w:r>
    </w:p>
    <w:p>
      <w:pPr>
        <w:pStyle w:val="ListParagraph"/>
        <w:numPr>
          <w:ilvl w:val="0"/>
          <w:numId w:val="2"/>
        </w:numPr>
        <w:spacing w:after="30" w:before="30"/>
      </w:pPr>
      <w:r>
        <w:rPr>
          <w:rFonts w:ascii="Arial" w:cs="Arial" w:eastAsia="Arial" w:hAnsi="Arial"/>
          <w:sz w:val="21"/>
          <w:szCs w:val="21"/>
        </w:rPr>
        <w:t xml:space="preserve">Confirm LOCAL_TENANT_SLUG=soralia-village is set in every developer's .env.local and document it in AGENTS.md.</w:t>
      </w:r>
    </w:p>
    <w:p>
      <w:pPr>
        <w:pStyle w:val="ListParagraph"/>
        <w:numPr>
          <w:ilvl w:val="0"/>
          <w:numId w:val="2"/>
        </w:numPr>
        <w:spacing w:after="30" w:before="30"/>
      </w:pPr>
      <w:r>
        <w:rPr>
          <w:rFonts w:ascii="Arial" w:cs="Arial" w:eastAsia="Arial" w:hAnsi="Arial"/>
          <w:sz w:val="21"/>
          <w:szCs w:val="21"/>
        </w:rPr>
        <w:t xml:space="preserve">Audit all 35+ API routes and apply withTenant() to each handler as the first operation — no exceptions.</w:t>
      </w:r>
    </w:p>
    <w:p>
      <w:pPr>
        <w:pStyle w:val="ListParagraph"/>
        <w:numPr>
          <w:ilvl w:val="0"/>
          <w:numId w:val="2"/>
        </w:numPr>
        <w:spacing w:after="30" w:before="30"/>
      </w:pPr>
      <w:r>
        <w:rPr>
          <w:rFonts w:ascii="Arial" w:cs="Arial" w:eastAsia="Arial" w:hAnsi="Arial"/>
          <w:sz w:val="21"/>
          <w:szCs w:val="21"/>
        </w:rPr>
        <w:t xml:space="preserve">Wire TenantStyles.tsx to pull primaryColor, accentColor, and logoUrl dynamically from the tenants table.</w:t>
      </w:r>
    </w:p>
    <w:p>
      <w:pPr>
        <w:spacing w:after="0" w:before="80"/>
      </w:pPr>
      <w:r>
        <w:t xml:space="preserve"/>
      </w:r>
    </w:p>
    <w:p>
      <w:pPr>
        <w:pStyle w:val="Heading2"/>
        <w:spacing w:after="80" w:before="240"/>
      </w:pPr>
      <w:r>
        <w:rPr>
          <w:rFonts w:ascii="Arial" w:cs="Arial" w:eastAsia="Arial" w:hAnsi="Arial"/>
          <w:b/>
          <w:bCs/>
          <w:color w:val="1E3A5F"/>
          <w:sz w:val="24"/>
          <w:szCs w:val="24"/>
        </w:rPr>
        <w:t xml:space="preserve">This week</w:t>
      </w:r>
    </w:p>
    <w:p>
      <w:pPr>
        <w:pStyle w:val="ListParagraph"/>
        <w:numPr>
          <w:ilvl w:val="0"/>
          <w:numId w:val="2"/>
        </w:numPr>
        <w:spacing w:after="30" w:before="30"/>
      </w:pPr>
      <w:r>
        <w:rPr>
          <w:rFonts w:ascii="Arial" w:cs="Arial" w:eastAsia="Arial" w:hAnsi="Arial"/>
          <w:sz w:val="21"/>
          <w:szCs w:val="21"/>
        </w:rPr>
        <w:t xml:space="preserve">Document the TierGuard vs FeatureGate scope boundary in each file's header comment.</w:t>
      </w:r>
    </w:p>
    <w:p>
      <w:pPr>
        <w:pStyle w:val="ListParagraph"/>
        <w:numPr>
          <w:ilvl w:val="0"/>
          <w:numId w:val="2"/>
        </w:numPr>
        <w:spacing w:after="30" w:before="30"/>
      </w:pPr>
      <w:r>
        <w:rPr>
          <w:rFonts w:ascii="Arial" w:cs="Arial" w:eastAsia="Arial" w:hAnsi="Arial"/>
          <w:sz w:val="21"/>
          <w:szCs w:val="21"/>
        </w:rPr>
        <w:t xml:space="preserve">Apply FeatureGate to at least the top-level nav items and major route layouts.</w:t>
      </w:r>
    </w:p>
    <w:p>
      <w:pPr>
        <w:pStyle w:val="ListParagraph"/>
        <w:numPr>
          <w:ilvl w:val="0"/>
          <w:numId w:val="2"/>
        </w:numPr>
        <w:spacing w:after="30" w:before="30"/>
      </w:pPr>
      <w:r>
        <w:rPr>
          <w:rFonts w:ascii="Arial" w:cs="Arial" w:eastAsia="Arial" w:hAnsi="Arial"/>
          <w:sz w:val="21"/>
          <w:szCs w:val="21"/>
        </w:rPr>
        <w:t xml:space="preserve">Consolidate locale files: pick public/locales/ or src/app/[lng]/locales/ as the canonical location and delete the duplicate set.</w:t>
      </w:r>
    </w:p>
    <w:p>
      <w:pPr>
        <w:pStyle w:val="ListParagraph"/>
        <w:numPr>
          <w:ilvl w:val="0"/>
          <w:numId w:val="2"/>
        </w:numPr>
        <w:spacing w:after="30" w:before="30"/>
      </w:pPr>
      <w:r>
        <w:rPr>
          <w:rFonts w:ascii="Arial" w:cs="Arial" w:eastAsia="Arial" w:hAnsi="Arial"/>
          <w:sz w:val="21"/>
          <w:szCs w:val="21"/>
        </w:rPr>
        <w:t xml:space="preserve">Create a seed entry for Soralia Village as tenant #1 with real branding values committed.</w:t>
      </w:r>
    </w:p>
    <w:p>
      <w:pPr>
        <w:spacing w:after="0" w:before="80"/>
      </w:pPr>
      <w:r>
        <w:t xml:space="preserve"/>
      </w:r>
    </w:p>
    <w:p>
      <w:pPr>
        <w:pStyle w:val="Heading2"/>
        <w:spacing w:after="80" w:before="240"/>
      </w:pPr>
      <w:r>
        <w:rPr>
          <w:rFonts w:ascii="Arial" w:cs="Arial" w:eastAsia="Arial" w:hAnsi="Arial"/>
          <w:b/>
          <w:bCs/>
          <w:color w:val="1E3A5F"/>
          <w:sz w:val="24"/>
          <w:szCs w:val="24"/>
        </w:rPr>
        <w:t xml:space="preserve">Next 1–2 weeks</w:t>
      </w:r>
    </w:p>
    <w:p>
      <w:pPr>
        <w:pStyle w:val="ListParagraph"/>
        <w:numPr>
          <w:ilvl w:val="0"/>
          <w:numId w:val="2"/>
        </w:numPr>
        <w:spacing w:after="30" w:before="30"/>
      </w:pPr>
      <w:r>
        <w:rPr>
          <w:rFonts w:ascii="Arial" w:cs="Arial" w:eastAsia="Arial" w:hAnsi="Arial"/>
          <w:sz w:val="21"/>
          <w:szCs w:val="21"/>
        </w:rPr>
        <w:t xml:space="preserve">Create src/components/registry.ts and wire WidgetRenderer to it.</w:t>
      </w:r>
    </w:p>
    <w:p>
      <w:pPr>
        <w:pStyle w:val="ListParagraph"/>
        <w:numPr>
          <w:ilvl w:val="0"/>
          <w:numId w:val="2"/>
        </w:numPr>
        <w:spacing w:after="30" w:before="30"/>
      </w:pPr>
      <w:r>
        <w:rPr>
          <w:rFonts w:ascii="Arial" w:cs="Arial" w:eastAsia="Arial" w:hAnsi="Arial"/>
          <w:sz w:val="21"/>
          <w:szCs w:val="21"/>
        </w:rPr>
        <w:t xml:space="preserve">Clarify and document the purpose of demo-site/.</w:t>
      </w:r>
    </w:p>
    <w:p>
      <w:pPr>
        <w:pStyle w:val="ListParagraph"/>
        <w:numPr>
          <w:ilvl w:val="0"/>
          <w:numId w:val="2"/>
        </w:numPr>
        <w:spacing w:after="30" w:before="30"/>
      </w:pPr>
      <w:r>
        <w:rPr>
          <w:rFonts w:ascii="Arial" w:cs="Arial" w:eastAsia="Arial" w:hAnsi="Arial"/>
          <w:sz w:val="21"/>
          <w:szCs w:val="21"/>
        </w:rPr>
        <w:t xml:space="preserve">Investigate and resolve the dual proxy.ts situation.</w:t>
      </w:r>
    </w:p>
    <w:p>
      <w:pPr>
        <w:pStyle w:val="ListParagraph"/>
        <w:numPr>
          <w:ilvl w:val="0"/>
          <w:numId w:val="2"/>
        </w:numPr>
        <w:spacing w:after="30" w:before="30"/>
      </w:pPr>
      <w:r>
        <w:rPr>
          <w:rFonts w:ascii="Arial" w:cs="Arial" w:eastAsia="Arial" w:hAnsi="Arial"/>
          <w:sz w:val="21"/>
          <w:szCs w:val="21"/>
        </w:rPr>
        <w:t xml:space="preserve">Wire migration tasks into the justfile so they are discoverable.</w:t>
      </w:r>
    </w:p>
    <w:p>
      <w:pPr>
        <w:spacing w:after="0" w:before="80"/>
      </w:pPr>
      <w:r>
        <w:t xml:space="preserve"/>
      </w:r>
    </w:p>
    <w:p>
      <w:pPr>
        <w:pStyle w:val="Heading2"/>
        <w:spacing w:after="80" w:before="240"/>
      </w:pPr>
      <w:r>
        <w:rPr>
          <w:rFonts w:ascii="Arial" w:cs="Arial" w:eastAsia="Arial" w:hAnsi="Arial"/>
          <w:b/>
          <w:bCs/>
          <w:color w:val="1E3A5F"/>
          <w:sz w:val="24"/>
          <w:szCs w:val="24"/>
        </w:rPr>
        <w:t xml:space="preserve">Do not start yet</w:t>
      </w:r>
    </w:p>
    <w:p>
      <w:pPr>
        <w:pStyle w:val="ListParagraph"/>
        <w:numPr>
          <w:ilvl w:val="0"/>
          <w:numId w:val="2"/>
        </w:numPr>
        <w:spacing w:after="30" w:before="30"/>
      </w:pPr>
      <w:r>
        <w:rPr>
          <w:rFonts w:ascii="Arial" w:cs="Arial" w:eastAsia="Arial" w:hAnsi="Arial"/>
          <w:sz w:val="21"/>
          <w:szCs w:val="21"/>
        </w:rPr>
        <w:t xml:space="preserve">Second tenant onboarding — API enforcement and dynamic branding must be done first.</w:t>
      </w:r>
    </w:p>
    <w:p>
      <w:pPr>
        <w:pStyle w:val="ListParagraph"/>
        <w:numPr>
          <w:ilvl w:val="0"/>
          <w:numId w:val="2"/>
        </w:numPr>
        <w:spacing w:after="30" w:before="30"/>
      </w:pPr>
      <w:r>
        <w:rPr>
          <w:rFonts w:ascii="Arial" w:cs="Arial" w:eastAsia="Arial" w:hAnsi="Arial"/>
          <w:sz w:val="21"/>
          <w:szCs w:val="21"/>
        </w:rPr>
        <w:t xml:space="preserve">[lng] route migration — stays last; deferred correctly.</w:t>
      </w:r>
    </w:p>
    <w:p>
      <w:pPr>
        <w:spacing w:after="0" w:before="120"/>
      </w:pPr>
      <w:r>
        <w:t xml:space="preserve"/>
      </w:r>
    </w:p>
    <w:p>
      <w:pPr>
        <w:pBdr>
          <w:top w:val="single" w:color="0D9488" w:sz="4" w:space="8"/>
        </w:pBdr>
        <w:spacing w:after="0" w:before="240"/>
        <w:jc w:val="center"/>
      </w:pPr>
      <w:r>
        <w:rPr>
          <w:rFonts w:ascii="Arial" w:cs="Arial" w:eastAsia="Arial" w:hAnsi="Arial"/>
          <w:color w:val="9CA3AF"/>
          <w:sz w:val="17"/>
          <w:szCs w:val="17"/>
        </w:rPr>
        <w:t xml:space="preserve">NetComplex Migration Progress Review  •  April 2026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8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60" w:before="180"/>
      <w:outlineLvl w:val="2"/>
    </w:pPr>
    <w:rPr>
      <w:rFonts w:ascii="Arial" w:cs="Arial" w:eastAsia="Arial" w:hAnsi="Arial"/>
      <w:b/>
      <w:bCs/>
      <w:color w:val="0D948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2026-04-06T09:16:09.266Z</dcterms:created>
  <dcterms:modified xsi:type="dcterms:W3CDTF">2026-04-06T09:16:09.267Z</dcterms:modified>
</cp:coreProperties>
</file>

<file path=docProps/custom.xml><?xml version="1.0" encoding="utf-8"?>
<Properties xmlns="http://schemas.openxmlformats.org/officeDocument/2006/custom-properties" xmlns:vt="http://schemas.openxmlformats.org/officeDocument/2006/docPropsVTypes"/>
</file>