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0"/>
        <w:rPr/>
      </w:pPr>
      <w:r>
        <w:rPr/>
      </w:r>
    </w:p>
    <w:p>
      <w:pPr>
        <w:pStyle w:val="Normal"/>
        <w:spacing w:before="0" w:after="80"/>
        <w:jc w:val="center"/>
        <w:rPr/>
      </w:pPr>
      <w:r>
        <w:rPr>
          <w:rFonts w:eastAsia="Arial" w:cs="Arial"/>
          <w:b/>
          <w:bCs/>
          <w:color w:val="1E3A5F"/>
          <w:sz w:val="56"/>
          <w:szCs w:val="56"/>
        </w:rPr>
        <w:t>NETCOMPLEX</w:t>
      </w:r>
    </w:p>
    <w:p>
      <w:pPr>
        <w:pStyle w:val="Normal"/>
        <w:spacing w:before="0" w:after="60"/>
        <w:jc w:val="center"/>
        <w:rPr/>
      </w:pPr>
      <w:r>
        <w:rPr>
          <w:rFonts w:eastAsia="Arial" w:cs="Arial"/>
          <w:color w:val="0D9488"/>
          <w:sz w:val="30"/>
          <w:szCs w:val="30"/>
        </w:rPr>
        <w:t>White-Label Multi-Tenant Migration Guide</w:t>
      </w:r>
    </w:p>
    <w:p>
      <w:pPr>
        <w:pStyle w:val="Normal"/>
        <w:pBdr>
          <w:bottom w:val="single" w:sz="6" w:space="4" w:color="0D9488"/>
        </w:pBdr>
        <w:spacing w:before="0" w:after="80"/>
        <w:jc w:val="center"/>
        <w:rPr/>
      </w:pPr>
      <w:r>
        <w:rPr>
          <w:rFonts w:eastAsia="Arial" w:cs="Arial"/>
          <w:sz w:val="10"/>
          <w:szCs w:val="10"/>
        </w:rPr>
        <w:t xml:space="preserve"> </w:t>
      </w:r>
    </w:p>
    <w:p>
      <w:pPr>
        <w:pStyle w:val="Normal"/>
        <w:spacing w:before="80" w:after="0"/>
        <w:rPr/>
      </w:pPr>
      <w:r>
        <w:rPr/>
      </w:r>
    </w:p>
    <w:p>
      <w:pPr>
        <w:pStyle w:val="Normal"/>
        <w:spacing w:before="0" w:after="60"/>
        <w:jc w:val="center"/>
        <w:rPr/>
      </w:pPr>
      <w:r>
        <w:rPr>
          <w:rFonts w:eastAsia="Arial" w:cs="Arial"/>
          <w:i/>
          <w:iCs/>
          <w:color w:val="6B7280"/>
          <w:sz w:val="22"/>
          <w:szCs w:val="22"/>
        </w:rPr>
        <w:t>Updated &amp; Reconciled with Current Repository State</w:t>
      </w:r>
    </w:p>
    <w:p>
      <w:pPr>
        <w:pStyle w:val="Normal"/>
        <w:spacing w:before="0" w:after="0"/>
        <w:jc w:val="center"/>
        <w:rPr/>
      </w:pPr>
      <w:r>
        <w:rPr>
          <w:rFonts w:eastAsia="Arial" w:cs="Arial"/>
          <w:color w:val="6B7280"/>
          <w:sz w:val="22"/>
          <w:szCs w:val="22"/>
        </w:rPr>
        <w:t>April 2026</w:t>
      </w:r>
    </w:p>
    <w:p>
      <w:pPr>
        <w:pStyle w:val="Normal"/>
        <w:spacing w:before="480" w:after="0"/>
        <w:rPr/>
      </w:pPr>
      <w:r>
        <w:rPr/>
      </w:r>
    </w:p>
    <w:p>
      <w:pPr>
        <w:pStyle w:val="Heading1"/>
        <w:pBdr>
          <w:bottom w:val="single" w:sz="8" w:space="4" w:color="0D9488"/>
        </w:pBdr>
        <w:spacing w:before="360" w:after="160"/>
        <w:rPr/>
      </w:pPr>
      <w:r>
        <w:rPr>
          <w:rFonts w:eastAsia="Arial" w:cs="Arial" w:ascii="Arial" w:hAnsi="Arial"/>
          <w:b/>
          <w:bCs/>
          <w:color w:val="1E3A5F"/>
          <w:sz w:val="32"/>
          <w:szCs w:val="32"/>
        </w:rPr>
        <w:t>Executive Summary</w:t>
      </w:r>
    </w:p>
    <w:p>
      <w:pPr>
        <w:pStyle w:val="Normal"/>
        <w:spacing w:before="80" w:after="80"/>
        <w:rPr/>
      </w:pPr>
      <w:r>
        <w:rPr>
          <w:rFonts w:eastAsia="Arial" w:cs="Arial"/>
          <w:sz w:val="22"/>
          <w:szCs w:val="22"/>
        </w:rPr>
        <w:t>Soralia Village is being transformed from a single-tenant community platform into NetComplex — a white-label SaaS platform hosting multiple community clients on one shared codebase. Soralia Village becomes the first and flagship tenant.</w:t>
      </w:r>
    </w:p>
    <w:p>
      <w:pPr>
        <w:pStyle w:val="Normal"/>
        <w:spacing w:before="8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0D9488"/>
              <w:start w:val="single" w:sz="16" w:space="0" w:color="0D9488"/>
              <w:bottom w:val="single" w:sz="6" w:space="0" w:color="0D9488"/>
              <w:end w:val="single" w:sz="6" w:space="0" w:color="0D9488"/>
            </w:tcBorders>
            <w:shd w:fill="F0FDF9" w:val="clear"/>
          </w:tcPr>
          <w:p>
            <w:pPr>
              <w:pStyle w:val="Normal"/>
              <w:spacing w:before="40" w:after="40"/>
              <w:rPr/>
            </w:pPr>
            <w:r>
              <w:rPr>
                <w:rFonts w:eastAsia="Arial" w:cs="Arial"/>
                <w:b/>
                <w:bCs/>
                <w:color w:val="0D9488"/>
                <w:sz w:val="22"/>
                <w:szCs w:val="22"/>
              </w:rPr>
              <w:t>Key Finding: You Are Further Along Than the Original Plan Assumes</w:t>
            </w:r>
          </w:p>
          <w:p>
            <w:pPr>
              <w:pStyle w:val="Normal"/>
              <w:spacing w:before="20" w:after="20"/>
              <w:rPr/>
            </w:pPr>
            <w:r>
              <w:rPr>
                <w:rFonts w:eastAsia="Arial" w:cs="Arial"/>
                <w:sz w:val="20"/>
                <w:szCs w:val="20"/>
              </w:rPr>
              <w:t>A repository audit found that significant multi-tenant groundwork is already in place.</w:t>
            </w:r>
          </w:p>
          <w:p>
            <w:pPr>
              <w:pStyle w:val="Normal"/>
              <w:spacing w:before="20" w:after="20"/>
              <w:rPr/>
            </w:pPr>
            <w:r>
              <w:rPr>
                <w:rFonts w:eastAsia="Arial" w:cs="Arial"/>
                <w:sz w:val="20"/>
                <w:szCs w:val="20"/>
              </w:rPr>
              <w:t>The original plan's Immediate phase is largely complete. This updated guide reorients</w:t>
            </w:r>
          </w:p>
          <w:p>
            <w:pPr>
              <w:pStyle w:val="Normal"/>
              <w:spacing w:before="20" w:after="20"/>
              <w:rPr/>
            </w:pPr>
            <w:r>
              <w:rPr>
                <w:rFonts w:eastAsia="Arial" w:cs="Arial"/>
                <w:sz w:val="20"/>
                <w:szCs w:val="20"/>
              </w:rPr>
              <w:t>around what is genuinely missing, not what has already been built.</w:t>
            </w:r>
          </w:p>
        </w:tc>
      </w:tr>
    </w:tbl>
    <w:p>
      <w:pPr>
        <w:pStyle w:val="Normal"/>
        <w:spacing w:before="120" w:after="0"/>
        <w:rPr/>
      </w:pPr>
      <w:r>
        <w:rPr/>
      </w:r>
    </w:p>
    <w:p>
      <w:pPr>
        <w:pStyle w:val="Heading2"/>
        <w:spacing w:before="280" w:after="120"/>
        <w:rPr/>
      </w:pPr>
      <w:r>
        <w:rPr>
          <w:rFonts w:eastAsia="Arial" w:cs="Arial" w:ascii="Arial" w:hAnsi="Arial"/>
          <w:b/>
          <w:bCs/>
          <w:color w:val="1E3A5F"/>
          <w:sz w:val="26"/>
          <w:szCs w:val="26"/>
        </w:rPr>
        <w:t>What Already Exists in the Repo</w:t>
      </w:r>
    </w:p>
    <w:tbl>
      <w:tblPr>
        <w:tblW w:w="9360" w:type="dxa"/>
        <w:jc w:val="start"/>
        <w:tblInd w:w="0" w:type="dxa"/>
        <w:tblLayout w:type="fixed"/>
        <w:tblCellMar>
          <w:top w:w="80" w:type="dxa"/>
          <w:start w:w="140" w:type="dxa"/>
          <w:bottom w:w="80" w:type="dxa"/>
          <w:end w:w="140" w:type="dxa"/>
        </w:tblCellMar>
      </w:tblPr>
      <w:tblGrid>
        <w:gridCol w:w="2399"/>
        <w:gridCol w:w="6960"/>
      </w:tblGrid>
      <w:tr>
        <w:trPr/>
        <w:tc>
          <w:tcPr>
            <w:tcW w:w="23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tenants.ts</w:t>
            </w:r>
          </w:p>
        </w:tc>
        <w:tc>
          <w:tcPr>
            <w:tcW w:w="69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Tenants table exists in Drizzle schema</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organizations.ts</w:t>
            </w:r>
          </w:p>
        </w:tc>
        <w:tc>
          <w:tcPr>
            <w:tcW w:w="6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Better-Auth organizations + relations wired</w:t>
            </w:r>
          </w:p>
        </w:tc>
      </w:tr>
      <w:tr>
        <w:trPr/>
        <w:tc>
          <w:tcPr>
            <w:tcW w:w="23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features/registry.ts</w:t>
            </w:r>
          </w:p>
        </w:tc>
        <w:tc>
          <w:tcPr>
            <w:tcW w:w="69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Feature registry file already present in lib/features/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TenantProvider.tsx</w:t>
            </w:r>
          </w:p>
        </w:tc>
        <w:tc>
          <w:tcPr>
            <w:tcW w:w="6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Tenant context component in src/components/ui/</w:t>
            </w:r>
          </w:p>
        </w:tc>
      </w:tr>
      <w:tr>
        <w:trPr/>
        <w:tc>
          <w:tcPr>
            <w:tcW w:w="23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TenantStyles.tsx</w:t>
            </w:r>
          </w:p>
        </w:tc>
        <w:tc>
          <w:tcPr>
            <w:tcW w:w="69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CSS variable injection component in place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lib/tenant.ts</w:t>
            </w:r>
          </w:p>
        </w:tc>
        <w:tc>
          <w:tcPr>
            <w:tcW w:w="6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Tenant resolution library exists</w:t>
            </w:r>
          </w:p>
        </w:tc>
      </w:tr>
      <w:tr>
        <w:trPr/>
        <w:tc>
          <w:tcPr>
            <w:tcW w:w="23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admin/platform/</w:t>
            </w:r>
          </w:p>
        </w:tc>
        <w:tc>
          <w:tcPr>
            <w:tcW w:w="69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Super-admin tenant UI scaffolded at /admin/platform/[id]/features/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api/admin/platform/tenants/</w:t>
            </w:r>
          </w:p>
        </w:tc>
        <w:tc>
          <w:tcPr>
            <w:tcW w:w="6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Tenant management API route exists</w:t>
            </w:r>
          </w:p>
        </w:tc>
      </w:tr>
      <w:tr>
        <w:trPr/>
        <w:tc>
          <w:tcPr>
            <w:tcW w:w="23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Migration 20260331</w:t>
            </w:r>
          </w:p>
        </w:tc>
        <w:tc>
          <w:tcPr>
            <w:tcW w:w="69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organization_id backfilled to identity tables — active work underway</w:t>
            </w:r>
          </w:p>
        </w:tc>
      </w:tr>
    </w:tbl>
    <w:p>
      <w:pPr>
        <w:pStyle w:val="Normal"/>
        <w:spacing w:before="120" w:after="0"/>
        <w:rPr/>
      </w:pPr>
      <w:r>
        <w:rPr/>
      </w:r>
    </w:p>
    <w:p>
      <w:pPr>
        <w:pStyle w:val="Normal"/>
        <w:rPr/>
      </w:pPr>
      <w:r>
        <w:rPr/>
      </w:r>
      <w:r>
        <w:br w:type="page"/>
      </w:r>
    </w:p>
    <w:p>
      <w:pPr>
        <w:pStyle w:val="Heading1"/>
        <w:pBdr>
          <w:bottom w:val="single" w:sz="8" w:space="4" w:color="0D9488"/>
        </w:pBdr>
        <w:spacing w:before="0" w:after="160"/>
        <w:rPr/>
      </w:pPr>
      <w:r>
        <w:rPr>
          <w:rFonts w:eastAsia="Arial" w:cs="Arial" w:ascii="Arial" w:hAnsi="Arial"/>
          <w:b/>
          <w:bCs/>
          <w:color w:val="1E3A5F"/>
          <w:sz w:val="32"/>
          <w:szCs w:val="32"/>
        </w:rPr>
        <w:t>1. Architecture Overview</w:t>
      </w:r>
    </w:p>
    <w:p>
      <w:pPr>
        <w:pStyle w:val="Normal"/>
        <w:spacing w:before="80" w:after="80"/>
        <w:rPr/>
      </w:pPr>
      <w:r>
        <w:rPr>
          <w:rFonts w:eastAsia="Arial" w:cs="Arial"/>
          <w:sz w:val="22"/>
          <w:szCs w:val="22"/>
        </w:rPr>
        <w:t>The architecture follows a shared-codebase, shared-database model with strong tenant isolation enforced at the middleware and query layers.</w:t>
      </w:r>
    </w:p>
    <w:p>
      <w:pPr>
        <w:pStyle w:val="Normal"/>
        <w:spacing w:before="80" w:after="0"/>
        <w:rPr/>
      </w:pPr>
      <w:r>
        <w:rPr/>
      </w:r>
    </w:p>
    <w:p>
      <w:pPr>
        <w:pStyle w:val="Heading2"/>
        <w:spacing w:before="280" w:after="120"/>
        <w:rPr/>
      </w:pPr>
      <w:r>
        <w:rPr>
          <w:rFonts w:eastAsia="Arial" w:cs="Arial" w:ascii="Arial" w:hAnsi="Arial"/>
          <w:b/>
          <w:bCs/>
          <w:color w:val="1E3A5F"/>
          <w:sz w:val="26"/>
          <w:szCs w:val="26"/>
        </w:rPr>
        <w:t>Platform Layers</w:t>
      </w:r>
    </w:p>
    <w:tbl>
      <w:tblPr>
        <w:tblW w:w="9360" w:type="dxa"/>
        <w:jc w:val="start"/>
        <w:tblInd w:w="0" w:type="dxa"/>
        <w:tblLayout w:type="fixed"/>
        <w:tblCellMar>
          <w:top w:w="80" w:type="dxa"/>
          <w:start w:w="140" w:type="dxa"/>
          <w:bottom w:w="80" w:type="dxa"/>
          <w:end w:w="140" w:type="dxa"/>
        </w:tblCellMar>
      </w:tblPr>
      <w:tblGrid>
        <w:gridCol w:w="2799"/>
        <w:gridCol w:w="6560"/>
      </w:tblGrid>
      <w:tr>
        <w:trPr/>
        <w:tc>
          <w:tcPr>
            <w:tcW w:w="27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NetComplex Platform</w:t>
            </w:r>
          </w:p>
        </w:tc>
        <w:tc>
          <w:tcPr>
            <w:tcW w:w="65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app.netbones.co.za — marketing, billing, super-admin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Tenant Instances</w:t>
            </w:r>
          </w:p>
        </w:tc>
        <w:tc>
          <w:tcPr>
            <w:tcW w:w="6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soralia.netbones.co.za or custom domains — isolated data + branding</w:t>
            </w:r>
          </w:p>
        </w:tc>
      </w:tr>
      <w:tr>
        <w:trPr/>
        <w:tc>
          <w:tcPr>
            <w:tcW w:w="27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Data Layer</w:t>
            </w:r>
          </w:p>
        </w:tc>
        <w:tc>
          <w:tcPr>
            <w:tcW w:w="65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Shared PostgreSQL via Drizzle, tenant_id / organization_id on all tables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Tenant Resolution</w:t>
            </w:r>
          </w:p>
        </w:tc>
        <w:tc>
          <w:tcPr>
            <w:tcW w:w="6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Middleware detects subdomain or custom domain, loads cached config</w:t>
            </w:r>
          </w:p>
        </w:tc>
      </w:tr>
      <w:tr>
        <w:trPr/>
        <w:tc>
          <w:tcPr>
            <w:tcW w:w="27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Theming</w:t>
            </w:r>
          </w:p>
        </w:tc>
        <w:tc>
          <w:tcPr>
            <w:tcW w:w="65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CSS variables injected at layout level for dynamic Tailwind colors + logos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Features</w:t>
            </w:r>
          </w:p>
        </w:tc>
        <w:tc>
          <w:tcPr>
            <w:tcW w:w="6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DB-backed toggles + component registry — tenants enable/disable modules</w:t>
            </w:r>
          </w:p>
        </w:tc>
      </w:tr>
    </w:tbl>
    <w:p>
      <w:pPr>
        <w:pStyle w:val="Normal"/>
        <w:spacing w:before="120" w:after="0"/>
        <w:rPr/>
      </w:pPr>
      <w:r>
        <w:rPr/>
      </w:r>
    </w:p>
    <w:p>
      <w:pPr>
        <w:pStyle w:val="Heading2"/>
        <w:spacing w:before="280" w:after="120"/>
        <w:rPr/>
      </w:pPr>
      <w:r>
        <w:rPr>
          <w:rFonts w:eastAsia="Arial" w:cs="Arial" w:ascii="Arial" w:hAnsi="Arial"/>
          <w:b/>
          <w:bCs/>
          <w:color w:val="1E3A5F"/>
          <w:sz w:val="26"/>
          <w:szCs w:val="26"/>
        </w:rPr>
        <w:t>Tenant Resolution Flow</w:t>
      </w:r>
    </w:p>
    <w:p>
      <w:pPr>
        <w:pStyle w:val="Normal"/>
        <w:spacing w:before="80" w:after="80"/>
        <w:rPr/>
      </w:pPr>
      <w:r>
        <w:rPr>
          <w:rFonts w:eastAsia="Arial" w:cs="Arial"/>
          <w:sz w:val="22"/>
          <w:szCs w:val="22"/>
        </w:rPr>
        <w:t>Request arrives → Middleware reads host header → Looks up tenant by slug or customDomain (Redis/Vercel KV cache) → Sets x-tenant-id and x-tenant-slug response headers → Layout reads headers and injects CSS variables → All Drizzle queries scope by tenantId.</w:t>
      </w:r>
    </w:p>
    <w:p>
      <w:pPr>
        <w:pStyle w:val="Normal"/>
        <w:spacing w:before="8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1E3A5F"/>
              <w:start w:val="single" w:sz="16" w:space="0" w:color="1E3A5F"/>
              <w:bottom w:val="single" w:sz="6" w:space="0" w:color="1E3A5F"/>
              <w:end w:val="single" w:sz="6" w:space="0" w:color="1E3A5F"/>
            </w:tcBorders>
            <w:shd w:fill="EFF6FF" w:val="clear"/>
          </w:tcPr>
          <w:p>
            <w:pPr>
              <w:pStyle w:val="Normal"/>
              <w:spacing w:before="40" w:after="40"/>
              <w:rPr/>
            </w:pPr>
            <w:r>
              <w:rPr>
                <w:rFonts w:eastAsia="Arial" w:cs="Arial"/>
                <w:b/>
                <w:bCs/>
                <w:color w:val="1E3A5F"/>
                <w:sz w:val="22"/>
                <w:szCs w:val="22"/>
              </w:rPr>
              <w:t>Local Development — Do This First</w:t>
            </w:r>
          </w:p>
          <w:p>
            <w:pPr>
              <w:pStyle w:val="Normal"/>
              <w:spacing w:before="20" w:after="20"/>
              <w:rPr/>
            </w:pPr>
            <w:r>
              <w:rPr>
                <w:rFonts w:eastAsia="Arial" w:cs="Arial"/>
                <w:sz w:val="20"/>
                <w:szCs w:val="20"/>
              </w:rPr>
              <w:t>Set LOCAL_TENANT_SLUG=soralia-village in .env.local.</w:t>
            </w:r>
          </w:p>
          <w:p>
            <w:pPr>
              <w:pStyle w:val="Normal"/>
              <w:spacing w:before="20" w:after="20"/>
              <w:rPr/>
            </w:pPr>
            <w:r>
              <w:rPr>
                <w:rFonts w:eastAsia="Arial" w:cs="Arial"/>
                <w:sz w:val="20"/>
                <w:szCs w:val="20"/>
              </w:rPr>
              <w:t>Middleware falls back to this slug in development — Soralia team works entirely unchanged.</w:t>
            </w:r>
          </w:p>
          <w:p>
            <w:pPr>
              <w:pStyle w:val="Normal"/>
              <w:spacing w:before="20" w:after="20"/>
              <w:rPr/>
            </w:pPr>
            <w:r>
              <w:rPr>
                <w:rFonts w:eastAsia="Arial" w:cs="Arial"/>
                <w:sz w:val="20"/>
                <w:szCs w:val="20"/>
              </w:rPr>
              <w:t>To test a new tenant: change the env var or use ngrok with a test subdomain.</w:t>
            </w:r>
          </w:p>
        </w:tc>
      </w:tr>
    </w:tbl>
    <w:p>
      <w:pPr>
        <w:pStyle w:val="Normal"/>
        <w:spacing w:before="120" w:after="0"/>
        <w:rPr/>
      </w:pPr>
      <w:r>
        <w:rPr/>
      </w:r>
    </w:p>
    <w:p>
      <w:pPr>
        <w:pStyle w:val="Normal"/>
        <w:rPr/>
      </w:pPr>
      <w:r>
        <w:rPr/>
      </w:r>
      <w:r>
        <w:br w:type="page"/>
      </w:r>
    </w:p>
    <w:p>
      <w:pPr>
        <w:pStyle w:val="Heading1"/>
        <w:pBdr>
          <w:bottom w:val="single" w:sz="8" w:space="4" w:color="0D9488"/>
        </w:pBdr>
        <w:spacing w:before="0" w:after="160"/>
        <w:rPr/>
      </w:pPr>
      <w:r>
        <w:rPr>
          <w:rFonts w:eastAsia="Arial" w:cs="Arial" w:ascii="Arial" w:hAnsi="Arial"/>
          <w:b/>
          <w:bCs/>
          <w:color w:val="1E3A5F"/>
          <w:sz w:val="32"/>
          <w:szCs w:val="32"/>
        </w:rPr>
        <w:t>2. Gaps &amp; Issues Identified in Repository Audit</w:t>
      </w:r>
    </w:p>
    <w:p>
      <w:pPr>
        <w:pStyle w:val="Normal"/>
        <w:spacing w:before="80" w:after="80"/>
        <w:rPr/>
      </w:pPr>
      <w:r>
        <w:rPr>
          <w:rFonts w:eastAsia="Arial" w:cs="Arial"/>
          <w:sz w:val="22"/>
          <w:szCs w:val="22"/>
        </w:rPr>
        <w:t>The following items were identified by comparing the original migration plan against the actual repository structure. These represent the real remaining work.</w:t>
      </w:r>
    </w:p>
    <w:p>
      <w:pPr>
        <w:pStyle w:val="Normal"/>
        <w:spacing w:before="80" w:after="0"/>
        <w:rPr/>
      </w:pPr>
      <w:r>
        <w:rPr/>
      </w:r>
    </w:p>
    <w:p>
      <w:pPr>
        <w:pStyle w:val="Heading2"/>
        <w:spacing w:before="280" w:after="120"/>
        <w:rPr/>
      </w:pPr>
      <w:r>
        <w:rPr>
          <w:rFonts w:eastAsia="Arial" w:cs="Arial" w:ascii="Arial" w:hAnsi="Arial"/>
          <w:b/>
          <w:bCs/>
          <w:color w:val="1E3A5F"/>
          <w:sz w:val="26"/>
          <w:szCs w:val="26"/>
        </w:rPr>
        <w:t>Critical Gaps</w:t>
      </w:r>
    </w:p>
    <w:p>
      <w:pPr>
        <w:pStyle w:val="Heading3"/>
        <w:spacing w:before="200" w:after="80"/>
        <w:rPr/>
      </w:pPr>
      <w:r>
        <w:rPr>
          <w:rFonts w:eastAsia="Arial" w:cs="Arial" w:ascii="Arial" w:hAnsi="Arial"/>
          <w:b/>
          <w:bCs/>
          <w:color w:val="0D9488"/>
          <w:sz w:val="22"/>
          <w:szCs w:val="22"/>
        </w:rPr>
        <w:t>2.1  The [lng] Route Segment Is Underdeveloped</w:t>
      </w:r>
    </w:p>
    <w:p>
      <w:pPr>
        <w:pStyle w:val="Normal"/>
        <w:spacing w:before="80" w:after="80"/>
        <w:rPr/>
      </w:pPr>
      <w:r>
        <w:rPr>
          <w:rFonts w:eastAsia="Arial" w:cs="Arial"/>
          <w:sz w:val="22"/>
          <w:szCs w:val="22"/>
        </w:rPr>
        <w:t>The plan places all tenant pages under [lng]/ but the actual [lng]/ folder contains only a locales/ subdirectory — no pages. All real application pages (dashboard, groups, services, etc.) live directly under src/app/ without i18n route wrapping.</w:t>
      </w:r>
    </w:p>
    <w:p>
      <w:pPr>
        <w:pStyle w:val="Normal"/>
        <w:spacing w:before="6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D97706"/>
              <w:start w:val="single" w:sz="16" w:space="0" w:color="D97706"/>
              <w:bottom w:val="single" w:sz="6" w:space="0" w:color="D97706"/>
              <w:end w:val="single" w:sz="6" w:space="0" w:color="D97706"/>
            </w:tcBorders>
            <w:shd w:fill="FFFBEB" w:val="clear"/>
          </w:tcPr>
          <w:p>
            <w:pPr>
              <w:pStyle w:val="Normal"/>
              <w:spacing w:before="40" w:after="40"/>
              <w:rPr/>
            </w:pPr>
            <w:r>
              <w:rPr>
                <w:rFonts w:eastAsia="Arial" w:cs="Arial"/>
                <w:b/>
                <w:bCs/>
                <w:color w:val="D97706"/>
                <w:sz w:val="22"/>
                <w:szCs w:val="22"/>
              </w:rPr>
              <w:t>Risk: Highest-Impact Change — Do Last</w:t>
            </w:r>
          </w:p>
          <w:p>
            <w:pPr>
              <w:pStyle w:val="Normal"/>
              <w:spacing w:before="20" w:after="20"/>
              <w:rPr/>
            </w:pPr>
            <w:r>
              <w:rPr>
                <w:rFonts w:eastAsia="Arial" w:cs="Arial"/>
                <w:sz w:val="20"/>
                <w:szCs w:val="20"/>
              </w:rPr>
              <w:t>Moving all pages into [lng]/ touches every route and every link in the application.</w:t>
            </w:r>
          </w:p>
          <w:p>
            <w:pPr>
              <w:pStyle w:val="Normal"/>
              <w:spacing w:before="20" w:after="20"/>
              <w:rPr/>
            </w:pPr>
            <w:r>
              <w:rPr>
                <w:rFonts w:eastAsia="Arial" w:cs="Arial"/>
                <w:sz w:val="20"/>
                <w:szCs w:val="20"/>
              </w:rPr>
              <w:t>RECOMMENDATION: Defer until Phases 0-3 are stable and proven.</w:t>
            </w:r>
          </w:p>
          <w:p>
            <w:pPr>
              <w:pStyle w:val="Normal"/>
              <w:spacing w:before="20" w:after="20"/>
              <w:rPr/>
            </w:pPr>
            <w:r>
              <w:rPr>
                <w:rFonts w:eastAsia="Arial" w:cs="Arial"/>
                <w:sz w:val="20"/>
                <w:szCs w:val="20"/>
              </w:rPr>
              <w:t>Soralia pages stay where they are and use tenant context without the [lng]/ move for now.</w:t>
            </w:r>
          </w:p>
          <w:p>
            <w:pPr>
              <w:pStyle w:val="Normal"/>
              <w:spacing w:before="20" w:after="20"/>
              <w:rPr/>
            </w:pPr>
            <w:r>
              <w:rPr>
                <w:rFonts w:eastAsia="Arial" w:cs="Arial"/>
                <w:sz w:val="20"/>
                <w:szCs w:val="20"/>
              </w:rPr>
              <w:t>Define the auth route i18n strategy before any pages move.</w:t>
            </w:r>
          </w:p>
        </w:tc>
      </w:tr>
    </w:tbl>
    <w:p>
      <w:pPr>
        <w:pStyle w:val="Normal"/>
        <w:spacing w:before="100" w:after="0"/>
        <w:rPr/>
      </w:pPr>
      <w:r>
        <w:rPr/>
      </w:r>
    </w:p>
    <w:p>
      <w:pPr>
        <w:pStyle w:val="Heading3"/>
        <w:spacing w:before="200" w:after="80"/>
        <w:rPr/>
      </w:pPr>
      <w:r>
        <w:rPr>
          <w:rFonts w:eastAsia="Arial" w:cs="Arial" w:ascii="Arial" w:hAnsi="Arial"/>
          <w:b/>
          <w:bCs/>
          <w:color w:val="0D9488"/>
          <w:sz w:val="22"/>
          <w:szCs w:val="22"/>
        </w:rPr>
        <w:t>2.2  Auth Routes Outside the i18n Segment</w:t>
      </w:r>
    </w:p>
    <w:p>
      <w:pPr>
        <w:pStyle w:val="Normal"/>
        <w:spacing w:before="80" w:after="80"/>
        <w:rPr/>
      </w:pPr>
      <w:r>
        <w:rPr>
          <w:rFonts w:eastAsia="Arial" w:cs="Arial"/>
          <w:sz w:val="22"/>
          <w:szCs w:val="22"/>
        </w:rPr>
        <w:t>sign-in, sign-up, and forgot-password live under (auth)/ with no [lng]/ wrapping. When pages eventually migrate, auth routes need their own resolution strategy — currently undefined. Decision required before the i18n migration begins.</w:t>
      </w:r>
    </w:p>
    <w:p>
      <w:pPr>
        <w:pStyle w:val="Normal"/>
        <w:spacing w:before="100" w:after="0"/>
        <w:rPr/>
      </w:pPr>
      <w:r>
        <w:rPr/>
      </w:r>
    </w:p>
    <w:p>
      <w:pPr>
        <w:pStyle w:val="Heading3"/>
        <w:spacing w:before="200" w:after="80"/>
        <w:rPr/>
      </w:pPr>
      <w:r>
        <w:rPr>
          <w:rFonts w:eastAsia="Arial" w:cs="Arial" w:ascii="Arial" w:hAnsi="Arial"/>
          <w:b/>
          <w:bCs/>
          <w:color w:val="0D9488"/>
          <w:sz w:val="22"/>
          <w:szCs w:val="22"/>
        </w:rPr>
        <w:t>2.3  No Systematic API Route Tenant Enforcement</w:t>
      </w:r>
    </w:p>
    <w:p>
      <w:pPr>
        <w:pStyle w:val="Normal"/>
        <w:spacing w:before="80" w:after="80"/>
        <w:rPr/>
      </w:pPr>
      <w:r>
        <w:rPr>
          <w:rFonts w:eastAsia="Arial" w:cs="Arial"/>
          <w:sz w:val="22"/>
          <w:szCs w:val="22"/>
        </w:rPr>
        <w:t>The repo has 35+ API routes. The plan says 'scope all Drizzle queries by tenantId' but provides no enforcement mechanism. Without a standard pattern, enforcement will be inconsistent and tenant data leakage becomes a real risk.</w:t>
      </w:r>
    </w:p>
    <w:p>
      <w:pPr>
        <w:pStyle w:val="Normal"/>
        <w:spacing w:before="60" w:after="0"/>
        <w:rPr/>
      </w:pPr>
      <w:r>
        <w:rPr/>
      </w:r>
    </w:p>
    <w:p>
      <w:pPr>
        <w:pStyle w:val="Normal"/>
        <w:spacing w:before="80" w:after="80"/>
        <w:rPr/>
      </w:pPr>
      <w:r>
        <w:rPr>
          <w:rFonts w:eastAsia="Arial" w:cs="Arial"/>
          <w:sz w:val="22"/>
          <w:szCs w:val="22"/>
        </w:rPr>
        <w:t xml:space="preserve">Solution — create a </w:t>
      </w:r>
      <w:r>
        <w:rPr>
          <w:rFonts w:eastAsia="Arial" w:cs="Arial"/>
          <w:b/>
          <w:bCs/>
          <w:sz w:val="22"/>
          <w:szCs w:val="22"/>
        </w:rPr>
        <w:t>withTenant()</w:t>
      </w:r>
      <w:r>
        <w:rPr>
          <w:rFonts w:eastAsia="Arial" w:cs="Arial"/>
          <w:sz w:val="22"/>
          <w:szCs w:val="22"/>
        </w:rPr>
        <w:t xml:space="preserve"> helper:</w:t>
      </w:r>
    </w:p>
    <w:p>
      <w:pPr>
        <w:pStyle w:val="Normal"/>
        <w:spacing w:before="20" w:after="0"/>
        <w:rPr/>
      </w:pPr>
      <w:r>
        <w:rPr/>
      </w:r>
    </w:p>
    <w:p>
      <w:pPr>
        <w:pStyle w:val="Normal"/>
        <w:spacing w:before="40" w:after="40"/>
        <w:ind w:start="480"/>
        <w:rPr/>
      </w:pPr>
      <w:r>
        <w:rPr>
          <w:rFonts w:eastAsia="Courier New" w:cs="Courier New" w:ascii="Courier New" w:hAnsi="Courier New"/>
          <w:color w:val="1F2937"/>
          <w:sz w:val="18"/>
          <w:szCs w:val="18"/>
        </w:rPr>
        <w:t>// src/lib/tenant/with-tenant.ts</w:t>
      </w:r>
    </w:p>
    <w:p>
      <w:pPr>
        <w:pStyle w:val="Normal"/>
        <w:spacing w:before="40" w:after="40"/>
        <w:ind w:start="480"/>
        <w:rPr/>
      </w:pPr>
      <w:r>
        <w:rPr>
          <w:rFonts w:eastAsia="Courier New" w:cs="Courier New" w:ascii="Courier New" w:hAnsi="Courier New"/>
          <w:color w:val="1F2937"/>
          <w:sz w:val="18"/>
          <w:szCs w:val="18"/>
        </w:rPr>
        <w:t>export async function withTenant(req: NextRequest) {</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const tenantId = req.headers.get('x-tenant-id');</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if (!tenantId) throw new Error('Missing tenant context');</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return { tenantId };</w:t>
      </w:r>
    </w:p>
    <w:p>
      <w:pPr>
        <w:pStyle w:val="Normal"/>
        <w:spacing w:before="40" w:after="40"/>
        <w:ind w:start="480"/>
        <w:rPr/>
      </w:pPr>
      <w:r>
        <w:rPr>
          <w:rFonts w:eastAsia="Courier New" w:cs="Courier New" w:ascii="Courier New" w:hAnsi="Courier New"/>
          <w:color w:val="1F2937"/>
          <w:sz w:val="18"/>
          <w:szCs w:val="18"/>
        </w:rPr>
        <w:t>}</w:t>
      </w:r>
    </w:p>
    <w:p>
      <w:pPr>
        <w:pStyle w:val="Normal"/>
        <w:spacing w:before="60" w:after="0"/>
        <w:rPr/>
      </w:pPr>
      <w:r>
        <w:rPr/>
      </w:r>
    </w:p>
    <w:p>
      <w:pPr>
        <w:pStyle w:val="Normal"/>
        <w:spacing w:before="80" w:after="80"/>
        <w:rPr/>
      </w:pPr>
      <w:r>
        <w:rPr>
          <w:rFonts w:eastAsia="Arial" w:cs="Arial"/>
          <w:sz w:val="22"/>
          <w:szCs w:val="22"/>
        </w:rPr>
        <w:t>Every API route handler calls this first. All Drizzle queries receive the returned tenantId as a where clause filter. This is non-negotiable before onboarding a second tenant.</w:t>
      </w:r>
    </w:p>
    <w:p>
      <w:pPr>
        <w:pStyle w:val="Normal"/>
        <w:spacing w:before="100" w:after="0"/>
        <w:rPr/>
      </w:pPr>
      <w:r>
        <w:rPr/>
      </w:r>
    </w:p>
    <w:p>
      <w:pPr>
        <w:pStyle w:val="Heading3"/>
        <w:spacing w:before="200" w:after="80"/>
        <w:rPr/>
      </w:pPr>
      <w:r>
        <w:rPr>
          <w:rFonts w:eastAsia="Arial" w:cs="Arial" w:ascii="Arial" w:hAnsi="Arial"/>
          <w:b/>
          <w:bCs/>
          <w:color w:val="0D9488"/>
          <w:sz w:val="22"/>
          <w:szCs w:val="22"/>
        </w:rPr>
        <w:t>2.4  TierGuard vs FeatureGate Overlap</w:t>
      </w:r>
    </w:p>
    <w:p>
      <w:pPr>
        <w:pStyle w:val="Normal"/>
        <w:spacing w:before="80" w:after="80"/>
        <w:rPr/>
      </w:pPr>
      <w:r>
        <w:rPr>
          <w:rFonts w:eastAsia="Arial" w:cs="Arial"/>
          <w:b/>
          <w:bCs/>
          <w:sz w:val="22"/>
          <w:szCs w:val="22"/>
        </w:rPr>
        <w:t>TierGuard.tsx</w:t>
      </w:r>
      <w:r>
        <w:rPr>
          <w:rFonts w:eastAsia="Arial" w:cs="Arial"/>
          <w:sz w:val="22"/>
          <w:szCs w:val="22"/>
        </w:rPr>
        <w:t xml:space="preserve"> already exists in src/components/ui/. The plan proposes a new </w:t>
      </w:r>
      <w:r>
        <w:rPr>
          <w:rFonts w:eastAsia="Arial" w:cs="Arial"/>
          <w:b/>
          <w:bCs/>
          <w:sz w:val="22"/>
          <w:szCs w:val="22"/>
        </w:rPr>
        <w:t>FeatureGate</w:t>
      </w:r>
      <w:r>
        <w:rPr>
          <w:rFonts w:eastAsia="Arial" w:cs="Arial"/>
          <w:sz w:val="22"/>
          <w:szCs w:val="22"/>
        </w:rPr>
        <w:t xml:space="preserve"> component. These overlap and risk duplicating similar logic.</w:t>
      </w:r>
    </w:p>
    <w:p>
      <w:pPr>
        <w:pStyle w:val="Normal"/>
        <w:spacing w:before="60" w:after="0"/>
        <w:rPr/>
      </w:pPr>
      <w:r>
        <w:rPr/>
      </w:r>
    </w:p>
    <w:p>
      <w:pPr>
        <w:pStyle w:val="Normal"/>
        <w:spacing w:before="80" w:after="80"/>
        <w:rPr/>
      </w:pPr>
      <w:r>
        <w:rPr>
          <w:rFonts w:eastAsia="Arial" w:cs="Arial"/>
          <w:sz w:val="22"/>
          <w:szCs w:val="22"/>
        </w:rPr>
        <w:t>Decision required: Does FeatureGate replace TierGuard, wrap it, or do they serve genuinely distinct purposes (e.g. TierGuard = billing plan, FeatureGate = per-tenant toggle)? Document the decision before building FeatureGate.</w:t>
      </w:r>
    </w:p>
    <w:p>
      <w:pPr>
        <w:pStyle w:val="Normal"/>
        <w:spacing w:before="100" w:after="0"/>
        <w:rPr/>
      </w:pPr>
      <w:r>
        <w:rPr/>
      </w:r>
    </w:p>
    <w:p>
      <w:pPr>
        <w:pStyle w:val="Heading3"/>
        <w:spacing w:before="200" w:after="80"/>
        <w:rPr/>
      </w:pPr>
      <w:r>
        <w:rPr>
          <w:rFonts w:eastAsia="Arial" w:cs="Arial" w:ascii="Arial" w:hAnsi="Arial"/>
          <w:b/>
          <w:bCs/>
          <w:color w:val="0D9488"/>
          <w:sz w:val="22"/>
          <w:szCs w:val="22"/>
        </w:rPr>
        <w:t>2.5  Duplicate Locale Files</w:t>
      </w:r>
    </w:p>
    <w:p>
      <w:pPr>
        <w:pStyle w:val="Normal"/>
        <w:spacing w:before="80" w:after="80"/>
        <w:rPr/>
      </w:pPr>
      <w:r>
        <w:rPr>
          <w:rFonts w:eastAsia="Arial" w:cs="Arial"/>
          <w:sz w:val="22"/>
          <w:szCs w:val="22"/>
        </w:rPr>
        <w:t>Translation files exist in both public/locales/ and src/app/[lng]/locales/. As multi-tenant i18n grows — especially if tenants need translation overrides — this duplication will create confusion. Consolidate to one canonical location before adding tenant-specific translation support.</w:t>
      </w:r>
    </w:p>
    <w:p>
      <w:pPr>
        <w:pStyle w:val="Normal"/>
        <w:spacing w:before="100" w:after="0"/>
        <w:rPr/>
      </w:pPr>
      <w:r>
        <w:rPr/>
      </w:r>
    </w:p>
    <w:p>
      <w:pPr>
        <w:pStyle w:val="Heading3"/>
        <w:spacing w:before="200" w:after="80"/>
        <w:rPr/>
      </w:pPr>
      <w:r>
        <w:rPr>
          <w:rFonts w:eastAsia="Arial" w:cs="Arial" w:ascii="Arial" w:hAnsi="Arial"/>
          <w:b/>
          <w:bCs/>
          <w:color w:val="0D9488"/>
          <w:sz w:val="22"/>
          <w:szCs w:val="22"/>
        </w:rPr>
        <w:t>2.6  /admin/platform/ vs /platform/ Ambiguity</w:t>
      </w:r>
    </w:p>
    <w:p>
      <w:pPr>
        <w:pStyle w:val="Normal"/>
        <w:spacing w:before="80" w:after="80"/>
        <w:rPr/>
      </w:pPr>
      <w:r>
        <w:rPr>
          <w:rFonts w:eastAsia="Arial" w:cs="Arial"/>
          <w:sz w:val="22"/>
          <w:szCs w:val="22"/>
        </w:rPr>
        <w:t>The plan proposes a new /platform/ route group for NetComplex marketing and super-admin. The repo already has /admin/platform/ for tenant management. Without a clear decision, both will grow in parallel and fragment the super-admin experience.</w:t>
      </w:r>
    </w:p>
    <w:p>
      <w:pPr>
        <w:pStyle w:val="Normal"/>
        <w:spacing w:before="60" w:after="0"/>
        <w:rPr/>
      </w:pPr>
      <w:r>
        <w:rPr/>
      </w:r>
    </w:p>
    <w:p>
      <w:pPr>
        <w:pStyle w:val="Normal"/>
        <w:spacing w:before="80" w:after="80"/>
        <w:rPr/>
      </w:pPr>
      <w:r>
        <w:rPr>
          <w:rFonts w:eastAsia="Arial" w:cs="Arial"/>
          <w:sz w:val="22"/>
          <w:szCs w:val="22"/>
        </w:rPr>
        <w:t>Decision required: Is /admin/platform/ the canonical super-admin UI? If so, the plan's /platform/ route group is unnecessary. Define this before building more admin features.</w:t>
      </w:r>
    </w:p>
    <w:p>
      <w:pPr>
        <w:pStyle w:val="Normal"/>
        <w:spacing w:before="100" w:after="0"/>
        <w:rPr/>
      </w:pPr>
      <w:r>
        <w:rPr/>
      </w:r>
    </w:p>
    <w:p>
      <w:pPr>
        <w:pStyle w:val="Heading2"/>
        <w:spacing w:before="280" w:after="120"/>
        <w:rPr/>
      </w:pPr>
      <w:r>
        <w:rPr>
          <w:rFonts w:eastAsia="Arial" w:cs="Arial" w:ascii="Arial" w:hAnsi="Arial"/>
          <w:b/>
          <w:bCs/>
          <w:color w:val="1E3A5F"/>
          <w:sz w:val="26"/>
          <w:szCs w:val="26"/>
        </w:rPr>
        <w:t>Component Reorganisation Note</w:t>
      </w:r>
    </w:p>
    <w:p>
      <w:pPr>
        <w:pStyle w:val="Normal"/>
        <w:spacing w:before="80" w:after="80"/>
        <w:rPr/>
      </w:pPr>
      <w:r>
        <w:rPr>
          <w:rFonts w:eastAsia="Arial" w:cs="Arial"/>
          <w:sz w:val="22"/>
          <w:szCs w:val="22"/>
        </w:rPr>
        <w:t>The plan proposes reorganising ~80+ components into core/, tenant/, and custom/ folders. This is valid long-term direction but no mapping of existing components to new locations was provided. Create the mapping table (see Section 3) before moving any files. Migrate components on contact — not in a single large refactor.</w:t>
      </w:r>
    </w:p>
    <w:p>
      <w:pPr>
        <w:pStyle w:val="Normal"/>
        <w:rPr/>
      </w:pPr>
      <w:r>
        <w:rPr/>
      </w:r>
      <w:r>
        <w:br w:type="page"/>
      </w:r>
    </w:p>
    <w:p>
      <w:pPr>
        <w:pStyle w:val="Heading1"/>
        <w:pBdr>
          <w:bottom w:val="single" w:sz="8" w:space="4" w:color="0D9488"/>
        </w:pBdr>
        <w:spacing w:before="0" w:after="160"/>
        <w:rPr/>
      </w:pPr>
      <w:r>
        <w:rPr>
          <w:rFonts w:eastAsia="Arial" w:cs="Arial" w:ascii="Arial" w:hAnsi="Arial"/>
          <w:b/>
          <w:bCs/>
          <w:color w:val="1E3A5F"/>
          <w:sz w:val="32"/>
          <w:szCs w:val="32"/>
        </w:rPr>
        <w:t>3. Proposed Repository Structure</w:t>
      </w:r>
    </w:p>
    <w:p>
      <w:pPr>
        <w:pStyle w:val="Normal"/>
        <w:spacing w:before="80" w:after="80"/>
        <w:rPr/>
      </w:pPr>
      <w:r>
        <w:rPr>
          <w:rFonts w:eastAsia="Arial" w:cs="Arial"/>
          <w:sz w:val="22"/>
          <w:szCs w:val="22"/>
        </w:rPr>
        <w:t>Items marked NEW are genuinely new additions. Items marked MOVE already exist and need relocating. Items marked EXISTING stay where they are and are built upon.</w:t>
      </w:r>
    </w:p>
    <w:p>
      <w:pPr>
        <w:pStyle w:val="Normal"/>
        <w:spacing w:before="80" w:after="0"/>
        <w:rPr/>
      </w:pPr>
      <w:r>
        <w:rPr/>
      </w:r>
    </w:p>
    <w:p>
      <w:pPr>
        <w:pStyle w:val="Heading2"/>
        <w:spacing w:before="280" w:after="120"/>
        <w:rPr/>
      </w:pPr>
      <w:r>
        <w:rPr>
          <w:rFonts w:eastAsia="Arial" w:cs="Arial" w:ascii="Arial" w:hAnsi="Arial"/>
          <w:b/>
          <w:bCs/>
          <w:color w:val="1E3A5F"/>
          <w:sz w:val="26"/>
          <w:szCs w:val="26"/>
        </w:rPr>
        <w:t>Key Additions to src/</w:t>
      </w:r>
    </w:p>
    <w:tbl>
      <w:tblPr>
        <w:tblW w:w="9360" w:type="dxa"/>
        <w:jc w:val="start"/>
        <w:tblInd w:w="0" w:type="dxa"/>
        <w:tblLayout w:type="fixed"/>
        <w:tblCellMar>
          <w:top w:w="80" w:type="dxa"/>
          <w:start w:w="140" w:type="dxa"/>
          <w:bottom w:w="80" w:type="dxa"/>
          <w:end w:w="140" w:type="dxa"/>
        </w:tblCellMar>
      </w:tblPr>
      <w:tblGrid>
        <w:gridCol w:w="2999"/>
        <w:gridCol w:w="6360"/>
      </w:tblGrid>
      <w:tr>
        <w:trPr/>
        <w:tc>
          <w:tcPr>
            <w:tcW w:w="29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src/app/[lng]/</w:t>
            </w:r>
          </w:p>
        </w:tc>
        <w:tc>
          <w:tcPr>
            <w:tcW w:w="63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i18n route segment — pages migrate here gradually (Phase 4, do last)</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src/app/admin/platform/</w:t>
            </w:r>
          </w:p>
        </w:tc>
        <w:tc>
          <w:tcPr>
            <w:tcW w:w="6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EXISTING: super-admin tenant UI — keep building here</w:t>
            </w:r>
          </w:p>
        </w:tc>
      </w:tr>
      <w:tr>
        <w:trPr/>
        <w:tc>
          <w:tcPr>
            <w:tcW w:w="29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src/app/(auth)/</w:t>
            </w:r>
          </w:p>
        </w:tc>
        <w:tc>
          <w:tcPr>
            <w:tcW w:w="63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EXISTING: auth routes — i18n strategy TBD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src/components/core/</w:t>
            </w:r>
          </w:p>
        </w:tc>
        <w:tc>
          <w:tcPr>
            <w:tcW w:w="6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NEW: Platform-wide standardised UI, design system</w:t>
            </w:r>
          </w:p>
        </w:tc>
      </w:tr>
      <w:tr>
        <w:trPr/>
        <w:tc>
          <w:tcPr>
            <w:tcW w:w="29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src/components/tenant/</w:t>
            </w:r>
          </w:p>
        </w:tc>
        <w:tc>
          <w:tcPr>
            <w:tcW w:w="63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NEW: White-label aware components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src/components/custom/</w:t>
            </w:r>
          </w:p>
        </w:tc>
        <w:tc>
          <w:tcPr>
            <w:tcW w:w="6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NEW: Bespoke/client-specific slots</w:t>
            </w:r>
          </w:p>
        </w:tc>
      </w:tr>
      <w:tr>
        <w:trPr/>
        <w:tc>
          <w:tcPr>
            <w:tcW w:w="29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src/components/ui/TenantProvider.tsx</w:t>
            </w:r>
          </w:p>
        </w:tc>
        <w:tc>
          <w:tcPr>
            <w:tcW w:w="63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EXISTING — MOVE to components/tenant/</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src/components/ui/TenantStyles.tsx</w:t>
            </w:r>
          </w:p>
        </w:tc>
        <w:tc>
          <w:tcPr>
            <w:tcW w:w="6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EXISTING — MOVE to components/tenant/</w:t>
            </w:r>
          </w:p>
        </w:tc>
      </w:tr>
      <w:tr>
        <w:trPr/>
        <w:tc>
          <w:tcPr>
            <w:tcW w:w="29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src/components/ui/TierGuard.tsx</w:t>
            </w:r>
          </w:p>
        </w:tc>
        <w:tc>
          <w:tcPr>
            <w:tcW w:w="63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EXISTING — reconcile with FeatureGate decision</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src/lib/tenant/</w:t>
            </w:r>
          </w:p>
        </w:tc>
        <w:tc>
          <w:tcPr>
            <w:tcW w:w="6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NEW: Expand from existing lib/tenant.ts into a folder</w:t>
            </w:r>
          </w:p>
        </w:tc>
      </w:tr>
      <w:tr>
        <w:trPr/>
        <w:tc>
          <w:tcPr>
            <w:tcW w:w="29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src/lib/tenant/with-tenant.ts</w:t>
            </w:r>
          </w:p>
        </w:tc>
        <w:tc>
          <w:tcPr>
            <w:tcW w:w="63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NEW: API route enforcement helper (critical)</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src/lib/features/tenantFeatures.ts</w:t>
            </w:r>
          </w:p>
        </w:tc>
        <w:tc>
          <w:tcPr>
            <w:tcW w:w="6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NEW: Per-tenant enabled features + config</w:t>
            </w:r>
          </w:p>
        </w:tc>
      </w:tr>
      <w:tr>
        <w:trPr/>
        <w:tc>
          <w:tcPr>
            <w:tcW w:w="29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src/types/tenant.ts</w:t>
            </w:r>
          </w:p>
        </w:tc>
        <w:tc>
          <w:tcPr>
            <w:tcW w:w="63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NEW: TenantConfig, FeatureDefinition types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src/middleware.ts</w:t>
            </w:r>
          </w:p>
        </w:tc>
        <w:tc>
          <w:tcPr>
            <w:tcW w:w="6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EXISTING — enhance for full tenant resolution + header setting</w:t>
            </w:r>
          </w:p>
        </w:tc>
      </w:tr>
    </w:tbl>
    <w:p>
      <w:pPr>
        <w:pStyle w:val="Normal"/>
        <w:spacing w:before="120" w:after="0"/>
        <w:rPr/>
      </w:pPr>
      <w:r>
        <w:rPr/>
      </w:r>
    </w:p>
    <w:p>
      <w:pPr>
        <w:pStyle w:val="Heading2"/>
        <w:spacing w:before="280" w:after="120"/>
        <w:rPr/>
      </w:pPr>
      <w:r>
        <w:rPr>
          <w:rFonts w:eastAsia="Arial" w:cs="Arial" w:ascii="Arial" w:hAnsi="Arial"/>
          <w:b/>
          <w:bCs/>
          <w:color w:val="1E3A5F"/>
          <w:sz w:val="26"/>
          <w:szCs w:val="26"/>
        </w:rPr>
        <w:t>Component Destination Mapping</w:t>
      </w:r>
    </w:p>
    <w:p>
      <w:pPr>
        <w:pStyle w:val="Normal"/>
        <w:spacing w:before="80" w:after="80"/>
        <w:rPr/>
      </w:pPr>
      <w:r>
        <w:rPr>
          <w:rFonts w:eastAsia="Arial" w:cs="Arial"/>
          <w:sz w:val="22"/>
          <w:szCs w:val="22"/>
        </w:rPr>
        <w:t>Use this as a migration-on-contact guide — move a component to its new home when you next touch it.</w:t>
      </w:r>
    </w:p>
    <w:p>
      <w:pPr>
        <w:pStyle w:val="Normal"/>
        <w:spacing w:before="60" w:after="0"/>
        <w:rPr/>
      </w:pPr>
      <w:r>
        <w:rPr/>
      </w:r>
    </w:p>
    <w:tbl>
      <w:tblPr>
        <w:tblW w:w="9360" w:type="dxa"/>
        <w:jc w:val="start"/>
        <w:tblInd w:w="0" w:type="dxa"/>
        <w:tblLayout w:type="fixed"/>
        <w:tblCellMar>
          <w:top w:w="80" w:type="dxa"/>
          <w:start w:w="140" w:type="dxa"/>
          <w:bottom w:w="80" w:type="dxa"/>
          <w:end w:w="140" w:type="dxa"/>
        </w:tblCellMar>
      </w:tblPr>
      <w:tblGrid>
        <w:gridCol w:w="2600"/>
        <w:gridCol w:w="6759"/>
      </w:tblGrid>
      <w:tr>
        <w:trPr/>
        <w:tc>
          <w:tcPr>
            <w:tcW w:w="260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core/layout/</w:t>
            </w:r>
          </w:p>
        </w:tc>
        <w:tc>
          <w:tcPr>
            <w:tcW w:w="675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Header.tsx, Footer.tsx</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core/ui/</w:t>
            </w:r>
          </w:p>
        </w:tc>
        <w:tc>
          <w:tcPr>
            <w:tcW w:w="67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Shared shadcn components, Breadcrumbs, Loading, ErrorBoundary</w:t>
            </w:r>
          </w:p>
        </w:tc>
      </w:tr>
      <w:tr>
        <w:trPr/>
        <w:tc>
          <w:tcPr>
            <w:tcW w:w="260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core/widgets/</w:t>
            </w:r>
          </w:p>
        </w:tc>
        <w:tc>
          <w:tcPr>
            <w:tcW w:w="675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DraggableWidget, WidgetRenderer, SidebarWidgetBox</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tenant/</w:t>
            </w:r>
          </w:p>
        </w:tc>
        <w:tc>
          <w:tcPr>
            <w:tcW w:w="67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TenantProvider.tsx, TenantStyles.tsx, BrandingHeader (new), TenantDashboardShell (new)</w:t>
            </w:r>
          </w:p>
        </w:tc>
      </w:tr>
      <w:tr>
        <w:trPr/>
        <w:tc>
          <w:tcPr>
            <w:tcW w:w="260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tenant/</w:t>
            </w:r>
          </w:p>
        </w:tc>
        <w:tc>
          <w:tcPr>
            <w:tcW w:w="675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FeatureGate (new or reconciled TierGuard)</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custom/</w:t>
            </w:r>
          </w:p>
        </w:tc>
        <w:tc>
          <w:tcPr>
            <w:tcW w:w="67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CustomSectionRenderer (new), MDX slot components</w:t>
            </w:r>
          </w:p>
        </w:tc>
      </w:tr>
      <w:tr>
        <w:trPr/>
        <w:tc>
          <w:tcPr>
            <w:tcW w:w="260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Stay in admin/</w:t>
            </w:r>
          </w:p>
        </w:tc>
        <w:tc>
          <w:tcPr>
            <w:tcW w:w="675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All AdminWidget* components, ContentForm, GroupForm</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Stay in dashboard/</w:t>
            </w:r>
          </w:p>
        </w:tc>
        <w:tc>
          <w:tcPr>
            <w:tcW w:w="67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All *Widget components until explicitly migrated to core/</w:t>
            </w:r>
          </w:p>
        </w:tc>
      </w:tr>
      <w:tr>
        <w:trPr/>
        <w:tc>
          <w:tcPr>
            <w:tcW w:w="260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Stay in services/</w:t>
            </w:r>
          </w:p>
        </w:tc>
        <w:tc>
          <w:tcPr>
            <w:tcW w:w="675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ServiceCard, ServicesGrid, CategoryBadge, etc.</w:t>
            </w:r>
          </w:p>
        </w:tc>
      </w:tr>
    </w:tbl>
    <w:p>
      <w:pPr>
        <w:pStyle w:val="Normal"/>
        <w:spacing w:before="120" w:after="0"/>
        <w:rPr/>
      </w:pPr>
      <w:r>
        <w:rPr/>
      </w:r>
    </w:p>
    <w:p>
      <w:pPr>
        <w:pStyle w:val="Normal"/>
        <w:rPr/>
      </w:pPr>
      <w:r>
        <w:rPr/>
      </w:r>
      <w:r>
        <w:br w:type="page"/>
      </w:r>
    </w:p>
    <w:p>
      <w:pPr>
        <w:pStyle w:val="Heading1"/>
        <w:pBdr>
          <w:bottom w:val="single" w:sz="8" w:space="4" w:color="0D9488"/>
        </w:pBdr>
        <w:spacing w:before="0" w:after="160"/>
        <w:rPr/>
      </w:pPr>
      <w:r>
        <w:rPr>
          <w:rFonts w:eastAsia="Arial" w:cs="Arial" w:ascii="Arial" w:hAnsi="Arial"/>
          <w:b/>
          <w:bCs/>
          <w:color w:val="1E3A5F"/>
          <w:sz w:val="32"/>
          <w:szCs w:val="32"/>
        </w:rPr>
        <w:t>4. Component &amp; Feature Registry</w:t>
      </w:r>
    </w:p>
    <w:p>
      <w:pPr>
        <w:pStyle w:val="Heading2"/>
        <w:spacing w:before="280" w:after="120"/>
        <w:rPr/>
      </w:pPr>
      <w:r>
        <w:rPr>
          <w:rFonts w:eastAsia="Arial" w:cs="Arial" w:ascii="Arial" w:hAnsi="Arial"/>
          <w:b/>
          <w:bCs/>
          <w:color w:val="1E3A5F"/>
          <w:sz w:val="26"/>
          <w:szCs w:val="26"/>
        </w:rPr>
        <w:t>Component Registry</w:t>
      </w:r>
    </w:p>
    <w:p>
      <w:pPr>
        <w:pStyle w:val="Normal"/>
        <w:spacing w:before="80" w:after="80"/>
        <w:rPr/>
      </w:pPr>
      <w:r>
        <w:rPr>
          <w:rFonts w:eastAsia="Arial" w:cs="Arial"/>
          <w:sz w:val="22"/>
          <w:szCs w:val="22"/>
        </w:rPr>
        <w:t>Centralise in src/components/registry.ts and wire into the existing WidgetRenderer.tsx:</w:t>
      </w:r>
    </w:p>
    <w:p>
      <w:pPr>
        <w:pStyle w:val="Normal"/>
        <w:spacing w:before="40" w:after="0"/>
        <w:rPr/>
      </w:pPr>
      <w:r>
        <w:rPr/>
      </w:r>
    </w:p>
    <w:p>
      <w:pPr>
        <w:pStyle w:val="Normal"/>
        <w:spacing w:before="40" w:after="40"/>
        <w:ind w:start="480"/>
        <w:rPr/>
      </w:pPr>
      <w:r>
        <w:rPr>
          <w:rFonts w:eastAsia="Courier New" w:cs="Courier New" w:ascii="Courier New" w:hAnsi="Courier New"/>
          <w:color w:val="1F2937"/>
          <w:sz w:val="18"/>
          <w:szCs w:val="18"/>
        </w:rPr>
        <w:t>// src/components/registry.ts</w:t>
      </w:r>
    </w:p>
    <w:p>
      <w:pPr>
        <w:pStyle w:val="Normal"/>
        <w:spacing w:before="40" w:after="40"/>
        <w:ind w:start="480"/>
        <w:rPr/>
      </w:pPr>
      <w:r>
        <w:rPr>
          <w:rFonts w:eastAsia="Courier New" w:cs="Courier New" w:ascii="Courier New" w:hAnsi="Courier New"/>
          <w:color w:val="1F2937"/>
          <w:sz w:val="18"/>
          <w:szCs w:val="18"/>
        </w:rPr>
        <w:t>export const componentRegistry = {</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'dashboard.stats':   { component: StatsWidget,           defaultEnabled: true  },</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'services.grid':     { component: ServicesGrid,          defaultEnabled: true  },</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'dashboard.agent':   { component: AgentWidget,           requiredPlan: 'premium' },</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'dashboard.premium': { component: PremiumPortfolioWidget, requiredPlan: 'premium' },</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'custom.hero':       { component: BespokeHeroSlot                              },</w:t>
      </w:r>
    </w:p>
    <w:p>
      <w:pPr>
        <w:pStyle w:val="Normal"/>
        <w:spacing w:before="40" w:after="40"/>
        <w:ind w:start="480"/>
        <w:rPr/>
      </w:pPr>
      <w:r>
        <w:rPr>
          <w:rFonts w:eastAsia="Courier New" w:cs="Courier New" w:ascii="Courier New" w:hAnsi="Courier New"/>
          <w:color w:val="1F2937"/>
          <w:sz w:val="18"/>
          <w:szCs w:val="18"/>
        </w:rPr>
        <w:t>} as const;</w:t>
      </w:r>
    </w:p>
    <w:p>
      <w:pPr>
        <w:pStyle w:val="Normal"/>
        <w:spacing w:before="100" w:after="0"/>
        <w:rPr/>
      </w:pPr>
      <w:r>
        <w:rPr/>
      </w:r>
    </w:p>
    <w:p>
      <w:pPr>
        <w:pStyle w:val="Heading2"/>
        <w:spacing w:before="280" w:after="120"/>
        <w:rPr/>
      </w:pPr>
      <w:r>
        <w:rPr>
          <w:rFonts w:eastAsia="Arial" w:cs="Arial" w:ascii="Arial" w:hAnsi="Arial"/>
          <w:b/>
          <w:bCs/>
          <w:color w:val="1E3A5F"/>
          <w:sz w:val="26"/>
          <w:szCs w:val="26"/>
        </w:rPr>
        <w:t>Feature Registry</w:t>
      </w:r>
    </w:p>
    <w:p>
      <w:pPr>
        <w:pStyle w:val="Normal"/>
        <w:spacing w:before="80" w:after="80"/>
        <w:rPr/>
      </w:pPr>
      <w:r>
        <w:rPr>
          <w:rFonts w:eastAsia="Arial" w:cs="Arial"/>
          <w:sz w:val="22"/>
          <w:szCs w:val="22"/>
        </w:rPr>
        <w:t>Extend the existing src/lib/features/registry.ts — do not replace it:</w:t>
      </w:r>
    </w:p>
    <w:p>
      <w:pPr>
        <w:pStyle w:val="Normal"/>
        <w:spacing w:before="40" w:after="0"/>
        <w:rPr/>
      </w:pPr>
      <w:r>
        <w:rPr/>
      </w:r>
    </w:p>
    <w:p>
      <w:pPr>
        <w:pStyle w:val="Normal"/>
        <w:spacing w:before="40" w:after="40"/>
        <w:ind w:start="480"/>
        <w:rPr/>
      </w:pPr>
      <w:r>
        <w:rPr>
          <w:rFonts w:eastAsia="Courier New" w:cs="Courier New" w:ascii="Courier New" w:hAnsi="Courier New"/>
          <w:color w:val="1F2937"/>
          <w:sz w:val="18"/>
          <w:szCs w:val="18"/>
        </w:rPr>
        <w:t>export const availableFeatures = [</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 id: 'dashboard',            label: 'Dashboard',          defaultEnabled: true  },</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 id: 'services-marketplace', label: 'Community Services', defaultEnabled: true  },</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 id: 'bookings',             label: 'Bookings',           defaultEnabled: false },</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 id: 'conservation',         label: 'Conservation',       defaultEnabled: true  },</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 id: 'premium-portfolio',    label: 'Premium Seats',      defaultEnabled: false },</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 id: 'directory',            label: 'Directory',          defaultEnabled: true  },</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 id: 'groups',               label: 'Groups',             defaultEnabled: true  },</w:t>
      </w:r>
    </w:p>
    <w:p>
      <w:pPr>
        <w:pStyle w:val="Normal"/>
        <w:spacing w:before="40" w:after="40"/>
        <w:ind w:start="480"/>
        <w:rPr/>
      </w:pPr>
      <w:r>
        <w:rPr>
          <w:rFonts w:eastAsia="Courier New" w:cs="Courier New" w:ascii="Courier New" w:hAnsi="Courier New"/>
          <w:color w:val="1F2937"/>
          <w:sz w:val="18"/>
          <w:szCs w:val="18"/>
        </w:rPr>
        <w:t>] as const;</w:t>
      </w:r>
    </w:p>
    <w:p>
      <w:pPr>
        <w:pStyle w:val="Normal"/>
        <w:spacing w:before="100" w:after="0"/>
        <w:rPr/>
      </w:pPr>
      <w:r>
        <w:rPr/>
      </w:r>
    </w:p>
    <w:p>
      <w:pPr>
        <w:pStyle w:val="Heading2"/>
        <w:spacing w:before="280" w:after="120"/>
        <w:rPr/>
      </w:pPr>
      <w:r>
        <w:rPr>
          <w:rFonts w:eastAsia="Arial" w:cs="Arial" w:ascii="Arial" w:hAnsi="Arial"/>
          <w:b/>
          <w:bCs/>
          <w:color w:val="1E3A5F"/>
          <w:sz w:val="26"/>
          <w:szCs w:val="26"/>
        </w:rPr>
        <w:t>Per-Tenant Feature Storage</w:t>
      </w:r>
    </w:p>
    <w:p>
      <w:pPr>
        <w:pStyle w:val="Normal"/>
        <w:spacing w:before="80" w:after="80"/>
        <w:rPr/>
      </w:pPr>
      <w:r>
        <w:rPr>
          <w:rFonts w:eastAsia="Arial" w:cs="Arial"/>
          <w:sz w:val="22"/>
          <w:szCs w:val="22"/>
        </w:rPr>
        <w:t>Store feature selections in the existing tenants table:</w:t>
      </w:r>
    </w:p>
    <w:p>
      <w:pPr>
        <w:pStyle w:val="Normal"/>
        <w:spacing w:before="40" w:after="0"/>
        <w:rPr/>
      </w:pPr>
      <w:r>
        <w:rPr/>
      </w:r>
    </w:p>
    <w:p>
      <w:pPr>
        <w:pStyle w:val="Normal"/>
        <w:spacing w:before="40" w:after="40"/>
        <w:ind w:start="480"/>
        <w:rPr/>
      </w:pPr>
      <w:r>
        <w:rPr>
          <w:rFonts w:eastAsia="Courier New" w:cs="Courier New" w:ascii="Courier New" w:hAnsi="Courier New"/>
          <w:color w:val="1F2937"/>
          <w:sz w:val="18"/>
          <w:szCs w:val="18"/>
        </w:rPr>
        <w:t>enabledFeatures: json('enabled_features').$type&lt;FeatureId[]&gt;()</w:t>
      </w:r>
    </w:p>
    <w:p>
      <w:pPr>
        <w:pStyle w:val="Normal"/>
        <w:spacing w:before="40" w:after="40"/>
        <w:ind w:start="480"/>
        <w:rPr/>
      </w:pPr>
      <w:r>
        <w:rPr>
          <w:rFonts w:eastAsia="Courier New" w:cs="Courier New" w:ascii="Courier New" w:hAnsi="Courier New"/>
          <w:color w:val="1F2937"/>
          <w:sz w:val="18"/>
          <w:szCs w:val="18"/>
        </w:rPr>
        <w:t>customConfig:    json('custom_config')   // bespoke settings per tenant</w:t>
      </w:r>
    </w:p>
    <w:p>
      <w:pPr>
        <w:pStyle w:val="Normal"/>
        <w:spacing w:before="120" w:after="0"/>
        <w:rPr/>
      </w:pPr>
      <w:r>
        <w:rPr/>
      </w:r>
    </w:p>
    <w:p>
      <w:pPr>
        <w:pStyle w:val="Heading1"/>
        <w:pBdr>
          <w:bottom w:val="single" w:sz="8" w:space="4" w:color="0D9488"/>
        </w:pBdr>
        <w:spacing w:before="360" w:after="160"/>
        <w:rPr/>
      </w:pPr>
      <w:r>
        <w:rPr>
          <w:rFonts w:eastAsia="Arial" w:cs="Arial" w:ascii="Arial" w:hAnsi="Arial"/>
          <w:b/>
          <w:bCs/>
          <w:color w:val="1E3A5F"/>
          <w:sz w:val="32"/>
          <w:szCs w:val="32"/>
        </w:rPr>
        <w:t>5. Branding &amp; Theming</w:t>
      </w:r>
    </w:p>
    <w:p>
      <w:pPr>
        <w:pStyle w:val="Normal"/>
        <w:spacing w:before="80" w:after="80"/>
        <w:rPr/>
      </w:pPr>
      <w:r>
        <w:rPr>
          <w:rFonts w:eastAsia="Arial" w:cs="Arial"/>
          <w:sz w:val="22"/>
          <w:szCs w:val="22"/>
        </w:rPr>
        <w:t>TenantStyles.tsx already exists. The work here is wiring it to dynamic values from the database rather than hardcoded Soralia defaults.</w:t>
      </w:r>
    </w:p>
    <w:p>
      <w:pPr>
        <w:pStyle w:val="Normal"/>
        <w:spacing w:before="80" w:after="0"/>
        <w:rPr/>
      </w:pPr>
      <w:r>
        <w:rPr/>
      </w:r>
    </w:p>
    <w:p>
      <w:pPr>
        <w:pStyle w:val="Heading2"/>
        <w:spacing w:before="280" w:after="120"/>
        <w:rPr/>
      </w:pPr>
      <w:r>
        <w:rPr>
          <w:rFonts w:eastAsia="Arial" w:cs="Arial" w:ascii="Arial" w:hAnsi="Arial"/>
          <w:b/>
          <w:bCs/>
          <w:color w:val="1E3A5F"/>
          <w:sz w:val="26"/>
          <w:szCs w:val="26"/>
        </w:rPr>
        <w:t>Root Layout Integration</w:t>
      </w:r>
    </w:p>
    <w:p>
      <w:pPr>
        <w:pStyle w:val="Normal"/>
        <w:spacing w:before="40" w:after="40"/>
        <w:ind w:start="480"/>
        <w:rPr/>
      </w:pPr>
      <w:r>
        <w:rPr>
          <w:rFonts w:eastAsia="Courier New" w:cs="Courier New" w:ascii="Courier New" w:hAnsi="Courier New"/>
          <w:color w:val="1F2937"/>
          <w:sz w:val="18"/>
          <w:szCs w:val="18"/>
        </w:rPr>
        <w:t>const tenant = await getCurrentTenant(); // uses existing lib/tenant.ts</w:t>
      </w:r>
    </w:p>
    <w:p>
      <w:pPr>
        <w:pStyle w:val="Normal"/>
        <w:spacing w:before="40" w:after="40"/>
        <w:ind w:start="480"/>
        <w:rPr/>
      </w:pPr>
      <w:r>
        <w:rPr>
          <w:rFonts w:eastAsia="Courier New" w:cs="Courier New" w:ascii="Courier New" w:hAnsi="Courier New"/>
          <w:color w:val="1F2937"/>
          <w:sz w:val="18"/>
          <w:szCs w:val="18"/>
        </w:rPr>
        <w:t xml:space="preserve"> </w:t>
      </w:r>
    </w:p>
    <w:p>
      <w:pPr>
        <w:pStyle w:val="Normal"/>
        <w:spacing w:before="40" w:after="40"/>
        <w:ind w:start="480"/>
        <w:rPr/>
      </w:pPr>
      <w:r>
        <w:rPr>
          <w:rFonts w:eastAsia="Courier New" w:cs="Courier New" w:ascii="Courier New" w:hAnsi="Courier New"/>
          <w:color w:val="1F2937"/>
          <w:sz w:val="18"/>
          <w:szCs w:val="18"/>
        </w:rPr>
        <w:t>return (</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&lt;html style={{</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'--primary': tenant?.primaryColor || '#3b82f6',</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'--accent':  tenant?.accentColor  || '#10b981',</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 as React.CSSProperties}&gt;</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&lt;body&gt;</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&lt;img src={tenant?.logoUrl || '/netcomplex-default-logo.svg'} alt={tenant?.name} /&gt;</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{children}</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&lt;/body&gt;</w:t>
      </w:r>
    </w:p>
    <w:p>
      <w:pPr>
        <w:pStyle w:val="Normal"/>
        <w:spacing w:before="40" w:after="40"/>
        <w:ind w:start="480"/>
        <w:rPr/>
      </w:pPr>
      <w:r>
        <w:rPr>
          <w:rFonts w:eastAsia="Courier New" w:cs="Courier New" w:ascii="Courier New" w:hAnsi="Courier New"/>
          <w:color w:val="1F2937"/>
          <w:sz w:val="18"/>
          <w:szCs w:val="18"/>
        </w:rPr>
        <w:t xml:space="preserve">  </w:t>
      </w:r>
      <w:r>
        <w:rPr>
          <w:rFonts w:eastAsia="Courier New" w:cs="Courier New" w:ascii="Courier New" w:hAnsi="Courier New"/>
          <w:color w:val="1F2937"/>
          <w:sz w:val="18"/>
          <w:szCs w:val="18"/>
        </w:rPr>
        <w:t>&lt;/html&gt;</w:t>
      </w:r>
    </w:p>
    <w:p>
      <w:pPr>
        <w:pStyle w:val="Normal"/>
        <w:spacing w:before="40" w:after="40"/>
        <w:ind w:start="480"/>
        <w:rPr/>
      </w:pPr>
      <w:r>
        <w:rPr>
          <w:rFonts w:eastAsia="Courier New" w:cs="Courier New" w:ascii="Courier New" w:hAnsi="Courier New"/>
          <w:color w:val="1F2937"/>
          <w:sz w:val="18"/>
          <w:szCs w:val="18"/>
        </w:rPr>
        <w:t>);</w:t>
      </w:r>
    </w:p>
    <w:p>
      <w:pPr>
        <w:pStyle w:val="Normal"/>
        <w:spacing w:before="80" w:after="0"/>
        <w:rPr/>
      </w:pPr>
      <w:r>
        <w:rPr/>
      </w:r>
    </w:p>
    <w:p>
      <w:pPr>
        <w:pStyle w:val="Normal"/>
        <w:spacing w:before="80" w:after="80"/>
        <w:rPr/>
      </w:pPr>
      <w:r>
        <w:rPr>
          <w:rFonts w:eastAsia="Arial" w:cs="Arial"/>
          <w:sz w:val="22"/>
          <w:szCs w:val="22"/>
        </w:rPr>
        <w:t>Ensure tailwind.config.cjs references CSS variables for primary and accent so Tailwind utilities pick up dynamic tenant theming.</w:t>
      </w:r>
    </w:p>
    <w:p>
      <w:pPr>
        <w:pStyle w:val="Normal"/>
        <w:spacing w:before="120" w:after="0"/>
        <w:rPr/>
      </w:pPr>
      <w:r>
        <w:rPr/>
      </w:r>
    </w:p>
    <w:p>
      <w:pPr>
        <w:pStyle w:val="Normal"/>
        <w:rPr/>
      </w:pPr>
      <w:r>
        <w:rPr/>
      </w:r>
      <w:r>
        <w:br w:type="page"/>
      </w:r>
    </w:p>
    <w:p>
      <w:pPr>
        <w:pStyle w:val="Heading1"/>
        <w:pBdr>
          <w:bottom w:val="single" w:sz="8" w:space="4" w:color="0D9488"/>
        </w:pBdr>
        <w:spacing w:before="0" w:after="160"/>
        <w:rPr/>
      </w:pPr>
      <w:r>
        <w:rPr>
          <w:rFonts w:eastAsia="Arial" w:cs="Arial" w:ascii="Arial" w:hAnsi="Arial"/>
          <w:b/>
          <w:bCs/>
          <w:color w:val="1E3A5F"/>
          <w:sz w:val="32"/>
          <w:szCs w:val="32"/>
        </w:rPr>
        <w:t>6. Revised Migration Phases</w:t>
      </w:r>
    </w:p>
    <w:p>
      <w:pPr>
        <w:pStyle w:val="Normal"/>
        <w:spacing w:before="80" w:after="80"/>
        <w:rPr/>
      </w:pPr>
      <w:r>
        <w:rPr>
          <w:rFonts w:eastAsia="Arial" w:cs="Arial"/>
          <w:sz w:val="22"/>
          <w:szCs w:val="22"/>
        </w:rPr>
        <w:t>The original phase ordering has been revised based on the repository audit. Highest-risk changes are deferred; foundational work is front-loaded.</w:t>
      </w:r>
    </w:p>
    <w:p>
      <w:pPr>
        <w:pStyle w:val="Normal"/>
        <w:spacing w:before="100" w:after="0"/>
        <w:rPr/>
      </w:pPr>
      <w:r>
        <w:rPr/>
      </w:r>
    </w:p>
    <w:tbl>
      <w:tblPr>
        <w:tblW w:w="9360" w:type="dxa"/>
        <w:jc w:val="start"/>
        <w:tblInd w:w="0" w:type="dxa"/>
        <w:tblLayout w:type="fixed"/>
        <w:tblCellMar>
          <w:top w:w="100" w:type="dxa"/>
          <w:start w:w="140" w:type="dxa"/>
          <w:bottom w:w="100" w:type="dxa"/>
          <w:end w:w="140" w:type="dxa"/>
        </w:tblCellMar>
      </w:tblPr>
      <w:tblGrid>
        <w:gridCol w:w="1799"/>
        <w:gridCol w:w="2001"/>
        <w:gridCol w:w="5560"/>
      </w:tblGrid>
      <w:tr>
        <w:trPr>
          <w:tblHeader w:val="true"/>
        </w:trPr>
        <w:tc>
          <w:tcPr>
            <w:tcW w:w="1799"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Phase</w:t>
            </w:r>
          </w:p>
        </w:tc>
        <w:tc>
          <w:tcPr>
            <w:tcW w:w="2001"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Timing</w:t>
            </w:r>
          </w:p>
        </w:tc>
        <w:tc>
          <w:tcPr>
            <w:tcW w:w="5560" w:type="dxa"/>
            <w:tcBorders>
              <w:top w:val="single" w:sz="2" w:space="0" w:color="CCCCCC"/>
              <w:start w:val="single" w:sz="2" w:space="0" w:color="CCCCCC"/>
              <w:bottom w:val="single" w:sz="2" w:space="0" w:color="CCCCCC"/>
              <w:end w:val="single" w:sz="2" w:space="0" w:color="CCCCCC"/>
            </w:tcBorders>
            <w:shd w:fill="1E3A5F" w:val="clear"/>
          </w:tcPr>
          <w:p>
            <w:pPr>
              <w:pStyle w:val="Normal"/>
              <w:rPr/>
            </w:pPr>
            <w:r>
              <w:rPr>
                <w:rFonts w:eastAsia="Arial" w:cs="Arial"/>
                <w:b/>
                <w:bCs/>
                <w:color w:val="FFFFFF"/>
                <w:sz w:val="20"/>
                <w:szCs w:val="20"/>
              </w:rPr>
              <w:t>Key Tasks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color w:val="0D9488"/>
                <w:sz w:val="20"/>
                <w:szCs w:val="20"/>
              </w:rPr>
              <w:t>Phase 0 Foundation</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This week (do first)</w:t>
            </w:r>
          </w:p>
        </w:tc>
        <w:tc>
          <w:tcPr>
            <w:tcW w:w="55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ListParagraph"/>
              <w:numPr>
                <w:ilvl w:val="0"/>
                <w:numId w:val="3"/>
              </w:numPr>
              <w:spacing w:before="20" w:after="20"/>
              <w:rPr/>
            </w:pPr>
            <w:r>
              <w:rPr>
                <w:rFonts w:eastAsia="Arial" w:cs="Arial"/>
                <w:sz w:val="20"/>
                <w:szCs w:val="20"/>
              </w:rPr>
              <w:t>Set LOCAL_TENANT_SLUG=soralia-village in .env.local — unblocks Soralia dev immediately</w:t>
            </w:r>
          </w:p>
          <w:p>
            <w:pPr>
              <w:pStyle w:val="ListParagraph"/>
              <w:numPr>
                <w:ilvl w:val="0"/>
                <w:numId w:val="1"/>
              </w:numPr>
              <w:spacing w:before="20" w:after="20"/>
              <w:rPr/>
            </w:pPr>
            <w:r>
              <w:rPr>
                <w:rFonts w:eastAsia="Arial" w:cs="Arial"/>
                <w:sz w:val="20"/>
                <w:szCs w:val="20"/>
              </w:rPr>
              <w:t>Create withTenant() helper in src/lib/tenant/with-tenant.ts</w:t>
            </w:r>
          </w:p>
          <w:p>
            <w:pPr>
              <w:pStyle w:val="ListParagraph"/>
              <w:numPr>
                <w:ilvl w:val="0"/>
                <w:numId w:val="1"/>
              </w:numPr>
              <w:spacing w:before="20" w:after="20"/>
              <w:rPr/>
            </w:pPr>
            <w:r>
              <w:rPr>
                <w:rFonts w:eastAsia="Arial" w:cs="Arial"/>
                <w:sz w:val="20"/>
                <w:szCs w:val="20"/>
              </w:rPr>
              <w:t>Seed Soralia Village as tenant #1 with all features enabled and current branding values</w:t>
            </w:r>
          </w:p>
          <w:p>
            <w:pPr>
              <w:pStyle w:val="ListParagraph"/>
              <w:numPr>
                <w:ilvl w:val="0"/>
                <w:numId w:val="1"/>
              </w:numPr>
              <w:spacing w:before="20" w:after="20"/>
              <w:rPr/>
            </w:pPr>
            <w:r>
              <w:rPr>
                <w:rFonts w:eastAsia="Arial" w:cs="Arial"/>
                <w:sz w:val="20"/>
                <w:szCs w:val="20"/>
              </w:rPr>
              <w:t>Decide TierGuard vs FeatureGate — document the decision before building</w:t>
            </w:r>
          </w:p>
          <w:p>
            <w:pPr>
              <w:pStyle w:val="ListParagraph"/>
              <w:numPr>
                <w:ilvl w:val="0"/>
                <w:numId w:val="1"/>
              </w:numPr>
              <w:spacing w:before="20" w:after="20"/>
              <w:rPr/>
            </w:pPr>
            <w:r>
              <w:rPr>
                <w:rFonts w:eastAsia="Arial" w:cs="Arial"/>
                <w:sz w:val="20"/>
                <w:szCs w:val="20"/>
              </w:rPr>
              <w:t>Decide /admin/platform/ vs /platform/ — pick one canonical super-admin surface</w:t>
            </w:r>
          </w:p>
        </w:tc>
      </w:tr>
      <w:tr>
        <w:trPr/>
        <w:tc>
          <w:tcPr>
            <w:tcW w:w="1799" w:type="dxa"/>
            <w:tcBorders>
              <w:top w:val="single" w:sz="2" w:space="0" w:color="CCCCCC"/>
              <w:start w:val="single" w:sz="2" w:space="0" w:color="CCCCCC"/>
              <w:bottom w:val="single" w:sz="2" w:space="0" w:color="CCCCCC"/>
              <w:end w:val="single" w:sz="2" w:space="0" w:color="CCCCCC"/>
            </w:tcBorders>
            <w:shd w:fill="F8FAFC" w:val="clear"/>
            <w:tcMar>
              <w:top w:w="80" w:type="dxa"/>
              <w:bottom w:w="80" w:type="dxa"/>
            </w:tcMar>
          </w:tcPr>
          <w:p>
            <w:pPr>
              <w:pStyle w:val="Normal"/>
              <w:rPr/>
            </w:pPr>
            <w:r>
              <w:rPr>
                <w:rFonts w:eastAsia="Arial" w:cs="Arial"/>
                <w:b/>
                <w:bCs/>
                <w:color w:val="0D9488"/>
                <w:sz w:val="20"/>
                <w:szCs w:val="20"/>
              </w:rPr>
              <w:t>Phase 1 Enforcement</w:t>
            </w:r>
          </w:p>
        </w:tc>
        <w:tc>
          <w:tcPr>
            <w:tcW w:w="2001" w:type="dxa"/>
            <w:tcBorders>
              <w:top w:val="single" w:sz="2" w:space="0" w:color="CCCCCC"/>
              <w:start w:val="single" w:sz="2" w:space="0" w:color="CCCCCC"/>
              <w:bottom w:val="single" w:sz="2" w:space="0" w:color="CCCCCC"/>
              <w:end w:val="single" w:sz="2" w:space="0" w:color="CCCCCC"/>
            </w:tcBorders>
            <w:shd w:fill="F8FAFC" w:val="clear"/>
            <w:tcMar>
              <w:top w:w="80" w:type="dxa"/>
              <w:bottom w:w="80" w:type="dxa"/>
            </w:tcMar>
          </w:tcPr>
          <w:p>
            <w:pPr>
              <w:pStyle w:val="Normal"/>
              <w:rPr/>
            </w:pPr>
            <w:r>
              <w:rPr>
                <w:rFonts w:eastAsia="Arial" w:cs="Arial"/>
                <w:sz w:val="20"/>
                <w:szCs w:val="20"/>
              </w:rPr>
              <w:t>Week 1-2</w:t>
            </w:r>
          </w:p>
        </w:tc>
        <w:tc>
          <w:tcPr>
            <w:tcW w:w="5560" w:type="dxa"/>
            <w:tcBorders>
              <w:top w:val="single" w:sz="2" w:space="0" w:color="CCCCCC"/>
              <w:start w:val="single" w:sz="2" w:space="0" w:color="CCCCCC"/>
              <w:bottom w:val="single" w:sz="2" w:space="0" w:color="CCCCCC"/>
              <w:end w:val="single" w:sz="2" w:space="0" w:color="CCCCCC"/>
            </w:tcBorders>
            <w:shd w:fill="F8FAFC" w:val="clear"/>
            <w:tcMar>
              <w:top w:w="80" w:type="dxa"/>
              <w:bottom w:w="80" w:type="dxa"/>
            </w:tcMar>
          </w:tcPr>
          <w:p>
            <w:pPr>
              <w:pStyle w:val="ListParagraph"/>
              <w:numPr>
                <w:ilvl w:val="0"/>
                <w:numId w:val="1"/>
              </w:numPr>
              <w:spacing w:before="20" w:after="20"/>
              <w:rPr/>
            </w:pPr>
            <w:r>
              <w:rPr>
                <w:rFonts w:eastAsia="Arial" w:cs="Arial"/>
                <w:sz w:val="20"/>
                <w:szCs w:val="20"/>
              </w:rPr>
              <w:t>Audit all 35+ API routes — apply withTenant() to each</w:t>
            </w:r>
          </w:p>
          <w:p>
            <w:pPr>
              <w:pStyle w:val="ListParagraph"/>
              <w:numPr>
                <w:ilvl w:val="0"/>
                <w:numId w:val="1"/>
              </w:numPr>
              <w:spacing w:before="20" w:after="20"/>
              <w:rPr/>
            </w:pPr>
            <w:r>
              <w:rPr>
                <w:rFonts w:eastAsia="Arial" w:cs="Arial"/>
                <w:sz w:val="20"/>
                <w:szCs w:val="20"/>
              </w:rPr>
              <w:t>Wire CSS variables to tenant DB values in TenantStyles.tsx</w:t>
            </w:r>
          </w:p>
          <w:p>
            <w:pPr>
              <w:pStyle w:val="ListParagraph"/>
              <w:numPr>
                <w:ilvl w:val="0"/>
                <w:numId w:val="1"/>
              </w:numPr>
              <w:spacing w:before="20" w:after="20"/>
              <w:rPr/>
            </w:pPr>
            <w:r>
              <w:rPr>
                <w:rFonts w:eastAsia="Arial" w:cs="Arial"/>
                <w:sz w:val="20"/>
                <w:szCs w:val="20"/>
              </w:rPr>
              <w:t>Move TenantProvider and TenantStyles into src/components/tenant/</w:t>
            </w:r>
          </w:p>
          <w:p>
            <w:pPr>
              <w:pStyle w:val="ListParagraph"/>
              <w:numPr>
                <w:ilvl w:val="0"/>
                <w:numId w:val="1"/>
              </w:numPr>
              <w:spacing w:before="20" w:after="20"/>
              <w:rPr/>
            </w:pPr>
            <w:r>
              <w:rPr>
                <w:rFonts w:eastAsia="Arial" w:cs="Arial"/>
                <w:sz w:val="20"/>
                <w:szCs w:val="20"/>
              </w:rPr>
              <w:t>Build or reconcile FeatureGate — wrap toggleable routes and nav items</w:t>
            </w:r>
          </w:p>
          <w:p>
            <w:pPr>
              <w:pStyle w:val="ListParagraph"/>
              <w:numPr>
                <w:ilvl w:val="0"/>
                <w:numId w:val="1"/>
              </w:numPr>
              <w:spacing w:before="20" w:after="20"/>
              <w:rPr/>
            </w:pPr>
            <w:r>
              <w:rPr>
                <w:rFonts w:eastAsia="Arial" w:cs="Arial"/>
                <w:sz w:val="20"/>
                <w:szCs w:val="20"/>
              </w:rPr>
              <w:t>Consolidate duplicate locale files to one canonical location</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color w:val="0D9488"/>
                <w:sz w:val="20"/>
                <w:szCs w:val="20"/>
              </w:rPr>
              <w:t>Phase 2 Admin UI</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Week 2-4</w:t>
            </w:r>
          </w:p>
        </w:tc>
        <w:tc>
          <w:tcPr>
            <w:tcW w:w="55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ListParagraph"/>
              <w:numPr>
                <w:ilvl w:val="0"/>
                <w:numId w:val="1"/>
              </w:numPr>
              <w:spacing w:before="20" w:after="20"/>
              <w:rPr/>
            </w:pPr>
            <w:r>
              <w:rPr>
                <w:rFonts w:eastAsia="Arial" w:cs="Arial"/>
                <w:sz w:val="20"/>
                <w:szCs w:val="20"/>
              </w:rPr>
              <w:t>Build tenant admin UI at /admin/platform/ for feature assignment + branding upload</w:t>
            </w:r>
          </w:p>
          <w:p>
            <w:pPr>
              <w:pStyle w:val="ListParagraph"/>
              <w:numPr>
                <w:ilvl w:val="0"/>
                <w:numId w:val="1"/>
              </w:numPr>
              <w:spacing w:before="20" w:after="20"/>
              <w:rPr/>
            </w:pPr>
            <w:r>
              <w:rPr>
                <w:rFonts w:eastAsia="Arial" w:cs="Arial"/>
                <w:sz w:val="20"/>
                <w:szCs w:val="20"/>
              </w:rPr>
              <w:t>Add data migration script to backfill tenantId on tables that are missing it</w:t>
            </w:r>
          </w:p>
          <w:p>
            <w:pPr>
              <w:pStyle w:val="ListParagraph"/>
              <w:numPr>
                <w:ilvl w:val="0"/>
                <w:numId w:val="1"/>
              </w:numPr>
              <w:spacing w:before="20" w:after="20"/>
              <w:rPr/>
            </w:pPr>
            <w:r>
              <w:rPr>
                <w:rFonts w:eastAsia="Arial" w:cs="Arial"/>
                <w:sz w:val="20"/>
                <w:szCs w:val="20"/>
              </w:rPr>
              <w:t>Implement slot-based custom sections (custom_sections table + CustomSectionRenderer)</w:t>
            </w:r>
          </w:p>
          <w:p>
            <w:pPr>
              <w:pStyle w:val="ListParagraph"/>
              <w:numPr>
                <w:ilvl w:val="0"/>
                <w:numId w:val="1"/>
              </w:numPr>
              <w:spacing w:before="20" w:after="20"/>
              <w:rPr/>
            </w:pPr>
            <w:r>
              <w:rPr>
                <w:rFonts w:eastAsia="Arial" w:cs="Arial"/>
                <w:sz w:val="20"/>
                <w:szCs w:val="20"/>
              </w:rPr>
              <w:t>Add component registry and wire into existing WidgetRenderer</w:t>
            </w:r>
          </w:p>
          <w:p>
            <w:pPr>
              <w:pStyle w:val="ListParagraph"/>
              <w:numPr>
                <w:ilvl w:val="0"/>
                <w:numId w:val="1"/>
              </w:numPr>
              <w:spacing w:before="20" w:after="20"/>
              <w:rPr/>
            </w:pPr>
            <w:r>
              <w:rPr>
                <w:rFonts w:eastAsia="Arial" w:cs="Arial"/>
                <w:sz w:val="20"/>
                <w:szCs w:val="20"/>
              </w:rPr>
              <w:t>Custom domain support via Vercel API</w:t>
            </w:r>
          </w:p>
        </w:tc>
      </w:tr>
      <w:tr>
        <w:trPr/>
        <w:tc>
          <w:tcPr>
            <w:tcW w:w="1799" w:type="dxa"/>
            <w:tcBorders>
              <w:top w:val="single" w:sz="2" w:space="0" w:color="CCCCCC"/>
              <w:start w:val="single" w:sz="2" w:space="0" w:color="CCCCCC"/>
              <w:bottom w:val="single" w:sz="2" w:space="0" w:color="CCCCCC"/>
              <w:end w:val="single" w:sz="2" w:space="0" w:color="CCCCCC"/>
            </w:tcBorders>
            <w:shd w:fill="F8FAFC" w:val="clear"/>
            <w:tcMar>
              <w:top w:w="80" w:type="dxa"/>
              <w:bottom w:w="80" w:type="dxa"/>
            </w:tcMar>
          </w:tcPr>
          <w:p>
            <w:pPr>
              <w:pStyle w:val="Normal"/>
              <w:rPr/>
            </w:pPr>
            <w:r>
              <w:rPr>
                <w:rFonts w:eastAsia="Arial" w:cs="Arial"/>
                <w:b/>
                <w:bCs/>
                <w:color w:val="0D9488"/>
                <w:sz w:val="20"/>
                <w:szCs w:val="20"/>
              </w:rPr>
              <w:t>Phase 3 Second Tenant</w:t>
            </w:r>
          </w:p>
        </w:tc>
        <w:tc>
          <w:tcPr>
            <w:tcW w:w="2001" w:type="dxa"/>
            <w:tcBorders>
              <w:top w:val="single" w:sz="2" w:space="0" w:color="CCCCCC"/>
              <w:start w:val="single" w:sz="2" w:space="0" w:color="CCCCCC"/>
              <w:bottom w:val="single" w:sz="2" w:space="0" w:color="CCCCCC"/>
              <w:end w:val="single" w:sz="2" w:space="0" w:color="CCCCCC"/>
            </w:tcBorders>
            <w:shd w:fill="F8FAFC" w:val="clear"/>
            <w:tcMar>
              <w:top w:w="80" w:type="dxa"/>
              <w:bottom w:w="80" w:type="dxa"/>
            </w:tcMar>
          </w:tcPr>
          <w:p>
            <w:pPr>
              <w:pStyle w:val="Normal"/>
              <w:rPr/>
            </w:pPr>
            <w:r>
              <w:rPr>
                <w:rFonts w:eastAsia="Arial" w:cs="Arial"/>
                <w:sz w:val="20"/>
                <w:szCs w:val="20"/>
              </w:rPr>
              <w:t>Week 4-6</w:t>
            </w:r>
          </w:p>
        </w:tc>
        <w:tc>
          <w:tcPr>
            <w:tcW w:w="5560" w:type="dxa"/>
            <w:tcBorders>
              <w:top w:val="single" w:sz="2" w:space="0" w:color="CCCCCC"/>
              <w:start w:val="single" w:sz="2" w:space="0" w:color="CCCCCC"/>
              <w:bottom w:val="single" w:sz="2" w:space="0" w:color="CCCCCC"/>
              <w:end w:val="single" w:sz="2" w:space="0" w:color="CCCCCC"/>
            </w:tcBorders>
            <w:shd w:fill="F8FAFC" w:val="clear"/>
            <w:tcMar>
              <w:top w:w="80" w:type="dxa"/>
              <w:bottom w:w="80" w:type="dxa"/>
            </w:tcMar>
          </w:tcPr>
          <w:p>
            <w:pPr>
              <w:pStyle w:val="ListParagraph"/>
              <w:numPr>
                <w:ilvl w:val="0"/>
                <w:numId w:val="1"/>
              </w:numPr>
              <w:spacing w:before="20" w:after="20"/>
              <w:rPr/>
            </w:pPr>
            <w:r>
              <w:rPr>
                <w:rFonts w:eastAsia="Arial" w:cs="Arial"/>
                <w:sz w:val="20"/>
                <w:szCs w:val="20"/>
              </w:rPr>
              <w:t>Onboard first non-Soralia tenant via the admin UI</w:t>
            </w:r>
          </w:p>
          <w:p>
            <w:pPr>
              <w:pStyle w:val="ListParagraph"/>
              <w:numPr>
                <w:ilvl w:val="0"/>
                <w:numId w:val="1"/>
              </w:numPr>
              <w:spacing w:before="20" w:after="20"/>
              <w:rPr/>
            </w:pPr>
            <w:r>
              <w:rPr>
                <w:rFonts w:eastAsia="Arial" w:cs="Arial"/>
                <w:sz w:val="20"/>
                <w:szCs w:val="20"/>
              </w:rPr>
              <w:t>Test subdomain resolution end-to-end in staging</w:t>
            </w:r>
          </w:p>
          <w:p>
            <w:pPr>
              <w:pStyle w:val="ListParagraph"/>
              <w:numPr>
                <w:ilvl w:val="0"/>
                <w:numId w:val="1"/>
              </w:numPr>
              <w:spacing w:before="20" w:after="20"/>
              <w:rPr/>
            </w:pPr>
            <w:r>
              <w:rPr>
                <w:rFonts w:eastAsia="Arial" w:cs="Arial"/>
                <w:sz w:val="20"/>
                <w:szCs w:val="20"/>
              </w:rPr>
              <w:t>Validate feature gating — tenant with limited features sees correct UI</w:t>
            </w:r>
          </w:p>
          <w:p>
            <w:pPr>
              <w:pStyle w:val="ListParagraph"/>
              <w:numPr>
                <w:ilvl w:val="0"/>
                <w:numId w:val="1"/>
              </w:numPr>
              <w:spacing w:before="20" w:after="20"/>
              <w:rPr/>
            </w:pPr>
            <w:r>
              <w:rPr>
                <w:rFonts w:eastAsia="Arial" w:cs="Arial"/>
                <w:sz w:val="20"/>
                <w:szCs w:val="20"/>
              </w:rPr>
              <w:t>Enable Row Level Security (RLS) on Postgres as defense-in-depth</w:t>
            </w:r>
          </w:p>
          <w:p>
            <w:pPr>
              <w:pStyle w:val="ListParagraph"/>
              <w:numPr>
                <w:ilvl w:val="0"/>
                <w:numId w:val="1"/>
              </w:numPr>
              <w:spacing w:before="20" w:after="20"/>
              <w:rPr/>
            </w:pPr>
            <w:r>
              <w:rPr>
                <w:rFonts w:eastAsia="Arial" w:cs="Arial"/>
                <w:sz w:val="20"/>
                <w:szCs w:val="20"/>
              </w:rPr>
              <w:t>Load test tenant resolution caching under concurrent requests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color w:val="0D9488"/>
                <w:sz w:val="20"/>
                <w:szCs w:val="20"/>
              </w:rPr>
              <w:t>Phase 4 i18n Migration</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After Phase 3 (do last)</w:t>
            </w:r>
          </w:p>
        </w:tc>
        <w:tc>
          <w:tcPr>
            <w:tcW w:w="55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ListParagraph"/>
              <w:numPr>
                <w:ilvl w:val="0"/>
                <w:numId w:val="1"/>
              </w:numPr>
              <w:spacing w:before="20" w:after="20"/>
              <w:rPr/>
            </w:pPr>
            <w:r>
              <w:rPr>
                <w:rFonts w:eastAsia="Arial" w:cs="Arial"/>
                <w:sz w:val="20"/>
                <w:szCs w:val="20"/>
              </w:rPr>
              <w:t>Define auth route i18n strategy before moving any pages</w:t>
            </w:r>
          </w:p>
          <w:p>
            <w:pPr>
              <w:pStyle w:val="ListParagraph"/>
              <w:numPr>
                <w:ilvl w:val="0"/>
                <w:numId w:val="1"/>
              </w:numPr>
              <w:spacing w:before="20" w:after="20"/>
              <w:rPr/>
            </w:pPr>
            <w:r>
              <w:rPr>
                <w:rFonts w:eastAsia="Arial" w:cs="Arial"/>
                <w:sz w:val="20"/>
                <w:szCs w:val="20"/>
              </w:rPr>
              <w:t>Migrate application pages from src/app/ into src/app/[lng]/ incrementally</w:t>
            </w:r>
          </w:p>
          <w:p>
            <w:pPr>
              <w:pStyle w:val="ListParagraph"/>
              <w:numPr>
                <w:ilvl w:val="0"/>
                <w:numId w:val="1"/>
              </w:numPr>
              <w:spacing w:before="20" w:after="20"/>
              <w:rPr/>
            </w:pPr>
            <w:r>
              <w:rPr>
                <w:rFonts w:eastAsia="Arial" w:cs="Arial"/>
                <w:sz w:val="20"/>
                <w:szCs w:val="20"/>
              </w:rPr>
              <w:t>Update all internal links and redirects</w:t>
            </w:r>
          </w:p>
          <w:p>
            <w:pPr>
              <w:pStyle w:val="ListParagraph"/>
              <w:numPr>
                <w:ilvl w:val="0"/>
                <w:numId w:val="1"/>
              </w:numPr>
              <w:spacing w:before="20" w:after="20"/>
              <w:rPr/>
            </w:pPr>
            <w:r>
              <w:rPr>
                <w:rFonts w:eastAsia="Arial" w:cs="Arial"/>
                <w:sz w:val="20"/>
                <w:szCs w:val="20"/>
              </w:rPr>
              <w:t>Support per-tenant translation overrides if required by a client</w:t>
            </w:r>
          </w:p>
        </w:tc>
      </w:tr>
    </w:tbl>
    <w:p>
      <w:pPr>
        <w:pStyle w:val="Normal"/>
        <w:spacing w:before="120" w:after="0"/>
        <w:rPr/>
      </w:pPr>
      <w:r>
        <w:rPr/>
      </w:r>
    </w:p>
    <w:p>
      <w:pPr>
        <w:pStyle w:val="Normal"/>
        <w:rPr/>
      </w:pPr>
      <w:r>
        <w:rPr/>
      </w:r>
      <w:r>
        <w:br w:type="page"/>
      </w:r>
    </w:p>
    <w:p>
      <w:pPr>
        <w:pStyle w:val="Heading1"/>
        <w:pBdr>
          <w:bottom w:val="single" w:sz="8" w:space="4" w:color="0D9488"/>
        </w:pBdr>
        <w:spacing w:before="0" w:after="160"/>
        <w:rPr/>
      </w:pPr>
      <w:r>
        <w:rPr>
          <w:rFonts w:eastAsia="Arial" w:cs="Arial" w:ascii="Arial" w:hAnsi="Arial"/>
          <w:b/>
          <w:bCs/>
          <w:color w:val="1E3A5F"/>
          <w:sz w:val="32"/>
          <w:szCs w:val="32"/>
        </w:rPr>
        <w:t>7. Security &amp; Best Practices</w:t>
      </w:r>
    </w:p>
    <w:p>
      <w:pPr>
        <w:pStyle w:val="Normal"/>
        <w:spacing w:before="6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DC2626"/>
              <w:start w:val="single" w:sz="16" w:space="0" w:color="DC2626"/>
              <w:bottom w:val="single" w:sz="6" w:space="0" w:color="DC2626"/>
              <w:end w:val="single" w:sz="6" w:space="0" w:color="DC2626"/>
            </w:tcBorders>
            <w:shd w:fill="FFF1F2" w:val="clear"/>
          </w:tcPr>
          <w:p>
            <w:pPr>
              <w:pStyle w:val="Normal"/>
              <w:spacing w:before="40" w:after="40"/>
              <w:rPr/>
            </w:pPr>
            <w:r>
              <w:rPr>
                <w:rFonts w:eastAsia="Arial" w:cs="Arial"/>
                <w:b/>
                <w:bCs/>
                <w:color w:val="DC2626"/>
                <w:sz w:val="22"/>
                <w:szCs w:val="22"/>
              </w:rPr>
              <w:t>Non-Negotiable Before Second Tenant Onboarding</w:t>
            </w:r>
          </w:p>
          <w:p>
            <w:pPr>
              <w:pStyle w:val="Normal"/>
              <w:spacing w:before="20" w:after="20"/>
              <w:rPr/>
            </w:pPr>
            <w:r>
              <w:rPr>
                <w:rFonts w:eastAsia="Arial" w:cs="Arial"/>
                <w:sz w:val="20"/>
                <w:szCs w:val="20"/>
              </w:rPr>
              <w:t>All items below must be in place before any tenant other than Soralia is onboarded.</w:t>
            </w:r>
          </w:p>
          <w:p>
            <w:pPr>
              <w:pStyle w:val="Normal"/>
              <w:spacing w:before="20" w:after="20"/>
              <w:rPr/>
            </w:pPr>
            <w:r>
              <w:rPr>
                <w:rFonts w:eastAsia="Arial" w:cs="Arial"/>
                <w:sz w:val="20"/>
                <w:szCs w:val="20"/>
              </w:rPr>
              <w:t>A data leak between tenants is a critical incident — enforce these systematically.</w:t>
            </w:r>
          </w:p>
        </w:tc>
      </w:tr>
    </w:tbl>
    <w:p>
      <w:pPr>
        <w:pStyle w:val="Normal"/>
        <w:spacing w:before="100" w:after="0"/>
        <w:rPr/>
      </w:pPr>
      <w:r>
        <w:rPr/>
      </w:r>
    </w:p>
    <w:p>
      <w:pPr>
        <w:pStyle w:val="Heading2"/>
        <w:spacing w:before="280" w:after="120"/>
        <w:rPr/>
      </w:pPr>
      <w:r>
        <w:rPr>
          <w:rFonts w:eastAsia="Arial" w:cs="Arial" w:ascii="Arial" w:hAnsi="Arial"/>
          <w:b/>
          <w:bCs/>
          <w:color w:val="1E3A5F"/>
          <w:sz w:val="26"/>
          <w:szCs w:val="26"/>
        </w:rPr>
        <w:t>Tenant Isolation Rules</w:t>
      </w:r>
    </w:p>
    <w:p>
      <w:pPr>
        <w:pStyle w:val="ListParagraph"/>
        <w:numPr>
          <w:ilvl w:val="0"/>
          <w:numId w:val="1"/>
        </w:numPr>
        <w:spacing w:before="40" w:after="40"/>
        <w:rPr/>
      </w:pPr>
      <w:r>
        <w:rPr>
          <w:rFonts w:eastAsia="Arial" w:cs="Arial"/>
          <w:sz w:val="22"/>
          <w:szCs w:val="22"/>
        </w:rPr>
        <w:t>Never trust client-provided tenant IDs — always resolve from middleware headers set server-side.</w:t>
      </w:r>
    </w:p>
    <w:p>
      <w:pPr>
        <w:pStyle w:val="ListParagraph"/>
        <w:numPr>
          <w:ilvl w:val="0"/>
          <w:numId w:val="1"/>
        </w:numPr>
        <w:spacing w:before="40" w:after="40"/>
        <w:rPr/>
      </w:pPr>
      <w:r>
        <w:rPr>
          <w:rFonts w:eastAsia="Arial" w:cs="Arial"/>
          <w:sz w:val="22"/>
          <w:szCs w:val="22"/>
        </w:rPr>
        <w:t>withTenant() must be called at the top of every API route handler — no exceptions.</w:t>
      </w:r>
    </w:p>
    <w:p>
      <w:pPr>
        <w:pStyle w:val="ListParagraph"/>
        <w:numPr>
          <w:ilvl w:val="0"/>
          <w:numId w:val="1"/>
        </w:numPr>
        <w:spacing w:before="40" w:after="40"/>
        <w:rPr/>
      </w:pPr>
      <w:r>
        <w:rPr>
          <w:rFonts w:eastAsia="Arial" w:cs="Arial"/>
          <w:sz w:val="22"/>
          <w:szCs w:val="22"/>
        </w:rPr>
        <w:t>All Drizzle queries must include a tenantId where clause — use query helper wrappers to enforce this pattern.</w:t>
      </w:r>
    </w:p>
    <w:p>
      <w:pPr>
        <w:pStyle w:val="ListParagraph"/>
        <w:numPr>
          <w:ilvl w:val="0"/>
          <w:numId w:val="1"/>
        </w:numPr>
        <w:spacing w:before="40" w:after="40"/>
        <w:rPr/>
      </w:pPr>
      <w:r>
        <w:rPr>
          <w:rFonts w:eastAsia="Arial" w:cs="Arial"/>
          <w:sz w:val="22"/>
          <w:szCs w:val="22"/>
        </w:rPr>
        <w:t>Verify tenant membership via Better-Auth organization plugin on all authenticated actions.</w:t>
      </w:r>
    </w:p>
    <w:p>
      <w:pPr>
        <w:pStyle w:val="ListParagraph"/>
        <w:numPr>
          <w:ilvl w:val="0"/>
          <w:numId w:val="1"/>
        </w:numPr>
        <w:spacing w:before="40" w:after="40"/>
        <w:rPr/>
      </w:pPr>
      <w:r>
        <w:rPr>
          <w:rFonts w:eastAsia="Arial" w:cs="Arial"/>
          <w:sz w:val="22"/>
          <w:szCs w:val="22"/>
        </w:rPr>
        <w:t>Cache tenant config aggressively (Redis/Vercel KV) but invalidate on branding or feature changes.</w:t>
      </w:r>
    </w:p>
    <w:p>
      <w:pPr>
        <w:pStyle w:val="Normal"/>
        <w:spacing w:before="80" w:after="0"/>
        <w:rPr/>
      </w:pPr>
      <w:r>
        <w:rPr/>
      </w:r>
    </w:p>
    <w:p>
      <w:pPr>
        <w:pStyle w:val="Heading2"/>
        <w:spacing w:before="280" w:after="120"/>
        <w:rPr/>
      </w:pPr>
      <w:r>
        <w:rPr>
          <w:rFonts w:eastAsia="Arial" w:cs="Arial" w:ascii="Arial" w:hAnsi="Arial"/>
          <w:b/>
          <w:bCs/>
          <w:color w:val="1E3A5F"/>
          <w:sz w:val="26"/>
          <w:szCs w:val="26"/>
        </w:rPr>
        <w:t>Row Level Security (RLS)</w:t>
      </w:r>
    </w:p>
    <w:p>
      <w:pPr>
        <w:pStyle w:val="Normal"/>
        <w:spacing w:before="80" w:after="80"/>
        <w:rPr/>
      </w:pPr>
      <w:r>
        <w:rPr>
          <w:rFonts w:eastAsia="Arial" w:cs="Arial"/>
          <w:sz w:val="22"/>
          <w:szCs w:val="22"/>
        </w:rPr>
        <w:t>Enable RLS on all tenant-scoped tables as a defense-in-depth measure. Even if application-layer scoping has a bug, RLS prevents cross-tenant data access at the database level. Implement in Phase 3 alongside second-tenant onboarding.</w:t>
      </w:r>
    </w:p>
    <w:p>
      <w:pPr>
        <w:pStyle w:val="Normal"/>
        <w:spacing w:before="80" w:after="0"/>
        <w:rPr/>
      </w:pPr>
      <w:r>
        <w:rPr/>
      </w:r>
    </w:p>
    <w:p>
      <w:pPr>
        <w:pStyle w:val="Heading2"/>
        <w:spacing w:before="280" w:after="120"/>
        <w:rPr/>
      </w:pPr>
      <w:r>
        <w:rPr>
          <w:rFonts w:eastAsia="Arial" w:cs="Arial" w:ascii="Arial" w:hAnsi="Arial"/>
          <w:b/>
          <w:bCs/>
          <w:color w:val="1E3A5F"/>
          <w:sz w:val="26"/>
          <w:szCs w:val="26"/>
        </w:rPr>
        <w:t>Custom Domains</w:t>
      </w:r>
    </w:p>
    <w:p>
      <w:pPr>
        <w:pStyle w:val="Normal"/>
        <w:spacing w:before="80" w:after="80"/>
        <w:rPr/>
      </w:pPr>
      <w:r>
        <w:rPr>
          <w:rFonts w:eastAsia="Arial" w:cs="Arial"/>
          <w:sz w:val="22"/>
          <w:szCs w:val="22"/>
        </w:rPr>
        <w:t>Use the Vercel API to add custom domains programmatically when tenants configure their own domain. Validate domain ownership before activating. Ensure middleware handles the full custom domain lookup path, not just subdomain patterns.</w:t>
      </w:r>
    </w:p>
    <w:p>
      <w:pPr>
        <w:pStyle w:val="Normal"/>
        <w:spacing w:before="120" w:after="0"/>
        <w:rPr/>
      </w:pPr>
      <w:r>
        <w:rPr/>
      </w:r>
    </w:p>
    <w:p>
      <w:pPr>
        <w:pStyle w:val="Heading1"/>
        <w:pBdr>
          <w:bottom w:val="single" w:sz="8" w:space="4" w:color="0D9488"/>
        </w:pBdr>
        <w:spacing w:before="360" w:after="160"/>
        <w:rPr/>
      </w:pPr>
      <w:r>
        <w:rPr>
          <w:rFonts w:eastAsia="Arial" w:cs="Arial" w:ascii="Arial" w:hAnsi="Arial"/>
          <w:b/>
          <w:bCs/>
          <w:color w:val="1E3A5F"/>
          <w:sz w:val="32"/>
          <w:szCs w:val="32"/>
        </w:rPr>
        <w:t>8. Local Development Workflow</w:t>
      </w:r>
    </w:p>
    <w:p>
      <w:pPr>
        <w:pStyle w:val="Normal"/>
        <w:spacing w:before="60" w:after="0"/>
        <w:rPr/>
      </w:pPr>
      <w:r>
        <w:rPr/>
      </w:r>
    </w:p>
    <w:tbl>
      <w:tblPr>
        <w:tblW w:w="9360" w:type="dxa"/>
        <w:jc w:val="start"/>
        <w:tblInd w:w="0" w:type="dxa"/>
        <w:tblLayout w:type="fixed"/>
        <w:tblCellMar>
          <w:top w:w="80" w:type="dxa"/>
          <w:start w:w="140" w:type="dxa"/>
          <w:bottom w:w="80" w:type="dxa"/>
          <w:end w:w="140" w:type="dxa"/>
        </w:tblCellMar>
      </w:tblPr>
      <w:tblGrid>
        <w:gridCol w:w="2799"/>
        <w:gridCol w:w="6560"/>
      </w:tblGrid>
      <w:tr>
        <w:trPr/>
        <w:tc>
          <w:tcPr>
            <w:tcW w:w="27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Default tenant</w:t>
            </w:r>
          </w:p>
        </w:tc>
        <w:tc>
          <w:tcPr>
            <w:tcW w:w="65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Set LOCAL_TENANT_SLUG=soralia-village in .env.local</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Soralia development</w:t>
            </w:r>
          </w:p>
        </w:tc>
        <w:tc>
          <w:tcPr>
            <w:tcW w:w="6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 change to existing workflow — middleware resolves Soralia automatically</w:t>
            </w:r>
          </w:p>
        </w:tc>
      </w:tr>
      <w:tr>
        <w:trPr/>
        <w:tc>
          <w:tcPr>
            <w:tcW w:w="27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Test new tenant</w:t>
            </w:r>
          </w:p>
        </w:tc>
        <w:tc>
          <w:tcPr>
            <w:tcW w:w="65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Change env var to new slug, or use ngrok with a test subdomain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E3A5F"/>
                <w:sz w:val="20"/>
                <w:szCs w:val="20"/>
              </w:rPr>
              <w:t>Feature testing</w:t>
            </w:r>
          </w:p>
        </w:tc>
        <w:tc>
          <w:tcPr>
            <w:tcW w:w="6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Use admin UI at /admin/platform/ to toggle features per tenant</w:t>
            </w:r>
          </w:p>
        </w:tc>
      </w:tr>
      <w:tr>
        <w:trPr/>
        <w:tc>
          <w:tcPr>
            <w:tcW w:w="2799"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1E3A5F"/>
                <w:sz w:val="20"/>
                <w:szCs w:val="20"/>
              </w:rPr>
              <w:t>DB seeding</w:t>
            </w:r>
          </w:p>
        </w:tc>
        <w:tc>
          <w:tcPr>
            <w:tcW w:w="656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sz w:val="20"/>
                <w:szCs w:val="20"/>
              </w:rPr>
              <w:t>Run seed script — ensure Soralia exists as tenant #1 before any dev work</w:t>
            </w:r>
          </w:p>
        </w:tc>
      </w:tr>
    </w:tbl>
    <w:p>
      <w:pPr>
        <w:pStyle w:val="Normal"/>
        <w:spacing w:before="120" w:after="0"/>
        <w:rPr/>
      </w:pPr>
      <w:r>
        <w:rPr/>
      </w:r>
    </w:p>
    <w:p>
      <w:pPr>
        <w:pStyle w:val="Heading1"/>
        <w:pBdr>
          <w:bottom w:val="single" w:sz="8" w:space="4" w:color="0D9488"/>
        </w:pBdr>
        <w:spacing w:before="360" w:after="160"/>
        <w:rPr/>
      </w:pPr>
      <w:r>
        <w:rPr>
          <w:rFonts w:eastAsia="Arial" w:cs="Arial" w:ascii="Arial" w:hAnsi="Arial"/>
          <w:b/>
          <w:bCs/>
          <w:color w:val="1E3A5F"/>
          <w:sz w:val="32"/>
          <w:szCs w:val="32"/>
        </w:rPr>
        <w:t>9. Ongoing Development Conventions</w:t>
      </w:r>
    </w:p>
    <w:p>
      <w:pPr>
        <w:pStyle w:val="Normal"/>
        <w:spacing w:before="60" w:after="0"/>
        <w:rPr/>
      </w:pPr>
      <w:r>
        <w:rPr/>
      </w:r>
    </w:p>
    <w:p>
      <w:pPr>
        <w:pStyle w:val="ListParagraph"/>
        <w:numPr>
          <w:ilvl w:val="0"/>
          <w:numId w:val="1"/>
        </w:numPr>
        <w:spacing w:before="40" w:after="40"/>
        <w:rPr/>
      </w:pPr>
      <w:r>
        <w:rPr>
          <w:rFonts w:eastAsia="Arial" w:cs="Arial"/>
          <w:sz w:val="22"/>
          <w:szCs w:val="22"/>
        </w:rPr>
        <w:t>New features go into core/ or lib/features/ — never hardcoded to a specific tenant.</w:t>
      </w:r>
    </w:p>
    <w:p>
      <w:pPr>
        <w:pStyle w:val="ListParagraph"/>
        <w:numPr>
          <w:ilvl w:val="0"/>
          <w:numId w:val="1"/>
        </w:numPr>
        <w:spacing w:before="40" w:after="40"/>
        <w:rPr/>
      </w:pPr>
      <w:r>
        <w:rPr>
          <w:rFonts w:eastAsia="Arial" w:cs="Arial"/>
          <w:sz w:val="22"/>
          <w:szCs w:val="22"/>
        </w:rPr>
        <w:t>Tenant-specific content goes through slot-based custom sections or MDX in DB — never as code branches.</w:t>
      </w:r>
    </w:p>
    <w:p>
      <w:pPr>
        <w:pStyle w:val="ListParagraph"/>
        <w:numPr>
          <w:ilvl w:val="0"/>
          <w:numId w:val="1"/>
        </w:numPr>
        <w:spacing w:before="40" w:after="40"/>
        <w:rPr/>
      </w:pPr>
      <w:r>
        <w:rPr>
          <w:rFonts w:eastAsia="Arial" w:cs="Arial"/>
          <w:sz w:val="22"/>
          <w:szCs w:val="22"/>
        </w:rPr>
        <w:t>All new API routes must call withTenant() as their first operation.</w:t>
      </w:r>
    </w:p>
    <w:p>
      <w:pPr>
        <w:pStyle w:val="ListParagraph"/>
        <w:numPr>
          <w:ilvl w:val="0"/>
          <w:numId w:val="1"/>
        </w:numPr>
        <w:spacing w:before="40" w:after="40"/>
        <w:rPr/>
      </w:pPr>
      <w:r>
        <w:rPr>
          <w:rFonts w:eastAsia="Arial" w:cs="Arial"/>
          <w:sz w:val="22"/>
          <w:szCs w:val="22"/>
        </w:rPr>
        <w:t>All new Drizzle queries must be scoped by tenantId — use the shared query helper wrappers.</w:t>
      </w:r>
    </w:p>
    <w:p>
      <w:pPr>
        <w:pStyle w:val="ListParagraph"/>
        <w:numPr>
          <w:ilvl w:val="0"/>
          <w:numId w:val="1"/>
        </w:numPr>
        <w:spacing w:before="40" w:after="40"/>
        <w:rPr/>
      </w:pPr>
      <w:r>
        <w:rPr>
          <w:rFonts w:eastAsia="Arial" w:cs="Arial"/>
          <w:sz w:val="22"/>
          <w:szCs w:val="22"/>
        </w:rPr>
        <w:t>Component moves follow the mapping table in Section 3 — migrate on contact, not in bulk.</w:t>
      </w:r>
    </w:p>
    <w:p>
      <w:pPr>
        <w:pStyle w:val="ListParagraph"/>
        <w:numPr>
          <w:ilvl w:val="0"/>
          <w:numId w:val="1"/>
        </w:numPr>
        <w:spacing w:before="40" w:after="40"/>
        <w:rPr/>
      </w:pPr>
      <w:r>
        <w:rPr>
          <w:rFonts w:eastAsia="Arial" w:cs="Arial"/>
          <w:sz w:val="22"/>
          <w:szCs w:val="22"/>
        </w:rPr>
        <w:t>The [lng]/ route migration is out of scope until Phases 0-3 are complete and proven.</w:t>
      </w:r>
    </w:p>
    <w:p>
      <w:pPr>
        <w:pStyle w:val="Normal"/>
        <w:spacing w:before="120" w:after="0"/>
        <w:rPr/>
      </w:pPr>
      <w:r>
        <w:rPr/>
      </w:r>
    </w:p>
    <w:p>
      <w:pPr>
        <w:pStyle w:val="Normal"/>
        <w:pBdr>
          <w:top w:val="single" w:sz="4" w:space="8" w:color="0D9488"/>
        </w:pBdr>
        <w:spacing w:before="240" w:after="0"/>
        <w:jc w:val="center"/>
        <w:rPr/>
      </w:pPr>
      <w:r>
        <w:rPr>
          <w:rFonts w:eastAsia="Arial" w:cs="Arial"/>
          <w:color w:val="9CA3AF"/>
          <w:sz w:val="18"/>
          <w:szCs w:val="18"/>
        </w:rPr>
        <w:t>NetComplex Migration Guide  •  Updated April 2026  •  Internal Use Only</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60" w:hanging="28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60"/>
      <w:outlineLvl w:val="0"/>
    </w:pPr>
    <w:rPr>
      <w:rFonts w:ascii="Arial" w:hAnsi="Arial" w:eastAsia="Arial" w:cs="Arial"/>
      <w:b/>
      <w:bCs/>
      <w:color w:val="1E3A5F"/>
      <w:sz w:val="32"/>
      <w:szCs w:val="32"/>
    </w:rPr>
  </w:style>
  <w:style w:type="paragraph" w:styleId="Heading2">
    <w:name w:val="Heading 2"/>
    <w:basedOn w:val="Heading"/>
    <w:qFormat/>
    <w:pPr>
      <w:spacing w:before="280" w:after="120"/>
      <w:outlineLvl w:val="1"/>
    </w:pPr>
    <w:rPr>
      <w:rFonts w:ascii="Arial" w:hAnsi="Arial" w:eastAsia="Arial" w:cs="Arial"/>
      <w:b/>
      <w:bCs/>
      <w:color w:val="1E3A5F"/>
      <w:sz w:val="26"/>
      <w:szCs w:val="26"/>
    </w:rPr>
  </w:style>
  <w:style w:type="paragraph" w:styleId="Heading3">
    <w:name w:val="Heading 3"/>
    <w:basedOn w:val="Heading"/>
    <w:qFormat/>
    <w:pPr>
      <w:spacing w:before="200" w:after="80"/>
      <w:outlineLvl w:val="2"/>
    </w:pPr>
    <w:rPr>
      <w:rFonts w:ascii="Arial" w:hAnsi="Arial" w:eastAsia="Arial" w:cs="Arial"/>
      <w:b/>
      <w:bCs/>
      <w:color w:val="0D9488"/>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12</Pages>
  <Words>1892</Words>
  <Characters>12217</Characters>
  <CharactersWithSpaces>14136</CharactersWithSpaces>
  <Paragraphs>249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2026-04-05T10:17:44Z</dcterms:created>
  <dc:creator>Un-named</dc:creator>
  <dc:description/>
  <dc:language>en-US</dc:language>
  <cp:lastModifiedBy>Un-named</cp:lastModifiedBy>
  <dcterms:modified xsi:type="dcterms:W3CDTF">2026-04-05T10:17:44Z</dcterms:modified>
  <cp:revision>1</cp:revision>
  <dc:subject/>
  <dc:title/>
</cp:coreProperties>
</file>