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7F8C8D"/>
          <w:sz w:val="22"/>
        </w:rPr>
        <w:t>SERVICIO NACIONAL DE MIGRACIONES (SERMIG)</w:t>
        <w:br/>
        <w:t>DEPARTAMENTO DE TECNOLOGÍAS DE LA INFORMACIÓN Y CIBERSEGURIDAD</w:t>
        <w:br/>
      </w:r>
    </w:p>
    <w:p>
      <w:pPr>
        <w:jc w:val="center"/>
      </w:pPr>
      <w:r>
        <w:rPr>
          <w:rFonts w:ascii="Arial" w:hAnsi="Arial"/>
          <w:b/>
          <w:color w:val="1B365D"/>
          <w:sz w:val="40"/>
        </w:rPr>
        <w:t>MANUAL DE USUARIO, OPERACIÓN Y ARQUITECTURA TÉCNICA</w:t>
        <w:br/>
        <w:t>FRAMEWORK SGSI (ISO/IEC 27001:2022) &amp; SOC</w:t>
      </w:r>
    </w:p>
    <w:p>
      <w:pPr>
        <w:jc w:val="center"/>
      </w:pPr>
      <w:r>
        <w:rPr>
          <w:rFonts w:ascii="Segoe UI" w:hAnsi="Segoe UI"/>
          <w:i/>
          <w:color w:val="555555"/>
          <w:sz w:val="24"/>
        </w:rPr>
        <w:t>Gestión de Riesgos ISO 27005, Declaración SoA, Inventario de Activos Ley 21.663, Centro de Operaciones SOC, Correlación MITRE ATT&amp;CK y Ciberinteligencia en Tiempo Real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1B365D"/>
                <w:sz w:val="18"/>
              </w:rPr>
              <w:t>Institución Responsable:</w:t>
            </w:r>
          </w:p>
        </w:tc>
        <w:tc>
          <w:tcPr>
            <w:tcW w:type="dxa" w:w="6480"/>
            <w:shd w:fill="FFFFFF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color w:val="333333"/>
                <w:sz w:val="18"/>
              </w:rPr>
              <w:t>Servicio Nacional de Migraciones (SERMIG) - Gobierno de Chile</w:t>
            </w:r>
          </w:p>
        </w:tc>
      </w:tr>
      <w:tr>
        <w:tc>
          <w:tcPr>
            <w:tcW w:type="dxa" w:w="3312"/>
            <w:shd w:fill="F0F4F8"/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1B365D"/>
                <w:sz w:val="18"/>
              </w:rPr>
              <w:t>Estándares Internacionales:</w:t>
            </w:r>
          </w:p>
        </w:tc>
        <w:tc>
          <w:tcPr>
            <w:tcW w:type="dxa" w:w="6480"/>
            <w:shd w:fill="FFFFFF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color w:val="333333"/>
                <w:sz w:val="18"/>
              </w:rPr>
              <w:t>ISO/IEC 27001:2022 (SGSI) • ISO/IEC 27005 (Riesgos) • MITRE ATT&amp;CK</w:t>
            </w:r>
          </w:p>
        </w:tc>
      </w:tr>
      <w:tr>
        <w:tc>
          <w:tcPr>
            <w:tcW w:type="dxa" w:w="3312"/>
            <w:shd w:fill="F0F4F8"/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1B365D"/>
                <w:sz w:val="18"/>
              </w:rPr>
              <w:t>Marco Normativo Nacional:</w:t>
            </w:r>
          </w:p>
        </w:tc>
        <w:tc>
          <w:tcPr>
            <w:tcW w:type="dxa" w:w="6480"/>
            <w:shd w:fill="FFFFFF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color w:val="333333"/>
                <w:sz w:val="18"/>
              </w:rPr>
              <w:t>Ley N° 21.663 (Ciberseguridad) • Ley N° 19.628 (Datos Personales) • Ley N° 21.459 • DS N° 83</w:t>
            </w:r>
          </w:p>
        </w:tc>
      </w:tr>
      <w:tr>
        <w:tc>
          <w:tcPr>
            <w:tcW w:type="dxa" w:w="3312"/>
            <w:shd w:fill="F0F4F8"/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1B365D"/>
                <w:sz w:val="18"/>
              </w:rPr>
              <w:t>Seguridad y Desarrollo Seguro:</w:t>
            </w:r>
          </w:p>
        </w:tc>
        <w:tc>
          <w:tcPr>
            <w:tcW w:type="dxa" w:w="6480"/>
            <w:shd w:fill="FFFFFF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color w:val="333333"/>
                <w:sz w:val="18"/>
              </w:rPr>
              <w:t>Recomendaciones OWASP Top 10 (A01 a A10) • Sanitización contra Formula Injection</w:t>
            </w:r>
          </w:p>
        </w:tc>
      </w:tr>
      <w:tr>
        <w:tc>
          <w:tcPr>
            <w:tcW w:type="dxa" w:w="3312"/>
            <w:shd w:fill="F0F4F8"/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1B365D"/>
                <w:sz w:val="18"/>
              </w:rPr>
              <w:t>Versión del Sistema / Documento:</w:t>
            </w:r>
          </w:p>
        </w:tc>
        <w:tc>
          <w:tcPr>
            <w:tcW w:type="dxa" w:w="6480"/>
            <w:shd w:fill="FFFFFF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color w:val="333333"/>
                <w:sz w:val="18"/>
              </w:rPr>
              <w:t>Versión 2.5 - Edición Institucional 2026</w:t>
            </w:r>
          </w:p>
        </w:tc>
      </w:tr>
      <w:tr>
        <w:tc>
          <w:tcPr>
            <w:tcW w:type="dxa" w:w="3312"/>
            <w:shd w:fill="F0F4F8"/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1B365D"/>
                <w:sz w:val="18"/>
              </w:rPr>
              <w:t>Repositorio Oficial:</w:t>
            </w:r>
          </w:p>
        </w:tc>
        <w:tc>
          <w:tcPr>
            <w:tcW w:type="dxa" w:w="6480"/>
            <w:shd w:fill="FFFFFF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color w:val="333333"/>
                <w:sz w:val="18"/>
              </w:rPr>
              <w:t>https://github.com/netcluster/sgsi-soc-framework.git</w:t>
            </w:r>
          </w:p>
        </w:tc>
      </w:tr>
    </w:tbl>
    <w:p>
      <w:r>
        <w:br/>
        <w:t>——————————————————————————————————————————————————</w:t>
        <w:br/>
      </w:r>
    </w:p>
    <w:p>
      <w:pPr>
        <w:pStyle w:val="Heading1"/>
      </w:pPr>
      <w:r>
        <w:rPr>
          <w:color w:val="1B365D"/>
        </w:rPr>
        <w:t>1. Introducción, Objetivos y Marco Legal Chileno</w:t>
      </w:r>
    </w:p>
    <w:p>
      <w:r>
        <w:t>El presente manual documenta integralmente las funcionalidades, arquitectura tecnológica, procedimientos de operación y protocolos de respuesta ante incidentes del Framework SGSI &amp; SOC implementado para el Servicio Nacional de Migraciones (SERMIG). La solución articula la gobernanza estratégica de seguridad con la operación táctica del Centro de Operaciones de Seguridad (SOC), proporcionando visibilidad y trazabilidad continua sobre activos críticos, amenazas cibernéticas y cumplimiento normativo.</w:t>
      </w:r>
    </w:p>
    <w:p>
      <w:pPr>
        <w:pStyle w:val="Heading2"/>
      </w:pPr>
      <w:r>
        <w:t>1.1. Cumplimiento de la Normativa Legal Chilena</w:t>
      </w:r>
    </w:p>
    <w:p>
      <w:r>
        <w:t>El sistema ha sido estructurado para satisfacer los mandatos vigentes en el Estado de Chile en materia de ciberseguridad, protección de la información y gestión de incidentes: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1B365D"/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Marco Normativo</w:t>
            </w:r>
          </w:p>
        </w:tc>
        <w:tc>
          <w:tcPr>
            <w:tcW w:type="dxa" w:w="6624"/>
            <w:shd w:fill="1B365D"/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Exigencia y Aplicación en el Framework</w:t>
            </w:r>
          </w:p>
        </w:tc>
      </w:tr>
      <w:tr>
        <w:tc>
          <w:tcPr>
            <w:tcW w:type="dxa" w:w="3168"/>
            <w:shd w:fill="F8FAFC"/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1B365D"/>
                <w:sz w:val="18"/>
              </w:rPr>
              <w:t>Ley N° 21.663</w:t>
              <w:br/>
              <w:t>(Ley Marco de Ciberseguridad)</w:t>
            </w:r>
          </w:p>
        </w:tc>
        <w:tc>
          <w:tcPr>
            <w:tcW w:type="dxa" w:w="6624"/>
            <w:shd w:fill="FFFFFF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color w:val="333333"/>
                <w:sz w:val="18"/>
              </w:rPr>
              <w:t>Crea la Agencia Nacional de Ciberseguridad (ANCI) y el CSIRT Nacional. Obliga a los órganos de la Administración del Estado y Operadores de Importancia Vital (OIV) a mantener un inventario actualizado de activos esenciales, aplicar estándares de seguridad y reportar incidentes significativos en un plazo máximo de 3 horas.</w:t>
            </w:r>
          </w:p>
        </w:tc>
      </w:tr>
      <w:tr>
        <w:tc>
          <w:tcPr>
            <w:tcW w:type="dxa" w:w="3168"/>
            <w:shd w:fill="F8FAFC"/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1B365D"/>
                <w:sz w:val="18"/>
              </w:rPr>
              <w:t>Ley N° 19.628</w:t>
              <w:br/>
              <w:t>(Protección de la Vida Privada / Datos Personales)</w:t>
            </w:r>
          </w:p>
        </w:tc>
        <w:tc>
          <w:tcPr>
            <w:tcW w:type="dxa" w:w="6624"/>
            <w:shd w:fill="FFFFFF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color w:val="333333"/>
                <w:sz w:val="18"/>
              </w:rPr>
              <w:t>Exige el deber de secreto, custodia e integridad estricta sobre bases de datos con información personal y sensible de ciudadanos y usuarios. En el sistema, todo activo con datos personales se califica con Confidencialidad=5 e Integridad=5 (Nivel Crítico).</w:t>
            </w:r>
          </w:p>
        </w:tc>
      </w:tr>
      <w:tr>
        <w:tc>
          <w:tcPr>
            <w:tcW w:type="dxa" w:w="3168"/>
            <w:shd w:fill="F8FAFC"/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1B365D"/>
                <w:sz w:val="18"/>
              </w:rPr>
              <w:t>Ley N° 21.459</w:t>
              <w:br/>
              <w:t>(Delitos Informáticos)</w:t>
            </w:r>
          </w:p>
        </w:tc>
        <w:tc>
          <w:tcPr>
            <w:tcW w:type="dxa" w:w="6624"/>
            <w:shd w:fill="FFFFFF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color w:val="333333"/>
                <w:sz w:val="18"/>
              </w:rPr>
              <w:t>Sanciona el acceso ilícito, interceptación indebida, ataque a la integridad de datos y falsificación informática. El framework registra la telemetría probatoria de origen/destino y custodia para fines de auditoría y peritaje forense.</w:t>
            </w:r>
          </w:p>
        </w:tc>
      </w:tr>
      <w:tr>
        <w:tc>
          <w:tcPr>
            <w:tcW w:type="dxa" w:w="3168"/>
            <w:shd w:fill="F8FAFC"/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1B365D"/>
                <w:sz w:val="18"/>
              </w:rPr>
              <w:t>Decreto Supremo N° 83</w:t>
              <w:br/>
              <w:t>(SGSI en la Administración del Estado)</w:t>
            </w:r>
          </w:p>
        </w:tc>
        <w:tc>
          <w:tcPr>
            <w:tcW w:type="dxa" w:w="6624"/>
            <w:shd w:fill="FFFFFF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color w:val="333333"/>
                <w:sz w:val="18"/>
              </w:rPr>
              <w:t>Establece la obligatoriedad de implementar la Norma Técnica NCh-ISO/IEC 27001 en los servicios públicos, formalizando los roles de Propietario de la Información (Asset Owner) y Custodio Técnico.</w:t>
            </w:r>
          </w:p>
        </w:tc>
      </w:tr>
    </w:tbl>
    <w:p>
      <w:r>
        <w:br/>
      </w:r>
    </w:p>
    <w:p>
      <w:pPr>
        <w:pStyle w:val="Heading1"/>
      </w:pPr>
      <w:r>
        <w:rPr>
          <w:color w:val="1B365D"/>
        </w:rPr>
        <w:t>2. Arquitectura Técnica y Seguridad OWASP Top 10</w:t>
      </w:r>
    </w:p>
    <w:p>
      <w:r>
        <w:t>El framework se compone de una arquitectura modular basada en Python 3 y tecnologías web nativas, diseñada bajo principios de alta resiliencia, bajo consumo de recursos y ausencia de dependencias externas complejas:</w:t>
      </w:r>
    </w:p>
    <w:p>
      <w:pPr>
        <w:pStyle w:val="Heading2"/>
      </w:pPr>
      <w:r>
        <w:t>2.1. Módulos del Núcleo (Core Engine)</w:t>
      </w:r>
    </w:p>
    <w:p>
      <w:r>
        <w:rPr>
          <w:b/>
        </w:rPr>
        <w:t xml:space="preserve">• app_gui.py / app_gui.pyw: </w:t>
      </w:r>
      <w:r>
        <w:t>Aplicación de escritorio nativa en Tkinter para la administración centralizada de Activos, Riesgos ISO 27005, Controles SoA ISO 27001 y Centro de Operaciones SOC.</w:t>
        <w:br/>
      </w:r>
      <w:r>
        <w:rPr>
          <w:b/>
        </w:rPr>
        <w:t xml:space="preserve">• core/asset_manager.py: </w:t>
      </w:r>
      <w:r>
        <w:t>Gestor del Inventario de Activos con cálculo dinámico de criticidad CIA (Confidencialidad, Integridad, Disponibilidad) y sanitización OWASP.</w:t>
        <w:br/>
      </w:r>
      <w:r>
        <w:rPr>
          <w:b/>
        </w:rPr>
        <w:t xml:space="preserve">• core/risk_calculator.py: </w:t>
      </w:r>
      <w:r>
        <w:t>Motor de cálculo matricial de Riesgo Inherente y Riesgo Residual según ISO/IEC 27005.</w:t>
        <w:br/>
      </w:r>
      <w:r>
        <w:rPr>
          <w:b/>
        </w:rPr>
        <w:t xml:space="preserve">• core/soa_manager.py: </w:t>
      </w:r>
      <w:r>
        <w:t>Gestor de la Declaración de Aplicabilidad (93 controles ISO 27001:2022) con escala de madurez completa.</w:t>
        <w:br/>
      </w:r>
      <w:r>
        <w:rPr>
          <w:b/>
        </w:rPr>
        <w:t xml:space="preserve">• core/incident_manager.py: </w:t>
      </w:r>
      <w:r>
        <w:t>Gestor y auditor de incidentes de seguridad, cálculo de métricas MTTD/MTTR y registro de playbooks de mitigación.</w:t>
        <w:br/>
      </w:r>
      <w:r>
        <w:rPr>
          <w:b/>
        </w:rPr>
        <w:t xml:space="preserve">• soc_engine/threat_detector.py &amp; threat_intel_manager.py: </w:t>
      </w:r>
      <w:r>
        <w:t>Motor de detección de amenazas, correlación MITRE ATT&amp;CK e ingesta de feeds dinámicos de ciberinteligencia (CTI).</w:t>
        <w:br/>
      </w:r>
      <w:r>
        <w:rPr>
          <w:b/>
        </w:rPr>
        <w:t xml:space="preserve">• dashboards/dashboard_generator.py &amp; live_server.py: </w:t>
      </w:r>
      <w:r>
        <w:t>Generador de visualizaciones interactivas en Plotly y servidor HTTP ligero con recarga automática en 2 segundos por cambio de firma de datos.</w:t>
      </w:r>
    </w:p>
    <w:p>
      <w:pPr>
        <w:pStyle w:val="Heading2"/>
      </w:pPr>
      <w:r>
        <w:t>2.2. Controles de Seguridad Aplicados (OWASP Top 10)</w:t>
      </w:r>
    </w:p>
    <w:p>
      <w:r>
        <w:t>El diseño e implementación de código ha integrado salvaguardas directas para mitigar los riesgos del OWASP Top 10:</w:t>
      </w:r>
    </w:p>
    <w:p>
      <w:r>
        <w:rPr>
          <w:b/>
        </w:rPr>
        <w:t xml:space="preserve">1. A03 - Injection &amp; CSV/Formula Injection: </w:t>
      </w:r>
      <w:r>
        <w:t>Todos los campos de entrada de texto (nombres de activos, justificaciones, evidencias) son sanitizados mediante la función sanitize_owasp_csv_field() que neutraliza fórmulas maliciosas (=, +, -, @) antes de persistirlas.</w:t>
        <w:br/>
      </w:r>
      <w:r>
        <w:rPr>
          <w:b/>
        </w:rPr>
        <w:t xml:space="preserve">2. A01 - Broken Access Control: </w:t>
      </w:r>
      <w:r>
        <w:t>Separación estricta entre Propietario del Activo (Asset Owner) y Custodio Técnico (Custodian).</w:t>
        <w:br/>
      </w:r>
      <w:r>
        <w:rPr>
          <w:b/>
        </w:rPr>
        <w:t xml:space="preserve">3. A02 - Cryptographic Failures: </w:t>
      </w:r>
      <w:r>
        <w:t>Clasificación de activos con Confidencialidad &gt;= 4 para forzar cifrado en tránsito (TLS 1.3) y en reposo (AES-256).</w:t>
        <w:br/>
      </w:r>
      <w:r>
        <w:rPr>
          <w:b/>
        </w:rPr>
        <w:t xml:space="preserve">4. A08 - Software and Data Integrity Failures: </w:t>
      </w:r>
      <w:r>
        <w:t>Verificación de integridad de archivos mediante firmas MD5 continuas y codificación estándar UTF-8 BOM.</w:t>
      </w:r>
    </w:p>
    <w:p>
      <w:r>
        <w:br/>
      </w:r>
    </w:p>
    <w:p>
      <w:pPr>
        <w:pStyle w:val="Heading1"/>
      </w:pPr>
      <w:r>
        <w:rPr>
          <w:color w:val="1B365D"/>
        </w:rPr>
        <w:t>3. Guía de Operación de la Aplicación de Escritorio</w:t>
      </w:r>
    </w:p>
    <w:p>
      <w:r>
        <w:t>La interfaz gráfica se ejecuta mediante `python app_gui.py` o haciendo doble clic directo sobre `app_gui.pyw` (ejecución silenciosa en Windows). La ventana principal organiza las funciones del SGSI y SOC en 5 pestañas de trabajo:</w:t>
      </w:r>
    </w:p>
    <w:p>
      <w:pPr>
        <w:pStyle w:val="Heading2"/>
      </w:pPr>
      <w:r>
        <w:t>3.1. Pestaña 1: Resumen &amp; KPIs</w:t>
      </w:r>
    </w:p>
    <w:p>
      <w:r>
        <w:t>Proporciona un resumen ejecutivo del estado de la infraestructura con 4 tarjetas de indicadores clave: Total de Incidentes Registrados, Tiempo Medio de Detección (MTTD), Tiempo Medio de Respuesta (MTTR) y Distribución por Severidad. Permite además acceder a los accesos directos de los Dashboards Web CISO y Dirección.</w:t>
      </w:r>
    </w:p>
    <w:p>
      <w:pPr>
        <w:pStyle w:val="Heading2"/>
      </w:pPr>
      <w:r>
        <w:t>3.2. Pestaña 2: Centro de Operaciones SOC &amp; Ciberinteligencia (CTI)</w:t>
      </w:r>
    </w:p>
    <w:p>
      <w:r>
        <w:rPr>
          <w:b/>
        </w:rPr>
        <w:t xml:space="preserve">• Receptor Syslog en Vivo (UDP 1514): </w:t>
      </w:r>
      <w:r>
        <w:t>Al presionar 'Iniciar Receptor Syslog', el sistema escucha activamente en el puerto UDP 1514, procesando logs de firewalls FortiGate, servidores Linux y reenviadores de eventos en tiempo real.</w:t>
        <w:br/>
      </w:r>
      <w:r>
        <w:rPr>
          <w:b/>
        </w:rPr>
        <w:t xml:space="preserve">• Ingestar Archivo de Logs Real: </w:t>
      </w:r>
      <w:r>
        <w:t>Permite seleccionar cualquier archivo .log o .txt para su análisis forense fuera de línea.</w:t>
        <w:br/>
      </w:r>
      <w:r>
        <w:rPr>
          <w:b/>
        </w:rPr>
        <w:t xml:space="preserve">• Simular Ataques: </w:t>
      </w:r>
      <w:r>
        <w:t>Genera eventos de prueba (Fuerza Bruta SSH, Inyección SQL, Sondeo de Metadatos Cloud SSRF, XSS) para verificar las alertas.</w:t>
        <w:br/>
      </w:r>
      <w:r>
        <w:rPr>
          <w:b/>
        </w:rPr>
        <w:t xml:space="preserve">• 🛡️ Responder / Mitigar... (Doble clic en la tabla): </w:t>
      </w:r>
      <w:r>
        <w:t>Abre la ventana de respuesta donde el analista selecciona el Playbook de mitigación ejecutado (ej: Bloqueo perimetral IP, Aislamiento EDR, Revocación de credenciales), cambia el estado a 'Cerrado' y registra el MTTR en minutos. Al guardar, los dashboards web se actualizan en vivo en 2 segundos.</w:t>
        <w:br/>
      </w:r>
      <w:r>
        <w:rPr>
          <w:b/>
        </w:rPr>
        <w:t xml:space="preserve">• 🌐 Feeds CTI...: </w:t>
      </w:r>
      <w:r>
        <w:t>Abre el centro de Ciberinteligencia de Amenazas. Muestra los IoCs en memoria y permite presionar '🚀 Actualizar Feeds CTI en Vivo (Internet)' para descargar en segundos más de 1.350 servidores C2 y nodos Tor de Feodo Tracker (Abuse.ch), Tor Project y CSIRT.</w:t>
      </w:r>
    </w:p>
    <w:p>
      <w:pPr>
        <w:pStyle w:val="Heading2"/>
      </w:pPr>
      <w:r>
        <w:t>3.3. Pestaña 3: Matriz de Gestión de Riesgos (ISO/IEC 27005)</w:t>
      </w:r>
    </w:p>
    <w:p>
      <w:r>
        <w:t>Permite administrar el ciclo de vida de los riesgos de seguridad de la información. Al agregar o editar un riesgo, el usuario define la Probabilidad (1 a 5) y el Impacto (1 a 5) del Riesgo Inherente, selecciona las salvaguardas y el sistema calcula de forma automática el Riesgo Residual Mitigado y su nivel semiótico (Extremo, Alto, Medio, Bajo).</w:t>
      </w:r>
    </w:p>
    <w:p>
      <w:pPr>
        <w:pStyle w:val="Heading2"/>
      </w:pPr>
      <w:r>
        <w:t>3.4. Pestaña 4: Declaración de Aplicabilidad SoA (ISO/IEC 27001:2022)</w:t>
      </w:r>
    </w:p>
    <w:p>
      <w:r>
        <w:rPr>
          <w:b/>
        </w:rPr>
        <w:t xml:space="preserve">• Gestión de los 93 Controles: </w:t>
      </w:r>
      <w:r>
        <w:t>Organizados en Controles Organizacionales (Cláusula 5), Controles de Personas (Cláusula 6), Controles Físicos (Cláusula 7) y Controles Tecnológicos (Cláusula 8).</w:t>
        <w:br/>
      </w:r>
      <w:r>
        <w:rPr>
          <w:b/>
        </w:rPr>
        <w:t xml:space="preserve">• Escala Completa de Estados: </w:t>
      </w:r>
      <w:r>
        <w:t>Implementado (100%), En Proceso (50%), Planificado (15%), No Implementado (0%, Aplica=SI) y No Aplica (0%, Aplica=NO).</w:t>
        <w:br/>
      </w:r>
      <w:r>
        <w:rPr>
          <w:b/>
        </w:rPr>
        <w:t xml:space="preserve">• 📁 Explorador de Evidencia Documental: </w:t>
      </w:r>
      <w:r>
        <w:t>Dentro del formulario de edición, el botón '📁 Examinar...' abre el explorador de Windows para vincular el archivo PDF, Word, Excel o carpeta sincronizada de Google Drive que respalda el control.</w:t>
        <w:br/>
      </w:r>
      <w:r>
        <w:rPr>
          <w:b/>
        </w:rPr>
        <w:t xml:space="preserve">• 👁️ Abrir Evidencia: </w:t>
      </w:r>
      <w:r>
        <w:t>Permite abrir el documento de evidencia directamente con la aplicación predeterminada del sistema operativo.</w:t>
      </w:r>
    </w:p>
    <w:p>
      <w:pPr>
        <w:pStyle w:val="Heading2"/>
      </w:pPr>
      <w:r>
        <w:t>3.5. Pestaña 5: Inventario de Activos de Información (Control 5.9 / Ley 21.663)</w:t>
      </w:r>
    </w:p>
    <w:p>
      <w:r>
        <w:t>Permite registrar y mantener actualizado el inventario de activos esenciales del Servicio Nacional de Migraciones. El formulario de alta y edición incluye:</w:t>
      </w:r>
    </w:p>
    <w:p>
      <w:r>
        <w:rPr>
          <w:b/>
        </w:rPr>
        <w:t xml:space="preserve">1. Identificación: </w:t>
      </w:r>
      <w:r>
        <w:t>ID correlativo automático (ACT-001, ACT-002...), Nombre del Activo, Tipo y Estado operativo.</w:t>
        <w:br/>
      </w:r>
      <w:r>
        <w:rPr>
          <w:b/>
        </w:rPr>
        <w:t xml:space="preserve">2. Asignación de Roles: </w:t>
      </w:r>
      <w:r>
        <w:t>Propietario de la Información (Asset Owner) y Custodio Técnico (Sysadmin / DBA).</w:t>
        <w:br/>
      </w:r>
      <w:r>
        <w:rPr>
          <w:b/>
        </w:rPr>
        <w:t xml:space="preserve">3. Ubicación: </w:t>
      </w:r>
      <w:r>
        <w:t>Datacenter SERMIG, Cloud GCP, Edge o Endpoint de usuario.</w:t>
        <w:br/>
      </w:r>
      <w:r>
        <w:rPr>
          <w:b/>
        </w:rPr>
        <w:t xml:space="preserve">4. Tríada CIA y Criticidad Dinámica: </w:t>
      </w:r>
      <w:r>
        <w:t>Sliders de Confidencialidad (1-5), Integridad (1-5) y Disponibilidad (1-5) que computan en tiempo real el Score de Criticidad (3 a 15) y el Nivel (Crítico, Alto, Medio, Bajo).</w:t>
      </w:r>
    </w:p>
    <w:p>
      <w:r>
        <w:br/>
      </w:r>
    </w:p>
    <w:p>
      <w:pPr>
        <w:pStyle w:val="Heading1"/>
      </w:pPr>
      <w:r>
        <w:rPr>
          <w:color w:val="1B365D"/>
        </w:rPr>
        <w:t>4. Dashboards Ejecutivos y Tácticos en Tiempo Real</w:t>
      </w:r>
    </w:p>
    <w:p>
      <w:r>
        <w:t>El sistema genera dos tableros especializados servidos por el servidor web local en el puerto 8080. Ambos incorporan recarga automática reactiva (Auto-reload en 2 segundos):</w:t>
      </w:r>
    </w:p>
    <w:p>
      <w:pPr>
        <w:pStyle w:val="Heading2"/>
      </w:pPr>
      <w:r>
        <w:t>4.1. Dashboard Táctico CISO &amp; SOC (http://localhost:8080/ciso)</w:t>
      </w:r>
    </w:p>
    <w:p>
      <w:r>
        <w:rPr>
          <w:b/>
        </w:rPr>
        <w:t xml:space="preserve">• Serie Temporal con Detección de Picos Anómalos: </w:t>
      </w:r>
      <w:r>
        <w:t>Monitorea el volumen de eventos por hora y resalta con diamantes rojos aquellos instantes que superan el umbral de alerta estadística.</w:t>
        <w:br/>
      </w:r>
      <w:r>
        <w:rPr>
          <w:b/>
        </w:rPr>
        <w:t xml:space="preserve">• Top Vectores MITRE ATT&amp;CK: </w:t>
      </w:r>
      <w:r>
        <w:t>Barras horizontales con los vectores de ataque más recurrentes (Fuerza Bruta, SQLi, Port Scan, SSRF).</w:t>
        <w:br/>
      </w:r>
      <w:r>
        <w:rPr>
          <w:b/>
        </w:rPr>
        <w:t xml:space="preserve">• Matriz de Riesgos ISO 27005: </w:t>
      </w:r>
      <w:r>
        <w:t>Cuadrante térmico que compara la dispersión del Riesgo Inherente vs el Riesgo Residual Mitigado.</w:t>
        <w:br/>
      </w:r>
      <w:r>
        <w:rPr>
          <w:b/>
        </w:rPr>
        <w:t xml:space="preserve">• Registro Operativo de Telemetría: </w:t>
      </w:r>
      <w:r>
        <w:t>Tabla con los últimos 10 eventos detectados con etiquetas semióticas de severidad (Crítica, Alta, Media, Baja).</w:t>
        <w:br/>
      </w:r>
      <w:r>
        <w:rPr>
          <w:b/>
        </w:rPr>
        <w:t xml:space="preserve">• Pie de página: </w:t>
      </w:r>
      <w:r>
        <w:t>Framework SGSI &amp; SOC - SERMIG 2026.</w:t>
      </w:r>
    </w:p>
    <w:p>
      <w:pPr>
        <w:pStyle w:val="Heading2"/>
      </w:pPr>
      <w:r>
        <w:t>4.2. Reporte Ejecutivo para la Dirección del Servicio (http://localhost:8080/direccion)</w:t>
      </w:r>
    </w:p>
    <w:p>
      <w:r>
        <w:rPr>
          <w:b/>
        </w:rPr>
        <w:t xml:space="preserve">• Gauge de Cumplimiento Global ISO 27001: </w:t>
      </w:r>
      <w:r>
        <w:t>Velocímetro que promedia la madurez global del SGSI frente a los 93 controles normativos.</w:t>
        <w:br/>
      </w:r>
      <w:r>
        <w:rPr>
          <w:b/>
        </w:rPr>
        <w:t xml:space="preserve">• Efectividad del Plan de Tratamiento: </w:t>
      </w:r>
      <w:r>
        <w:t>Comparativa de reducción de riesgo antes y después de controles (Rojo vs Verde).</w:t>
        <w:br/>
      </w:r>
      <w:r>
        <w:rPr>
          <w:b/>
        </w:rPr>
        <w:t xml:space="preserve">• Madurez por Dominio ISO 27001: </w:t>
      </w:r>
      <w:r>
        <w:t>Barras apiladas que desglosan los controles Implementados, En Proceso, Planificados y No Implementados en cada dominio.</w:t>
        <w:br/>
      </w:r>
      <w:r>
        <w:rPr>
          <w:b/>
        </w:rPr>
        <w:t xml:space="preserve">• Inventario de Activos por Criticidad: </w:t>
      </w:r>
      <w:r>
        <w:t>Gráfico de dona con la distribución de activos Críticos, Altos, Medios y Bajos.</w:t>
        <w:br/>
      </w:r>
      <w:r>
        <w:rPr>
          <w:b/>
        </w:rPr>
        <w:t xml:space="preserve">• Pie de página: </w:t>
      </w:r>
      <w:r>
        <w:t>Informe Ejecutivo SGSI - SERMIG 2026.</w:t>
      </w:r>
    </w:p>
    <w:p>
      <w:r>
        <w:br/>
      </w:r>
    </w:p>
    <w:p>
      <w:pPr>
        <w:pStyle w:val="Heading1"/>
      </w:pPr>
      <w:r>
        <w:rPr>
          <w:color w:val="1B365D"/>
        </w:rPr>
        <w:t>5. Optimización de Indicadores Clave del SOC: MTTD y MTTR</w:t>
      </w:r>
    </w:p>
    <w:p>
      <w:r>
        <w:t>La reducción del tiempo medio de detección (MTTD) y del tiempo medio de respuesta (MTTR) es el objetivo central para neutralizar ataques antes de que causen impacto en la continuidad operacional del SERMIG: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365D"/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Indicador</w:t>
            </w:r>
          </w:p>
        </w:tc>
        <w:tc>
          <w:tcPr>
            <w:tcW w:type="dxa" w:w="3312"/>
            <w:shd w:fill="1B365D"/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Estrategia de Optimización en el Framework</w:t>
            </w:r>
          </w:p>
        </w:tc>
        <w:tc>
          <w:tcPr>
            <w:tcW w:type="dxa" w:w="3312"/>
            <w:shd w:fill="1B365D"/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Meta Operativa</w:t>
            </w:r>
          </w:p>
        </w:tc>
      </w:tr>
      <w:tr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333333"/>
                <w:sz w:val="18"/>
              </w:rPr>
              <w:t>MTTD</w:t>
              <w:br/>
              <w:t>(Mean Time to Detect)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color w:val="333333"/>
                <w:sz w:val="18"/>
              </w:rPr>
              <w:t>• Ingesta centralizada Syslog UDP 1514.</w:t>
              <w:br/>
              <w:t>• Correlación instantánea con CTI (Feodo Tracker, Tor, CSIRT).</w:t>
              <w:br/>
              <w:t>• Detección de picos anómalos sobre líneas base.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color w:val="333333"/>
                <w:sz w:val="18"/>
              </w:rPr>
              <w:t>Reducción a &lt; 2 minutos (Detección en tiempo cero ante IoCs conocidos)</w:t>
            </w:r>
          </w:p>
        </w:tc>
      </w:tr>
      <w:tr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333333"/>
                <w:sz w:val="18"/>
              </w:rPr>
              <w:t>MTTR</w:t>
              <w:br/>
              <w:t>(Mean Time to Respond)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color w:val="333333"/>
                <w:sz w:val="18"/>
              </w:rPr>
              <w:t>• Playbooks estandarizados en la GUI.</w:t>
              <w:br/>
              <w:t>• Priorización basada en criticidad del activo (Ley 21.663).</w:t>
              <w:br/>
              <w:t>• Registro interactivo de mitigación en 1 clic.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color w:val="333333"/>
                <w:sz w:val="18"/>
              </w:rPr>
              <w:t>Reducción a &lt; 15 minutos para contención perimetral</w:t>
            </w:r>
          </w:p>
        </w:tc>
      </w:tr>
    </w:tbl>
    <w:p>
      <w:r>
        <w:br/>
      </w:r>
    </w:p>
    <w:p>
      <w:pPr>
        <w:pStyle w:val="Heading1"/>
      </w:pPr>
      <w:r>
        <w:rPr>
          <w:color w:val="1B365D"/>
        </w:rPr>
        <w:t>6. Guía de Despliegue, Sincronización y Mantenimiento</w:t>
      </w:r>
    </w:p>
    <w:p>
      <w:r>
        <w:t>El framework puede ser operado tanto por usuarios finales mediante accesos directos como por analistas vía terminal:</w:t>
      </w:r>
    </w:p>
    <w:p>
      <w:r>
        <w:rPr>
          <w:b/>
        </w:rPr>
        <w:t>1. Ejecución Gráfica (Recomendada):</w:t>
        <w:br/>
      </w:r>
      <w:r>
        <w:t xml:space="preserve">   • Doble clic en `app_gui.pyw` (inicia sin consola negra en Windows y levanta el servidor web en segundo plano).</w:t>
        <w:br/>
      </w:r>
      <w:r>
        <w:rPr>
          <w:b/>
        </w:rPr>
        <w:t>2. Comandos por Consola (CLI):</w:t>
        <w:br/>
      </w:r>
      <w:r>
        <w:t xml:space="preserve">   • Iniciar servidor web independiente: `python -m dashboards.live_server`</w:t>
        <w:br/>
      </w:r>
      <w:r>
        <w:t xml:space="preserve">   • Regenerar dashboards HTML: `python main.py --action generate-dashboards`</w:t>
        <w:br/>
      </w:r>
      <w:r>
        <w:t xml:space="preserve">   • Recalcular riesgos ISO 27005: `python main.py --action calculate-risks`</w:t>
        <w:br/>
      </w:r>
      <w:r>
        <w:t xml:space="preserve">   • Ejecutar pipeline completo: `python generate_all.py`</w:t>
        <w:br/>
      </w:r>
      <w:r>
        <w:rPr>
          <w:b/>
        </w:rPr>
        <w:t>3. Sincronización con Google Sheets / Google Drive:</w:t>
        <w:br/>
      </w:r>
      <w:r>
        <w:t xml:space="preserve">   • Botón '☁️ Google Sheets...' en la barra superior de la aplicación para configurar la URL del Webhook de Google Apps Script o generar los CSVs sincronizados en `sync_drive/`.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