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Приложение к Акту поданного-принятого газа</w:t>
        <w:br/>
      </w:r>
      <w:r>
        <w:rPr>
          <w:rFonts w:ascii="Times New Roman" w:hAnsi="Times New Roman"/>
        </w:rPr>
        <w:t>между ООО «Газпром межрегионгаз Иваново» и ОАО «Аньковское»</w:t>
      </w:r>
    </w:p>
    <w:p>
      <w:pPr>
        <w:jc w:val="right"/>
      </w:pPr>
      <w:r>
        <w:rPr>
          <w:rFonts w:ascii="Times New Roman" w:hAnsi="Times New Roman"/>
          <w:sz w:val="24"/>
          <w:u w:val="single"/>
        </w:rPr>
        <w:t>от 1 Мая 2020 г.</w:t>
      </w:r>
    </w:p>
    <w:p>
      <w:pPr>
        <w:jc w:val="center"/>
      </w:pPr>
      <w:r>
        <w:rPr>
          <w:rFonts w:ascii="Times New Roman" w:hAnsi="Times New Roman"/>
          <w:sz w:val="24"/>
        </w:rPr>
        <w:t>За Апрель месяц 2020 года</w:t>
      </w:r>
    </w:p>
    <w:p>
      <w:pPr>
        <w:jc w:val="left"/>
      </w:pPr>
      <w:r>
        <w:rPr>
          <w:rFonts w:ascii="Times New Roman" w:hAnsi="Times New Roman"/>
          <w:sz w:val="24"/>
        </w:rPr>
        <w:t>Принято всего 40,641 тыс. н.м.³, в том числе за каждые сутки месяца: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Дата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Суточный договорной объем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Максимальный суточный объем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Фактический объем принятого газа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Перерасход газа за каждые сутки от максимального суточного объема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13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14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15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16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17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18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19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20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21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22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23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24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25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26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27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28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29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30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31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2,310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