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0E3BBF22">
      <w:pPr>
        <w:pStyle w:val="2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Thread - Util 暂停当前线程依赖库（线程操作依赖库）</w:t>
      </w:r>
    </w:p>
    <w:p w14:paraId="70B88143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概述</w:t>
      </w:r>
    </w:p>
    <w:p w14:paraId="05E0958E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6"/>
          <w:color w:val="333333"/>
        </w:rPr>
        <w:t>Thread - Util</w:t>
      </w:r>
      <w:r>
        <w:rPr>
          <w:rFonts w:ascii="Helvetica Neue" w:hAnsi="Helvetica Neue" w:eastAsia="Helvetica Neue" w:cs="Helvetica Neue"/>
          <w:color w:val="333333"/>
          <w:sz w:val="28"/>
          <w:szCs w:val="28"/>
        </w:rPr>
        <w:t xml:space="preserve"> 是一个基于 Java 的线程操作工具库，提供了线程暂停、等待、唤醒等常用操作的简单封装。这个库旨在简化多线程编程中的常见操作，提高代码的可读性和可维护性。</w:t>
      </w:r>
    </w:p>
    <w:p w14:paraId="78CE0883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主要方法</w:t>
      </w:r>
    </w:p>
    <w:p w14:paraId="49649250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1、</w:t>
      </w:r>
      <w:r>
        <w:rPr>
          <w:color w:val="333333"/>
        </w:rPr>
        <w:t>threadSleep</w:t>
      </w:r>
    </w:p>
    <w:p w14:paraId="1B7F41F3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使当前线程暂停执行指定的时间。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91"/>
        <w:gridCol w:w="1113"/>
        <w:gridCol w:w="3000"/>
        <w:gridCol w:w="1600"/>
      </w:tblGrid>
      <w:tr w14:paraId="37FD8A95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3783B32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37C0920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B0B89AA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0AFA48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2E899627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04AEEAB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millisecond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C5E8AC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Long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0187E1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暂停的时间（毫秒）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0EBEA5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746D5ECE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1C21785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true：线程成功暂停指定时间</w:t>
      </w:r>
    </w:p>
    <w:p w14:paraId="6FAA383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false：暂停失败（输入无效或线程被中断）</w:t>
      </w:r>
    </w:p>
    <w:p w14:paraId="4C8202F4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428E549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如果线程在睡眠期间被中断，会捕获 </w:t>
      </w:r>
      <w:r>
        <w:rPr>
          <w:rStyle w:val="16"/>
          <w:color w:val="333333"/>
        </w:rPr>
        <w:t>InterruptedException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异常，记录错误日志，重新设置线程的中断状态，并返回 false。</w:t>
      </w:r>
    </w:p>
    <w:p w14:paraId="358E6E10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注意事项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48E92EB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输入必须为正数，否则会记录错误日志并返回 false。</w:t>
      </w:r>
    </w:p>
    <w:p w14:paraId="7A0AE93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在需要精确定时的场景下可能不够准确。</w:t>
      </w:r>
    </w:p>
    <w:p w14:paraId="31AEF2B7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2、</w:t>
      </w:r>
      <w:r>
        <w:rPr>
          <w:color w:val="333333"/>
        </w:rPr>
        <w:t>waitThread</w:t>
      </w:r>
    </w:p>
    <w:p w14:paraId="0C103289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使当前线程在指定的锁对象上等待，直到被其他线程唤醒。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222"/>
        <w:gridCol w:w="3000"/>
        <w:gridCol w:w="1600"/>
      </w:tblGrid>
      <w:tr w14:paraId="790ADC19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C7B89A8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8FDD68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129F3E3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F0335A7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1834BACD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2BFFF78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lock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04C1395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47F319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用作锁对象的字符串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0705771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00B54C90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78179ED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true：线程成功被唤醒</w:t>
      </w:r>
    </w:p>
    <w:p w14:paraId="236EB54F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false：等待过程中发生错误（如线程被中断）</w:t>
      </w:r>
    </w:p>
    <w:p w14:paraId="4EBBA957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00C04E9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如果等待过程中线程被中断，会捕获 </w:t>
      </w:r>
      <w:r>
        <w:rPr>
          <w:rStyle w:val="16"/>
          <w:color w:val="333333"/>
        </w:rPr>
        <w:t>InterruptedException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异常，记录错误日志，重新设置线程的中断状态，并返回 false。</w:t>
      </w:r>
    </w:p>
    <w:p w14:paraId="0C79AFB1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注意事项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  <w:bookmarkStart w:id="0" w:name="_GoBack"/>
      <w:bookmarkEnd w:id="0"/>
    </w:p>
    <w:p w14:paraId="209ED44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lock 不能为 null 或空字符串，否则会记录错误日志并返回 false。</w:t>
      </w:r>
    </w:p>
    <w:p w14:paraId="0CD2503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使用 </w:t>
      </w:r>
      <w:r>
        <w:rPr>
          <w:rStyle w:val="16"/>
          <w:color w:val="333333"/>
        </w:rPr>
        <w:t>String.intern()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确保不同的字符串实例指向同一个锁对象。</w:t>
      </w:r>
    </w:p>
    <w:p w14:paraId="1226B5FA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必须在 synchronized 块中调用此方法，否则会抛出 </w:t>
      </w:r>
      <w:r>
        <w:rPr>
          <w:rStyle w:val="16"/>
          <w:color w:val="333333"/>
        </w:rPr>
        <w:t>IllegalMonitorStateException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。</w:t>
      </w:r>
    </w:p>
    <w:p w14:paraId="1D29549E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3、</w:t>
      </w:r>
      <w:r>
        <w:rPr>
          <w:color w:val="333333"/>
        </w:rPr>
        <w:t>waitThreadWithTimeout</w:t>
      </w:r>
    </w:p>
    <w:p w14:paraId="2D384E6B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使当前线程在指定的锁对象上等待，直到被唤醒或超时。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25"/>
        <w:gridCol w:w="1222"/>
        <w:gridCol w:w="3000"/>
        <w:gridCol w:w="1600"/>
      </w:tblGrid>
      <w:tr w14:paraId="175B2B61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CA02540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0283603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91C837B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5EE92F2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4A7A0BD6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DDC97FD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lock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ECBEF6A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BE5EA8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用作锁对象的字符串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48C25C7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  <w:tr w14:paraId="415C7EEE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3157B6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timeout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18D5894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Long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D9AE40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超时时间（毫秒）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A531C02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5FAEAAAE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450CAC4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true：线程被唤醒或达到超时时间</w:t>
      </w:r>
    </w:p>
    <w:p w14:paraId="5384025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false：等待过程中发生错误（如线程被中断）</w:t>
      </w:r>
    </w:p>
    <w:p w14:paraId="4E56E13F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670C204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如果等待过程中线程被中断，会捕获 </w:t>
      </w:r>
      <w:r>
        <w:rPr>
          <w:rStyle w:val="16"/>
          <w:color w:val="333333"/>
        </w:rPr>
        <w:t>InterruptedException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异常，记录错误日志，重新设置线程的中断状态，并返回 false。</w:t>
      </w:r>
    </w:p>
    <w:p w14:paraId="5AACBB49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注意事项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2D32CA12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lock 不能为 null 或空字符串，timeout 不能为负数，否则会记录错误日志并返回 false。</w:t>
      </w:r>
    </w:p>
    <w:p w14:paraId="6BCD230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使用 </w:t>
      </w:r>
      <w:r>
        <w:rPr>
          <w:rStyle w:val="16"/>
          <w:color w:val="333333"/>
        </w:rPr>
        <w:t>String.intern()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确保不同的字符串实例指向同一个锁对象。</w:t>
      </w:r>
    </w:p>
    <w:p w14:paraId="7E6793A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必须在 synchronized 块中调用此方法，否则会抛出 </w:t>
      </w:r>
      <w:r>
        <w:rPr>
          <w:rStyle w:val="16"/>
          <w:color w:val="333333"/>
        </w:rPr>
        <w:t>IllegalMonitorStateException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。</w:t>
      </w:r>
    </w:p>
    <w:p w14:paraId="0F1F177E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4、</w:t>
      </w:r>
      <w:r>
        <w:rPr>
          <w:color w:val="333333"/>
        </w:rPr>
        <w:t>notifyThread</w:t>
      </w:r>
    </w:p>
    <w:p w14:paraId="61090DE3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唤醒在指定锁对象上等待的单个线程。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222"/>
        <w:gridCol w:w="3000"/>
        <w:gridCol w:w="1600"/>
      </w:tblGrid>
      <w:tr w14:paraId="49A6727B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6EE5DB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3C85F49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509ABDE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2B49485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44C1E159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DE7BDB1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lock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3F039F4F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7B1E3A65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用作锁对象的字符串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D427F56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1CD378FE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3765AB6A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true：成功唤醒一个等待的线程</w:t>
      </w:r>
    </w:p>
    <w:p w14:paraId="02B745BF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false：唤醒过程中发生错误</w:t>
      </w:r>
    </w:p>
    <w:p w14:paraId="0B84AADF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191471CF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如果当前线程不持有锁，会捕获 </w:t>
      </w:r>
      <w:r>
        <w:rPr>
          <w:rStyle w:val="16"/>
          <w:color w:val="333333"/>
        </w:rPr>
        <w:t>IllegalMonitorStateException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异常，记录错误日志，并返回 false。</w:t>
      </w:r>
    </w:p>
    <w:p w14:paraId="48D1F8D0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注意事项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7023190E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lock 不能为 null 或空字符串，否则会记录错误日志并返回 false。</w:t>
      </w:r>
    </w:p>
    <w:p w14:paraId="5164A2DB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使用 </w:t>
      </w:r>
      <w:r>
        <w:rPr>
          <w:rStyle w:val="16"/>
          <w:color w:val="333333"/>
        </w:rPr>
        <w:t>String.intern()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确保不同的字符串实例指向同一个锁对象。</w:t>
      </w:r>
    </w:p>
    <w:p w14:paraId="60E48890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必须在 synchronized 块中调用此方法，否则会抛出 </w:t>
      </w:r>
      <w:r>
        <w:rPr>
          <w:rStyle w:val="16"/>
          <w:color w:val="333333"/>
        </w:rPr>
        <w:t>IllegalMonitorStateException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。</w:t>
      </w:r>
    </w:p>
    <w:p w14:paraId="0D961B97">
      <w:pPr>
        <w:pStyle w:val="4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eastAsia"/>
          <w:color w:val="333333"/>
          <w:lang w:val="en-US" w:eastAsia="zh-CN"/>
        </w:rPr>
        <w:t>5、</w:t>
      </w:r>
      <w:r>
        <w:rPr>
          <w:color w:val="333333"/>
        </w:rPr>
        <w:t>notifyAllThreads</w:t>
      </w:r>
    </w:p>
    <w:p w14:paraId="4C2AB65E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唤醒在指定锁对象上等待的所有线程。</w:t>
      </w:r>
    </w:p>
    <w:tbl>
      <w:tblPr>
        <w:tblStyle w:val="10"/>
        <w:tblW w:w="0" w:type="auto"/>
        <w:tblInd w:w="4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0"/>
        <w:gridCol w:w="1222"/>
        <w:gridCol w:w="3000"/>
        <w:gridCol w:w="1600"/>
      </w:tblGrid>
      <w:tr w14:paraId="3E31A1F1">
        <w:trPr>
          <w:tblHeader/>
        </w:trPr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AA790E3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参数名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26F3489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类型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C57E76F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描述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3A58FC7">
            <w:pPr>
              <w:keepNext w:val="0"/>
              <w:keepLines w:val="0"/>
              <w:widowControl/>
              <w:suppressLineNumbers w:val="0"/>
              <w:spacing w:line="29" w:lineRule="atLeast"/>
              <w:jc w:val="center"/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color w:val="333333"/>
                <w:sz w:val="28"/>
                <w:szCs w:val="28"/>
              </w:rPr>
              <w:t>是否必填</w:t>
            </w:r>
          </w:p>
        </w:tc>
      </w:tr>
      <w:tr w14:paraId="2F35DEEB"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408A23DB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lock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55456E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String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BD08C0B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用作锁对象的字符串</w:t>
            </w:r>
          </w:p>
        </w:tc>
        <w:tc>
          <w:tcPr>
            <w:tcW w:w="0" w:type="auto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F5D2C9C">
            <w:pPr>
              <w:keepNext w:val="0"/>
              <w:keepLines w:val="0"/>
              <w:widowControl/>
              <w:suppressLineNumbers w:val="0"/>
              <w:spacing w:line="29" w:lineRule="atLeast"/>
              <w:jc w:val="left"/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</w:pPr>
            <w:r>
              <w:rPr>
                <w:rFonts w:hint="default" w:ascii="Helvetica Neue" w:hAnsi="Helvetica Neue" w:eastAsia="Helvetica Neue" w:cs="Helvetica Neue"/>
                <w:color w:val="333333"/>
                <w:sz w:val="28"/>
                <w:szCs w:val="28"/>
              </w:rPr>
              <w:t>是</w:t>
            </w:r>
          </w:p>
        </w:tc>
      </w:tr>
    </w:tbl>
    <w:p w14:paraId="553F7CB3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返回值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：Boolean</w:t>
      </w:r>
    </w:p>
    <w:p w14:paraId="52023E7E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true：成功唤醒所有等待的线程</w:t>
      </w:r>
    </w:p>
    <w:p w14:paraId="107B67EE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false：唤醒过程中发生错误</w:t>
      </w:r>
    </w:p>
    <w:p w14:paraId="7040E5DD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异常处理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5AAADC90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如果当前线程不持有锁，会捕获 </w:t>
      </w:r>
      <w:r>
        <w:rPr>
          <w:rStyle w:val="16"/>
          <w:color w:val="333333"/>
        </w:rPr>
        <w:t>IllegalMonitorStateException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异常，记录错误日志，并返回 false。</w:t>
      </w:r>
    </w:p>
    <w:p w14:paraId="7EE06FCF">
      <w:pPr>
        <w:pStyle w:val="9"/>
        <w:keepNext w:val="0"/>
        <w:keepLines w:val="0"/>
        <w:widowControl/>
        <w:suppressLineNumbers w:val="0"/>
        <w:spacing w:line="29" w:lineRule="atLeast"/>
        <w:ind w:left="400"/>
      </w:pPr>
      <w:r>
        <w:rPr>
          <w:rStyle w:val="12"/>
          <w:rFonts w:hint="default" w:ascii="Helvetica Neue" w:hAnsi="Helvetica Neue" w:eastAsia="Helvetica Neue" w:cs="Helvetica Neue"/>
          <w:b/>
          <w:bCs/>
          <w:color w:val="333333"/>
          <w:sz w:val="28"/>
          <w:szCs w:val="28"/>
        </w:rPr>
        <w:t>注意事项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：</w:t>
      </w:r>
    </w:p>
    <w:p w14:paraId="1B4C694C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lock 不能为 null 或空字符串，否则会记录错误日志并返回 false。</w:t>
      </w:r>
    </w:p>
    <w:p w14:paraId="0D176FFF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使用 </w:t>
      </w:r>
      <w:r>
        <w:rPr>
          <w:rStyle w:val="16"/>
          <w:color w:val="333333"/>
        </w:rPr>
        <w:t>String.intern()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确保不同的字符串实例指向同一个锁对象。</w:t>
      </w:r>
    </w:p>
    <w:p w14:paraId="24F74F03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必须在 synchronized 块中调用此方法，否则会抛出 </w:t>
      </w:r>
      <w:r>
        <w:rPr>
          <w:rStyle w:val="16"/>
          <w:color w:val="333333"/>
        </w:rPr>
        <w:t>IllegalMonitorStateException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。</w:t>
      </w:r>
    </w:p>
    <w:p w14:paraId="3AC81B9A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使用步骤说明</w:t>
      </w:r>
    </w:p>
    <w:p w14:paraId="62892A6D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在您的项目中引入 Thread - Util 依赖库。</w:t>
      </w:r>
    </w:p>
    <w:p w14:paraId="1CC927D5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在需要使用线程操作的地方，调用相应的方法。</w:t>
      </w:r>
    </w:p>
    <w:p w14:paraId="5F718E62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检查返回的布尔值以确定操作是否成功。</w:t>
      </w:r>
    </w:p>
    <w:p w14:paraId="435D8E14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根据需要处理可能的异常情况。</w:t>
      </w:r>
    </w:p>
    <w:p w14:paraId="184B1A18">
      <w:pPr>
        <w:pStyle w:val="3"/>
        <w:keepNext w:val="0"/>
        <w:keepLines w:val="0"/>
        <w:widowControl/>
        <w:suppressLineNumbers w:val="0"/>
        <w:spacing w:line="29" w:lineRule="atLeast"/>
        <w:ind w:left="400"/>
      </w:pPr>
      <w:r>
        <w:rPr>
          <w:color w:val="333333"/>
        </w:rPr>
        <w:t>使用示例</w:t>
      </w:r>
    </w:p>
    <w:p w14:paraId="01CCAED2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下载依赖库后，应用引用依赖库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F46A6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887845" cy="4400550"/>
            <wp:effectExtent l="0" t="0" r="20955" b="19050"/>
            <wp:docPr id="12" name="图片 1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BCDD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在需要使用线程操作的地方，调用相应的方法。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83739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930390" cy="2383790"/>
            <wp:effectExtent l="0" t="0" r="3810" b="3810"/>
            <wp:docPr id="13" name="图片 19" descr="im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img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F64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7178040" cy="3106420"/>
            <wp:effectExtent l="0" t="0" r="10160" b="17780"/>
            <wp:docPr id="14" name="图片 20" descr="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0398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点击按钮调用threadSleep方法，让当前线程暂停5000毫秒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46C97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0478770" cy="3557270"/>
            <wp:effectExtent l="0" t="0" r="11430" b="24130"/>
            <wp:docPr id="15" name="图片 21" descr="img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 descr="img_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7877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1418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调用结果：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22282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0523220" cy="3449955"/>
            <wp:effectExtent l="0" t="0" r="17780" b="4445"/>
            <wp:docPr id="16" name="图片 22" descr="img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img_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232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9266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点击按钮调用waitThread方法,让线程进入等待状态，直到另一个线程调用该对象的 notifyThread() 或 notifyAllThreads() 方法为止。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E174D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0868660" cy="3859530"/>
            <wp:effectExtent l="0" t="0" r="2540" b="1270"/>
            <wp:docPr id="17" name="图片 23" descr="img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img_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6866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A7A3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点击按钮调用waitThreadWithTimeout方法,让线程进入等待状态，直到另一个线程调用该对象的 notifyThread() 或 notifyAllThreads() 方法或者超时时间到期为止。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B081E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0929620" cy="4556760"/>
            <wp:effectExtent l="0" t="0" r="17780" b="15240"/>
            <wp:docPr id="18" name="图片 24" descr="img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 descr="img_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296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8F94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hanging="360"/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调用notifyThread方法,对象的等待队列中等待的单个线程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53C50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1169015" cy="4062730"/>
            <wp:effectExtent l="0" t="0" r="6985" b="1270"/>
            <wp:docPr id="19" name="图片 25" descr="img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 descr="img_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6901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589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1071225" cy="4870450"/>
            <wp:effectExtent l="0" t="0" r="3175" b="6350"/>
            <wp:docPr id="20" name="图片 27" descr="img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img_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71225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88B3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9" w:lineRule="atLeast"/>
        <w:ind w:left="1120" w:leftChars="0" w:hanging="360" w:firstLineChars="0"/>
        <w:rPr>
          <w:rFonts w:hint="default" w:ascii="Helvetica Neue" w:hAnsi="Helvetica Neue" w:eastAsia="Helvetica Neue" w:cs="Helvetica Neue"/>
          <w:color w:val="333333"/>
          <w:sz w:val="28"/>
          <w:szCs w:val="28"/>
        </w:rPr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>调用notifyAllThreads方法,唤醒在对象的等待队列中等待的所有线程</w:t>
      </w:r>
    </w:p>
    <w:p w14:paraId="667A0E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default" w:ascii="Helvetica Neue" w:hAnsi="Helvetica Neue" w:eastAsia="Helvetica Neue" w:cs="Helvetica Neue"/>
          <w:color w:val="333333"/>
          <w:sz w:val="28"/>
          <w:szCs w:val="28"/>
        </w:rPr>
      </w:pP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9754870" cy="4596130"/>
            <wp:effectExtent l="0" t="0" r="24130" b="1270"/>
            <wp:docPr id="21" name="图片 28" descr="img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 descr="img_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5487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t xml:space="preserve"> </w:t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color w:val="333333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4D5AE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  <w:ind w:left="760" w:leftChars="0"/>
        <w:rPr>
          <w:rFonts w:hint="eastAsia" w:ascii="Helvetica Neue" w:hAnsi="Helvetica Neue" w:eastAsia="宋体" w:cs="Helvetica Neue"/>
          <w:color w:val="333333"/>
          <w:sz w:val="28"/>
          <w:szCs w:val="28"/>
          <w:lang w:eastAsia="zh-CN"/>
        </w:rPr>
      </w:pPr>
      <w:r>
        <w:rPr>
          <w:rFonts w:hint="eastAsia" w:ascii="Helvetica Neue" w:hAnsi="Helvetica Neue" w:eastAsia="宋体" w:cs="Helvetica Neue"/>
          <w:color w:val="333333"/>
          <w:sz w:val="28"/>
          <w:szCs w:val="28"/>
          <w:lang w:eastAsia="zh-CN"/>
        </w:rPr>
        <w:drawing>
          <wp:inline distT="0" distB="0" distL="114300" distR="114300">
            <wp:extent cx="10344150" cy="5605780"/>
            <wp:effectExtent l="0" t="0" r="0" b="0"/>
            <wp:docPr id="22" name="图片 30" descr="img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0" descr="img_10"/>
                    <pic:cNvPicPr>
                      <a:picLocks noChangeAspect="1"/>
                    </pic:cNvPicPr>
                  </pic:nvPicPr>
                  <pic:blipFill>
                    <a:blip r:embed="rId14"/>
                    <a:srcRect t="12246" r="7311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0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8AD0">
      <w:pPr>
        <w:pStyle w:val="3"/>
        <w:keepNext w:val="0"/>
        <w:keepLines w:val="0"/>
        <w:widowControl/>
        <w:suppressLineNumbers w:val="0"/>
        <w:spacing w:line="29" w:lineRule="atLeast"/>
        <w:ind w:left="1120"/>
      </w:pPr>
      <w:r>
        <w:rPr>
          <w:color w:val="333333"/>
        </w:rPr>
        <w:t>应用演示链接</w:t>
      </w:r>
    </w:p>
    <w:p w14:paraId="26F8579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9" w:lineRule="atLeast"/>
      </w:pPr>
      <w:r>
        <w:rPr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instrText xml:space="preserve"> HYPERLINK "https://dev-testapp-wanggexin.app.codewave.163.com/threadUtilTest" </w:instrText>
      </w:r>
      <w:r>
        <w:rPr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fldChar w:fldCharType="separate"/>
      </w:r>
      <w:r>
        <w:rPr>
          <w:rStyle w:val="15"/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t>https://dev-testapp-wanggexin.app.codewave.163.com/threadUtilTest</w:t>
      </w:r>
      <w:r>
        <w:rPr>
          <w:rFonts w:hint="default" w:ascii="Helvetica Neue" w:hAnsi="Helvetica Neue" w:eastAsia="Helvetica Neue" w:cs="Helvetica Neue"/>
          <w:color w:val="428BCA"/>
          <w:sz w:val="28"/>
          <w:szCs w:val="28"/>
          <w:u w:val="none"/>
        </w:rPr>
        <w:fldChar w:fldCharType="end"/>
      </w:r>
    </w:p>
    <w:sectPr>
      <w:pgSz w:w="11906" w:h="16839"/>
      <w:pgMar w:top="1440" w:right="1800" w:bottom="1440" w:left="180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BA6BE5"/>
    <w:multiLevelType w:val="multilevel"/>
    <w:tmpl w:val="8CBA6BE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BFCB820"/>
    <w:multiLevelType w:val="multilevel"/>
    <w:tmpl w:val="ABFCB8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FEF845D"/>
    <w:multiLevelType w:val="multilevel"/>
    <w:tmpl w:val="AFEF84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27D3AA4"/>
    <w:multiLevelType w:val="multilevel"/>
    <w:tmpl w:val="B27D3A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BEEA65D"/>
    <w:multiLevelType w:val="multilevel"/>
    <w:tmpl w:val="BBEEA6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D2E96582"/>
    <w:multiLevelType w:val="multilevel"/>
    <w:tmpl w:val="D2E965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BEFD7EC"/>
    <w:multiLevelType w:val="multilevel"/>
    <w:tmpl w:val="EBEFD7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EF77B3F6"/>
    <w:multiLevelType w:val="multilevel"/>
    <w:tmpl w:val="EF77B3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EFCAD812"/>
    <w:multiLevelType w:val="multilevel"/>
    <w:tmpl w:val="EFCAD8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EFD62C3B"/>
    <w:multiLevelType w:val="multilevel"/>
    <w:tmpl w:val="EFD62C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F3AA52C8"/>
    <w:multiLevelType w:val="multilevel"/>
    <w:tmpl w:val="F3AA52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FBBEAD5F"/>
    <w:multiLevelType w:val="multilevel"/>
    <w:tmpl w:val="FBBEAD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FBEE3C7F"/>
    <w:multiLevelType w:val="multilevel"/>
    <w:tmpl w:val="FBEE3C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FCBFD70D"/>
    <w:multiLevelType w:val="multilevel"/>
    <w:tmpl w:val="FCBFD7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FF944A28"/>
    <w:multiLevelType w:val="multilevel"/>
    <w:tmpl w:val="FF944A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61E6F111"/>
    <w:multiLevelType w:val="multilevel"/>
    <w:tmpl w:val="61E6F1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73BE6F51"/>
    <w:multiLevelType w:val="multilevel"/>
    <w:tmpl w:val="73BE6F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12"/>
  </w:num>
  <w:num w:numId="3">
    <w:abstractNumId w:val="7"/>
  </w:num>
  <w:num w:numId="4">
    <w:abstractNumId w:val="1"/>
  </w:num>
  <w:num w:numId="5">
    <w:abstractNumId w:val="4"/>
  </w:num>
  <w:num w:numId="6">
    <w:abstractNumId w:val="14"/>
  </w:num>
  <w:num w:numId="7">
    <w:abstractNumId w:val="2"/>
  </w:num>
  <w:num w:numId="8">
    <w:abstractNumId w:val="13"/>
  </w:num>
  <w:num w:numId="9">
    <w:abstractNumId w:val="10"/>
  </w:num>
  <w:num w:numId="10">
    <w:abstractNumId w:val="8"/>
  </w:num>
  <w:num w:numId="11">
    <w:abstractNumId w:val="6"/>
  </w:num>
  <w:num w:numId="12">
    <w:abstractNumId w:val="16"/>
  </w:num>
  <w:num w:numId="13">
    <w:abstractNumId w:val="5"/>
  </w:num>
  <w:num w:numId="14">
    <w:abstractNumId w:val="11"/>
  </w:num>
  <w:num w:numId="15">
    <w:abstractNumId w:val="3"/>
  </w:num>
  <w:num w:numId="16">
    <w:abstractNumId w:val="1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ZmOGRhMmM4MWQyNTlhOGM0OTgyMWM3ZDMxOWE2N2YifQ=="/>
  </w:docVars>
  <w:rsids>
    <w:rsidRoot w:val="00000000"/>
    <w:rsid w:val="17FF046F"/>
    <w:rsid w:val="1CEF9033"/>
    <w:rsid w:val="3A7F7260"/>
    <w:rsid w:val="3E9BFC2A"/>
    <w:rsid w:val="5EB9C5FF"/>
    <w:rsid w:val="7F9B40A2"/>
    <w:rsid w:val="7FE7D668"/>
    <w:rsid w:val="BE6FB6F1"/>
    <w:rsid w:val="FBDFE607"/>
    <w:rsid w:val="FCB6C55B"/>
    <w:rsid w:val="FFEF08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EastAsia" w:hAnsiTheme="minorEastAsia" w:eastAsiaTheme="minorEastAsia" w:cstheme="minorEastAsia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141" w:beforeAutospacing="0" w:after="141" w:afterAutospacing="0"/>
      <w:ind w:left="0" w:right="0"/>
      <w:jc w:val="left"/>
    </w:pPr>
    <w:rPr>
      <w:rFonts w:hint="eastAsia" w:ascii="宋体" w:hAnsi="宋体" w:eastAsia="宋体" w:cs="宋体"/>
      <w:b/>
      <w:bCs/>
      <w:kern w:val="44"/>
      <w:sz w:val="42"/>
      <w:szCs w:val="42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pBdr>
        <w:top w:val="single" w:color="CCCCCC" w:sz="8" w:space="8"/>
        <w:left w:val="single" w:color="CCCCCC" w:sz="8" w:space="30"/>
        <w:bottom w:val="single" w:color="CCCCCC" w:sz="8" w:space="8"/>
        <w:right w:val="single" w:color="CCCCCC" w:sz="8" w:space="0"/>
      </w:pBdr>
      <w:shd w:val="clear" w:fill="DDDDD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default" w:ascii="monospace" w:hAnsi="monospace" w:eastAsia="monospace" w:cs="monospace"/>
      <w:kern w:val="0"/>
      <w:sz w:val="21"/>
      <w:szCs w:val="21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  <w:bCs/>
    </w:rPr>
  </w:style>
  <w:style w:type="character" w:styleId="13">
    <w:name w:val="FollowedHyperlink"/>
    <w:basedOn w:val="11"/>
    <w:uiPriority w:val="0"/>
    <w:rPr>
      <w:color w:val="428BCA"/>
      <w:u w:val="none"/>
    </w:rPr>
  </w:style>
  <w:style w:type="character" w:styleId="14">
    <w:name w:val="HTML Definition"/>
    <w:basedOn w:val="11"/>
    <w:uiPriority w:val="0"/>
    <w:rPr>
      <w:i/>
      <w:iCs/>
    </w:rPr>
  </w:style>
  <w:style w:type="character" w:styleId="15">
    <w:name w:val="Hyperlink"/>
    <w:basedOn w:val="11"/>
    <w:uiPriority w:val="0"/>
    <w:rPr>
      <w:b/>
      <w:bCs/>
      <w:color w:val="428BCA"/>
      <w:u w:val="none"/>
    </w:rPr>
  </w:style>
  <w:style w:type="character" w:styleId="16">
    <w:name w:val="HTML Code"/>
    <w:basedOn w:val="11"/>
    <w:uiPriority w:val="0"/>
    <w:rPr>
      <w:rFonts w:hint="default" w:ascii="Monaco" w:hAnsi="Monaco" w:eastAsia="Monaco" w:cs="Monaco"/>
      <w:sz w:val="21"/>
      <w:szCs w:val="21"/>
    </w:rPr>
  </w:style>
  <w:style w:type="character" w:styleId="17">
    <w:name w:val="HTML Keyboard"/>
    <w:basedOn w:val="11"/>
    <w:uiPriority w:val="0"/>
    <w:rPr>
      <w:rFonts w:hint="default" w:ascii="monospace" w:hAnsi="monospace" w:eastAsia="monospace" w:cs="monospace"/>
      <w:sz w:val="21"/>
      <w:szCs w:val="21"/>
    </w:rPr>
  </w:style>
  <w:style w:type="character" w:styleId="18">
    <w:name w:val="HTML Sample"/>
    <w:basedOn w:val="11"/>
    <w:uiPriority w:val="0"/>
    <w:rPr>
      <w:rFonts w:ascii="monospace" w:hAnsi="monospace" w:eastAsia="monospace" w:cs="monospace"/>
      <w:sz w:val="21"/>
      <w:szCs w:val="21"/>
    </w:rPr>
  </w:style>
  <w:style w:type="paragraph" w:customStyle="1" w:styleId="19">
    <w:name w:val="hljs-dartdoc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0">
    <w:name w:val="hljs-status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1">
    <w:name w:val="css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22">
    <w:name w:val="hljs-yardoctag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3">
    <w:name w:val="smartquote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24">
    <w:name w:val="hljs-label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25">
    <w:name w:val="hljs-request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6">
    <w:name w:val="hljs-id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7">
    <w:name w:val="hljs-strong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28">
    <w:name w:val="hljs-deletion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29">
    <w:name w:val="hljs-doctype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30">
    <w:name w:val="vbscript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31">
    <w:name w:val="hljs-pseudo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32">
    <w:name w:val="hljs-winutils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33">
    <w:name w:val="hljs-typename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34">
    <w:name w:val="hljs-decorator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35">
    <w:name w:val="hljs-command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36">
    <w:name w:val="hljs-string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37">
    <w:name w:val="hljs-string2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38">
    <w:name w:val="hljs-string4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39">
    <w:name w:val="hljs-javadoctag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40">
    <w:name w:val="hljs-date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41">
    <w:name w:val="hljs-phpdoc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42">
    <w:name w:val="hljs-function_or_atom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43">
    <w:name w:val="hljs-stream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44">
    <w:name w:val="hljs-localvars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45">
    <w:name w:val="javascript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46">
    <w:name w:val="javascript2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47">
    <w:name w:val="hljs-addition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48">
    <w:name w:val="xml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49">
    <w:name w:val="hljs-special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50">
    <w:name w:val="hljs-hexcolor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51">
    <w:name w:val="hljs-flow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52">
    <w:name w:val="hljs-annotation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53">
    <w:name w:val="hljs-class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54">
    <w:name w:val="hljs-envvar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55">
    <w:name w:val="hljs-chunk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56">
    <w:name w:val="hljs-preprocessor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57">
    <w:name w:val="hljs-javadoc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58">
    <w:name w:val="hljs-symbol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59">
    <w:name w:val="hljs-symbol2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60">
    <w:name w:val="hljs-array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61">
    <w:name w:val="hljs-constant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62">
    <w:name w:val="hljs-constant2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63">
    <w:name w:val="hljs-sqbracke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64">
    <w:name w:val="hljs-link_label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65">
    <w:name w:val="hljs-type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66">
    <w:name w:val="hljs-comment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67">
    <w:name w:val="hljs-tag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68">
    <w:name w:val="hljs-tag2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69">
    <w:name w:val="hljs-property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0">
    <w:name w:val="hljs-change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71">
    <w:name w:val="markup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72">
    <w:name w:val="hljs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fill="F0F0F0"/>
      <w:jc w:val="left"/>
    </w:pPr>
    <w:rPr>
      <w:rFonts w:hint="default" w:ascii="Monaco" w:hAnsi="Monaco" w:eastAsia="Monaco" w:cs="Monaco"/>
      <w:color w:val="000000"/>
      <w:kern w:val="0"/>
      <w:lang w:val="en-US" w:eastAsia="zh-CN" w:bidi="ar"/>
    </w:rPr>
  </w:style>
  <w:style w:type="paragraph" w:customStyle="1" w:styleId="73">
    <w:name w:val="hljs-variable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74">
    <w:name w:val="hljs-variable2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75">
    <w:name w:val="hljs-variable5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76">
    <w:name w:val="hljs-phony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7">
    <w:name w:val="hljs-shebang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78">
    <w:name w:val="hljs-char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79">
    <w:name w:val="hljs-cbracket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80">
    <w:name w:val="hljs-template_tag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81">
    <w:name w:val="hljs-blockquote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82">
    <w:name w:val="hljs-reserved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83">
    <w:name w:val="hljs-pi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84">
    <w:name w:val="hljs-built_in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85">
    <w:name w:val="hljs-value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86">
    <w:name w:val="hljs-attr_selector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87">
    <w:name w:val="hljs-literal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88">
    <w:name w:val="hljs-promp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89">
    <w:name w:val="hljs-pragma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90">
    <w:name w:val="hljs-keyword"/>
    <w:basedOn w:val="1"/>
    <w:uiPriority w:val="0"/>
    <w:pPr>
      <w:jc w:val="left"/>
    </w:pPr>
    <w:rPr>
      <w:b/>
      <w:bCs/>
      <w:kern w:val="0"/>
      <w:lang w:val="en-US" w:eastAsia="zh-CN" w:bidi="ar"/>
    </w:rPr>
  </w:style>
  <w:style w:type="paragraph" w:customStyle="1" w:styleId="91">
    <w:name w:val="hljs-attribute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2">
    <w:name w:val="hljs-attribute2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93">
    <w:name w:val="hljs-attribute4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4">
    <w:name w:val="hljs-attribute6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5">
    <w:name w:val="hljs-attribute8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6">
    <w:name w:val="hljs-importan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7">
    <w:name w:val="hljs-argumen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98">
    <w:name w:val="hljs-subst"/>
    <w:basedOn w:val="1"/>
    <w:uiPriority w:val="0"/>
    <w:pPr>
      <w:jc w:val="left"/>
    </w:pPr>
    <w:rPr>
      <w:color w:val="000000"/>
      <w:kern w:val="0"/>
      <w:lang w:val="en-US" w:eastAsia="zh-CN" w:bidi="ar"/>
    </w:rPr>
  </w:style>
  <w:style w:type="paragraph" w:customStyle="1" w:styleId="99">
    <w:name w:val="hljs-emphasis"/>
    <w:basedOn w:val="1"/>
    <w:uiPriority w:val="0"/>
    <w:pPr>
      <w:jc w:val="left"/>
    </w:pPr>
    <w:rPr>
      <w:i/>
      <w:iCs/>
      <w:kern w:val="0"/>
      <w:lang w:val="en-US" w:eastAsia="zh-CN" w:bidi="ar"/>
    </w:rPr>
  </w:style>
  <w:style w:type="paragraph" w:customStyle="1" w:styleId="100">
    <w:name w:val="hljs-number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101">
    <w:name w:val="hljs-cdata"/>
    <w:basedOn w:val="1"/>
    <w:uiPriority w:val="0"/>
    <w:pPr>
      <w:jc w:val="left"/>
    </w:pPr>
    <w:rPr>
      <w:kern w:val="0"/>
      <w:lang w:val="en-US" w:eastAsia="zh-CN" w:bidi="ar"/>
    </w:rPr>
  </w:style>
  <w:style w:type="paragraph" w:customStyle="1" w:styleId="102">
    <w:name w:val="hljs-title"/>
    <w:basedOn w:val="1"/>
    <w:uiPriority w:val="0"/>
    <w:pPr>
      <w:jc w:val="left"/>
    </w:pPr>
    <w:rPr>
      <w:b/>
      <w:bCs/>
      <w:color w:val="880000"/>
      <w:kern w:val="0"/>
      <w:lang w:val="en-US" w:eastAsia="zh-CN" w:bidi="ar"/>
    </w:rPr>
  </w:style>
  <w:style w:type="paragraph" w:customStyle="1" w:styleId="103">
    <w:name w:val="hljs-title2"/>
    <w:basedOn w:val="1"/>
    <w:uiPriority w:val="0"/>
    <w:pPr>
      <w:jc w:val="left"/>
    </w:pPr>
    <w:rPr>
      <w:color w:val="000000"/>
      <w:kern w:val="0"/>
      <w:lang w:val="en-US" w:eastAsia="zh-CN" w:bidi="ar"/>
    </w:rPr>
  </w:style>
  <w:style w:type="paragraph" w:customStyle="1" w:styleId="104">
    <w:name w:val="hljs-title4"/>
    <w:basedOn w:val="1"/>
    <w:uiPriority w:val="0"/>
    <w:pPr>
      <w:jc w:val="left"/>
    </w:pPr>
    <w:rPr>
      <w:color w:val="000000"/>
      <w:kern w:val="0"/>
      <w:lang w:val="en-US" w:eastAsia="zh-CN" w:bidi="ar"/>
    </w:rPr>
  </w:style>
  <w:style w:type="paragraph" w:customStyle="1" w:styleId="105">
    <w:name w:val="hljs-formula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106">
    <w:name w:val="hljs-parent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107">
    <w:name w:val="hljs-regexp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108">
    <w:name w:val="hljs-link_url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109">
    <w:name w:val="hljs-bullet"/>
    <w:basedOn w:val="1"/>
    <w:uiPriority w:val="0"/>
    <w:pPr>
      <w:jc w:val="left"/>
    </w:pPr>
    <w:rPr>
      <w:color w:val="8888FF"/>
      <w:kern w:val="0"/>
      <w:lang w:val="en-US" w:eastAsia="zh-CN" w:bidi="ar"/>
    </w:rPr>
  </w:style>
  <w:style w:type="paragraph" w:customStyle="1" w:styleId="110">
    <w:name w:val="hljs-bullet2"/>
    <w:basedOn w:val="1"/>
    <w:uiPriority w:val="0"/>
    <w:pPr>
      <w:jc w:val="left"/>
    </w:pPr>
    <w:rPr>
      <w:color w:val="008800"/>
      <w:kern w:val="0"/>
      <w:lang w:val="en-US" w:eastAsia="zh-CN" w:bidi="ar"/>
    </w:rPr>
  </w:style>
  <w:style w:type="paragraph" w:customStyle="1" w:styleId="111">
    <w:name w:val="hljs-bullet4"/>
    <w:basedOn w:val="1"/>
    <w:uiPriority w:val="0"/>
    <w:pPr>
      <w:jc w:val="left"/>
    </w:pPr>
    <w:rPr>
      <w:b/>
      <w:bCs/>
      <w:i/>
      <w:iCs/>
      <w:color w:val="008800"/>
      <w:kern w:val="0"/>
      <w:lang w:val="en-US" w:eastAsia="zh-CN" w:bidi="ar"/>
    </w:rPr>
  </w:style>
  <w:style w:type="paragraph" w:customStyle="1" w:styleId="112">
    <w:name w:val="hljs-header"/>
    <w:basedOn w:val="1"/>
    <w:uiPriority w:val="0"/>
    <w:pPr>
      <w:jc w:val="left"/>
    </w:pPr>
    <w:rPr>
      <w:color w:val="888888"/>
      <w:kern w:val="0"/>
      <w:lang w:val="en-US" w:eastAsia="zh-CN" w:bidi="ar"/>
    </w:rPr>
  </w:style>
  <w:style w:type="paragraph" w:customStyle="1" w:styleId="113">
    <w:name w:val="hljs-header2"/>
    <w:basedOn w:val="1"/>
    <w:uiPriority w:val="0"/>
    <w:pPr>
      <w:jc w:val="left"/>
    </w:pPr>
    <w:rPr>
      <w:color w:val="880000"/>
      <w:kern w:val="0"/>
      <w:lang w:val="en-US" w:eastAsia="zh-CN" w:bidi="ar"/>
    </w:rPr>
  </w:style>
  <w:style w:type="paragraph" w:customStyle="1" w:styleId="114">
    <w:name w:val="hljs-header4"/>
    <w:basedOn w:val="1"/>
    <w:uiPriority w:val="0"/>
    <w:pPr>
      <w:jc w:val="left"/>
    </w:pPr>
    <w:rPr>
      <w:color w:val="880000"/>
      <w:kern w:val="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TotalTime>0</TotalTime>
  <ScaleCrop>false</ScaleCrop>
  <LinksUpToDate>false</LinksUpToDate>
  <Application>WPS Office_6.10.1.8873_F1E327BC-269C-435d-A152-05C5408002CA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2024-10-11T23:57:00Z</dcterms:created>
  <dc:creator>Data</dc:creator>
  <cp:lastModifiedBy>哏        ：</cp:lastModifiedBy>
  <dcterms:modified xsi:type="dcterms:W3CDTF">2024-10-11T00:20:12Z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51FF7FD5251315C02FFD07673CFB85B5_43</vt:lpwstr>
  </property>
</Properties>
</file>