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  <w:lang w:val="es-MX"/>
        </w:rPr>
        <w:t>Bloque C: Sanidad y manejo de la cebada maltera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Reto AgroCebada FIRA 2026, preparación de agronomía. Preparado el 20 de septiembre de 2026.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Marcas usadas en todo el documento: [V] verificado (texto completo leído y citado), [V-parcial] visto solo en un extracto, en un resumen de búsqueda o en un documento de otro país, [PV] por verificar, [CP] cálculo o razonamiento propio. Este bloque continúa el Bloque B (mismas etapas Zadoks y mismas fechas de siembra). En las hipótesis, el signo es la relación esperada con el rendimiento.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1. Enfermedades y plagas en Valles Altos</w:t>
      </w:r>
    </w:p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376"/>
        <w:gridCol w:w="5110"/>
        <w:gridCol w:w="2874"/>
      </w:tblGrid>
      <w:tr>
        <w:trPr>
          <w:cantSplit/>
          <w:tblHeader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Problema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Qué dicen las fuentes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Marca y fuente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Roya lineal amarilla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En Hidalgo fue severa desde 1988. Con la variedad Esmeralda (1992) y el control químico bajó hasta casi nula después del año 2000. Con Esmeralda y Adabella no se requiere control químico para royas.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[V] (Gómez Mercado, 2017)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Roya de la hoja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Pérdidas promedio de 20 a 30%, y hasta 30% si infecta temprano o llega a la hoja bandera; rara vez es devastadora. Se desarrolla entre 15 y 20 °C y necesita más de 6 horas de agua libre sobre la hoja.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[V] (González González et al., 2013, que cita a Jayasena y Loughman, 2005, y a Germán, 2007)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Manchas foliares (reticular, moteada y escaldadura)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Importantes en Hidalgo desde 1998. Control preventivo con mancozeb; si llegan a la hoja bandera, fungicida sistémico. Desde 2,500 msnm, con lluvia y humedad relativa altas, se recomienda fungicida porque estas manchas bajan la calidad del grano.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[V] (Gómez Mercado, 2017)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Pulgón ruso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Daño según la etapa: en plántula, muerte de la planta o hasta 65% de pérdida de peso; en macollo, hasta 42% de rendimiento; en encañe, espigas deformes sin grano; en floración y llenado no se detectó daño. Pulgones y gusano soldado aumentan con sequía.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[V] (Gómez Mercado, 2017)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Carbón volador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Se transmite por la semilla. Las espigas infectadas emergen antes que las sanas y la trilladora dispersa las esporas.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[V] (Gómez Mercado, 2017)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Fusariosis de la espiga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Afecta el rendimiento y la sanidad del grano de cebada, con acumulación de deoxinivalenol (DON).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[V-parcial] ("Evaluación de líneas de cebada maltera", 2019)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Enfermedades más frecuentes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Roya amarilla, roya de la hoja, mancha reticulada, tizón foliar y escaldadura de la hoja.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[V-parcial] ("Evaluación de líneas de cebada maltera", 2019)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Variedades tolerantes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Esmeralda: primera variedad mexicana para temporal con tolerancia a la roya lineal amarilla, tolerante a mancha reticular y escaldadura, moderadamente tolerante a roya de la hoja. Adabella: tolerante a roya lineal amarilla, roya de la hoja, mancha reticular y escaldadura.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[V-parcial] (CIMMYT, 2023; Zamora Díaz et al., 2008)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Momento del control químico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Tlaxcala: Manzate en amacolle y encañe, Folicur en embuche y espigamiento; el control oportuno es en embuche, ocho días antes de que aparezca la espiga. Hidalgo: royas en embuche a espigamiento; manchas foliares con una primera aplicación en encañe a embuche y una segunda en espigamiento a llenado. Puebla: mancozeb, o tebuconazol en embuche e inicio de floración.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[V] (Rojas Martínez y Zamora Díaz, 2017; Gómez Mercado, 2017; Ríos Sánchez, 2017)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Efecto del fungicida</w:t>
            </w:r>
          </w:p>
        </w:tc>
        <w:tc>
          <w:tcPr>
            <w:tcW w:type="dxa" w:w="51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Ensayo de CEVAMEX 2009 con Esmeralda (un sitio, un ciclo): los tratamientos efectivos subieron el rendimiento entre 2 y 12% frente al testigo sin aplicar; el flutriafol no controló la roya. Los autores no recomiendan aplicar al iniciar el llenado, porque podría influir en los parámetros de calidad, y señalan que en variedades tolerantes la aplicación no se justifica.</w:t>
            </w:r>
          </w:p>
        </w:tc>
        <w:tc>
          <w:tcPr>
            <w:tcW w:type="dxa" w:w="28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[V] (González González et al., 2013)</w:t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12"/>
          <w:lang w:val="es-MX"/>
        </w:rPr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2. Manejo recomendado por estado (Agendas Técnicas 2017)</w:t>
      </w:r>
    </w:p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00"/>
        <w:gridCol w:w="2821"/>
        <w:gridCol w:w="3267"/>
        <w:gridCol w:w="2172"/>
      </w:tblGrid>
      <w:tr>
        <w:trPr>
          <w:cantSplit/>
          <w:tblHeader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Tema</w:t>
            </w:r>
          </w:p>
        </w:tc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Tlaxcala (Rojas Martínez y Zamora Díaz, 2017)</w:t>
            </w:r>
          </w:p>
        </w:tc>
        <w:tc>
          <w:tcPr>
            <w:tcW w:type="dxa" w:w="32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Hidalgo (Gómez Mercado, 2017)</w:t>
            </w:r>
          </w:p>
        </w:tc>
        <w:tc>
          <w:tcPr>
            <w:tcW w:type="dxa" w:w="21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Puebla (Ríos Sánchez, 2017)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Variedades</w:t>
            </w:r>
          </w:p>
        </w:tc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Adabella y Esmeralda</w:t>
            </w:r>
          </w:p>
        </w:tc>
        <w:tc>
          <w:tcPr>
            <w:tcW w:type="dxa" w:w="32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Esmeralda y Adabella (Maravilla es forrajera). Esmeralda se adapta a los cuatro ambientes; Adabella rinde mejor en ambientes buenos</w:t>
            </w:r>
          </w:p>
        </w:tc>
        <w:tc>
          <w:tcPr>
            <w:tcW w:type="dxa" w:w="21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Esmeralda y "Anabella", que parece ser Adabella [PV]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Siembra</w:t>
            </w:r>
          </w:p>
        </w:tc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Al establecerse las lluvias, casi siempre en la primera semana de junio. Adabella: 20 de mayo a 20 de junio (ambientes muy buenos y buenos). Esmeralda: 10 a 30 de junio (medianos y bajos)</w:t>
            </w:r>
          </w:p>
        </w:tc>
        <w:tc>
          <w:tcPr>
            <w:tcW w:type="dxa" w:w="32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1 de mayo a 15 de junio (muy buena); 15 de mayo a 20 de junio (buena); 1 a 30 de junio (mediana y baja)</w:t>
            </w:r>
          </w:p>
        </w:tc>
        <w:tc>
          <w:tcPr>
            <w:tcW w:type="dxa" w:w="21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Sin fecha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N-P-K (kg/ha)</w:t>
            </w:r>
          </w:p>
        </w:tc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60-40-30, todo a la siembra</w:t>
            </w:r>
          </w:p>
        </w:tc>
        <w:tc>
          <w:tcPr>
            <w:tcW w:type="dxa" w:w="32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60-46-30 (muy buena); 46-46-30 (buena y mediana); en baja productividad, solo fertilizante foliar</w:t>
            </w:r>
          </w:p>
        </w:tc>
        <w:tc>
          <w:tcPr>
            <w:tcW w:type="dxa" w:w="21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87-46-30, todo a la siembra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Semilla (kg/ha)</w:t>
            </w:r>
          </w:p>
        </w:tc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100 a 120 en una hilera; 70 a 80 en dos o tres hileras</w:t>
            </w:r>
          </w:p>
        </w:tc>
        <w:tc>
          <w:tcPr>
            <w:tcW w:type="dxa" w:w="32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Adabella 80 a 90; Esmeralda 100 a 130, según suelo y método</w:t>
            </w:r>
          </w:p>
        </w:tc>
        <w:tc>
          <w:tcPr>
            <w:tcW w:type="dxa" w:w="21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100 a 130, según suelo y método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Rendimiento de referencia</w:t>
            </w:r>
          </w:p>
        </w:tc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Sin dato</w:t>
            </w:r>
          </w:p>
        </w:tc>
        <w:tc>
          <w:tcPr>
            <w:tcW w:type="dxa" w:w="32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2.705 t/ha estatal (2015)</w:t>
            </w:r>
          </w:p>
        </w:tc>
        <w:tc>
          <w:tcPr>
            <w:tcW w:type="dxa" w:w="21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3 t/ha en el paquete; más de 28,000 ha y casi 77,000 t dan cerca de 2.7 t/ha [CP]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Cosecha</w:t>
            </w:r>
          </w:p>
        </w:tc>
        <w:tc>
          <w:tcPr>
            <w:tcW w:type="dxa" w:w="28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Con 13 a 14% de humedad, 20 a 25 días después de la madurez</w:t>
            </w:r>
          </w:p>
        </w:tc>
        <w:tc>
          <w:tcPr>
            <w:tcW w:type="dxa" w:w="32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Igual; pasados 25 días, la trilladora produce granos pelones o quebrados con castigo comercial</w:t>
            </w:r>
          </w:p>
        </w:tc>
        <w:tc>
          <w:tcPr>
            <w:tcW w:type="dxa" w:w="217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Con el grano maduro y seco, trilladora ajustada para no pelar ni quebrar el grano</w:t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12"/>
          <w:lang w:val="es-MX"/>
        </w:rPr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Todo [V]. Otras cifras de manejo: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Adabella: 40 a 60 kg de N por hectárea según la fertilidad y la humedad del suelo, 40 de P y 30 de K, todo a la siembra [V-parcial] (Zamora Díaz et al., 2008). El paquete de INIFAP publicado en 2022 da 46-46-30, con fertilización foliar complementaria [V-parcial] (Gómez Mercado, 2022).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Entre las tres agendas, la dosis de nitrógeno va de 46 a 87 kg/ha [CP]. Es recomendación, no práctica observada.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Las fechas de siembra difieren según la fuente: 1 de mayo a 15 de junio (Gómez Mercado, 2022), 20 de mayo a 30 de junio (Tlaxcala) y 1 a 30 de junio en ambientes medianos y bajos (Hidalgo). Conviene leer "mayo a junio, según el ambiente" [CP].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3. Calidad maltera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Peso hectolítrico: la norma mexicana NMX-FF-043-SCFI-2003 pide 56 kg/hL para comprar cebada maltera. Peso de mil granos: 35 g es el valor de selección del laboratorio de INIFAP. [V-parcial] (los cita González González et al., 2013; no leí la norma). En sus ensayos, el peso de mil granos quedó entre 31 y 34 g, y algunos tratamientos bajaron de 56 kg/hL.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Proteína: en Argentina, el estándar de la industria maltera es de 10 a 12%, y se necesitan cerca de 23 kg de N por tonelada de grano para llegar a 10% y unos 43 para llegar a 12% [V-parcial] (Noticias AgroPecuarias, 2026). La especificación mexicana [PV].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Un exceso de nitrógeno favorece el acame, más plagas y enfermedades y proteína alta [V-parcial] (Yara México, s. f.; fuente comercial). Con dosis bajas de N y densidad baja, el rendimiento y la calidad industrial caen [V] (Rojas Martínez y Zamora Díaz, 2017).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Una cosecha tardía baja la calidad por granos pelones o quebrados [V] (Gómez Mercado, 2017).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4. Lo que no debemos afirmar todavía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Que nuestras parcelas siguen el paquete recomendado. No tenemos variedad, dosis de N, fungicida, densidad ni si fue temporal o riego [PV].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Que la lluvia mide enfermedad. No hay ningún dato de sanidad; cualquier variable climática que la aproxime es indirecta.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Que el efecto del fungicida aplica a nuestras parcelas: sale de un sitio, un ciclo y una variedad.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Nuestros rendimientos superan los promedios oficiales (ver Bloque D). Mi lectura es que son parcelas comerciales o tecnificadas [CP]. Si es así, buena parte de la variación restante dentro de región viene de manejo que no observamos.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5. Hipótesis medibles (se registran antes de probarlas; todas dentro de cada región)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Aplican también A1, A3 a A6 y B1 a B8.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00"/>
        <w:gridCol w:w="4946"/>
        <w:gridCol w:w="1185"/>
        <w:gridCol w:w="2129"/>
      </w:tblGrid>
      <w:tr>
        <w:trPr>
          <w:cantSplit/>
          <w:tblHeader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#</w:t>
            </w:r>
          </w:p>
        </w:tc>
        <w:tc>
          <w:tcPr>
            <w:tcW w:type="dxa" w:w="49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Hipótesis (variable, signo, por qué)</w:t>
            </w:r>
          </w:p>
        </w:tc>
        <w:tc>
          <w:tcPr>
            <w:tcW w:type="dxa" w:w="11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Dato disponible</w:t>
            </w:r>
          </w:p>
        </w:tc>
        <w:tc>
          <w:tcPr>
            <w:tcW w:type="dxa" w:w="21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Limitación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C1</w:t>
            </w:r>
          </w:p>
        </w:tc>
        <w:tc>
          <w:tcPr>
            <w:tcW w:type="dxa" w:w="49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Lluvia de julio a agosto alta, signo negativo. Más humedad en espigado favorece las manchas foliares</w:t>
            </w:r>
          </w:p>
        </w:tc>
        <w:tc>
          <w:tcPr>
            <w:tcW w:type="dxa" w:w="11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Lluvia mensual CHIRPS</w:t>
            </w:r>
          </w:p>
        </w:tc>
        <w:tc>
          <w:tcPr>
            <w:tcW w:type="dxa" w:w="21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Sin dato de enfermedad; celdas de 5.5 km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C2</w:t>
            </w:r>
          </w:p>
        </w:tc>
        <w:tc>
          <w:tcPr>
            <w:tcW w:type="dxa" w:w="49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Temperatura media de julio a agosto entre 15 y 20 °C con lluvia alta, signo negativo (condiciones de roya de la hoja). La media se aproxima como (Tmax + Tmin) / 2 [CP]</w:t>
            </w:r>
          </w:p>
        </w:tc>
        <w:tc>
          <w:tcPr>
            <w:tcW w:type="dxa" w:w="11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Tmax y Tmin mensuales</w:t>
            </w:r>
          </w:p>
        </w:tc>
        <w:tc>
          <w:tcPr>
            <w:tcW w:type="dxa" w:w="21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Proxy pobre; no sabemos cuándo llegó la hoja bandera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C3</w:t>
            </w:r>
          </w:p>
        </w:tc>
        <w:tc>
          <w:tcPr>
            <w:tcW w:type="dxa" w:w="494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Altitud por lluvia. En sitios altos y húmedos el rendimiento baja más (Agenda de Hidalgo, desde 2,500 msnm)</w:t>
            </w:r>
          </w:p>
        </w:tc>
        <w:tc>
          <w:tcPr>
            <w:tcW w:type="dxa" w:w="118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DEM y CHIRPS</w:t>
            </w:r>
          </w:p>
        </w:tc>
        <w:tc>
          <w:tcPr>
            <w:tcW w:type="dxa" w:w="212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 w:before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  <w:lang w:val="es-MX"/>
              </w:rPr>
              <w:t>Se confunde con región</w:t>
            </w:r>
          </w:p>
        </w:tc>
      </w:tr>
    </w:tbl>
    <w:p>
      <w:pPr>
        <w:spacing w:before="0" w:after="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12"/>
          <w:lang w:val="es-MX"/>
        </w:rPr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6. Preguntas de repaso (Bloque C)</w:t>
      </w:r>
    </w:p>
    <w:p>
      <w:pPr>
        <w:spacing w:before="0" w:after="80" w:line="240" w:lineRule="auto"/>
        <w:ind w:left="360" w:hanging="36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1.</w:t>
        <w:tab/>
        <w:t>¿En qué etapa daña más el pulgón ruso y en cuál ya no se detecta daño?</w:t>
      </w:r>
    </w:p>
    <w:p>
      <w:pPr>
        <w:spacing w:before="0" w:after="80" w:line="240" w:lineRule="auto"/>
        <w:ind w:left="360" w:hanging="36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2.</w:t>
        <w:tab/>
        <w:t>¿Qué condiciones necesita la roya de la hoja y por qué una temperatura media mensual no basta para saber si hubo infección?</w:t>
      </w:r>
    </w:p>
    <w:p>
      <w:pPr>
        <w:spacing w:before="0" w:after="80" w:line="240" w:lineRule="auto"/>
        <w:ind w:left="360" w:hanging="36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3.</w:t>
        <w:tab/>
        <w:t>¿Por qué una cosecha 30 días después de la madurez puede bajar el precio aunque el rendimiento sea bueno?</w:t>
      </w:r>
    </w:p>
    <w:p>
      <w:pPr>
        <w:spacing w:before="0" w:after="80" w:line="240" w:lineRule="auto"/>
        <w:ind w:left="360" w:hanging="36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4.</w:t>
        <w:tab/>
        <w:t>¿Qué variedad se recomienda para ambientes medianos y bajos, y por qué importa que no conozcamos la variedad de cada parcela?</w:t>
      </w:r>
    </w:p>
    <w:p>
      <w:pPr>
        <w:spacing w:before="0" w:after="80" w:line="240" w:lineRule="auto"/>
        <w:ind w:left="360" w:hanging="36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5.</w:t>
        <w:tab/>
        <w:t>Nuestros rendimientos superan los promedios oficiales: da una consecuencia para el modelo y una para lo que podemos afirmar.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7. Preguntas para los organizadores (del bloque C)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Variedad, dosis de nitrógeno, fungicida (productos, número de aplicaciones y fechas) y densidad de siembra por parcela.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¿Temporal puro o con riego de auxilio?</w:t>
      </w:r>
    </w:p>
    <w:p>
      <w:pPr>
        <w:pStyle w:val="ListBullet"/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¿Las parcelas son de productores con contrato maltero?</w:t>
      </w:r>
    </w:p>
    <w:p>
      <w:pPr>
        <w:keepNext/>
        <w:spacing w:before="24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Referencias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Nota: Las fuentes vistas solo en un resumen de búsqueda no se leyeron completas, y sus datos llevan la marca [V-parcial]. Cuando no pude verificar los autores de un artículo, el título ocupa su lugar.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CIMMYT. (2023, 15 de julio). Mejora INIFAP variedad de cebada malteada tolerante a la roya y con mayor rendimiento. https://www.cimmyt.org/es/noticias/mejora-inifap-variedad-de-cebada-malteada-tolerante-a-la-roya-y-con-mayor-rendimiento/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Evaluación de líneas de cebada maltera a fusariosis de la espiga y acumulación de deoxinivalenol. (2019). Revista Mexicana de Ciencias Agrícolas. https://www.scielo.org.mx/scielo.php?pid=S2007-09342019000300485&amp;script=sci_arttext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Gómez Mercado, R. (2017). Cebada. En Agenda técnica agrícola de Hidalgo (pp. 27–36). Instituto Nacional de Investigaciones Forestales, Agrícolas y Pecuarias. https://vun.inifap.gob.mx/VUN_MEDIA/BibliotecaWeb/_media/_agendas/4131_4828_Agenda_T%C3%A9cnica_Hidalgo_2017.pdf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Gómez Mercado, R. (2022, 19 de septiembre). Cebada maltera de temporal en Valles Altos de México. Instituto Nacional de Investigaciones Forestales, Agrícolas y Pecuarias. https://www.gob.mx/inifap/articulos/cebada-maltera-de-temporal-en-valles-altos-de-mexico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González González, M., Zamora Díaz, M., Huerta Zurita, R. y Solano Hernández, S. (2013). Eficacia de tres fungicidas para controlar roya de la hoja en cebada maltera. Revista Mexicana de Ciencias Agrícolas, 4(8), 1237–1250. https://www.scielo.org.mx/scielo.php?script=sci_arttext&amp;pid=S2007-09342013000800010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Noticias AgroPecuarias. (2026, 18 de mayo). Cebada: la calidad cervecera se alcanza con fertilización nitrogenada. https://www.noticiasagropecuarias.com/2026/05/18/cebada-la-calidad-cervecera-se-alcanza-con-fertilizacion-nitrogenada/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Ríos Sánchez, R. (2017). Cebada maltera de temporal. En Agenda técnica agrícola de Puebla (pp. 18–23). Instituto Nacional de Investigaciones Forestales, Agrícolas y Pecuarias, Campo Experimental San Martinito. https://vun.inifap.gob.mx/VUN_MEDIA/BibliotecaWeb/_media/_agendas/4138_4835_Agenda_T%C3%A9cnica_Puebla_2017.pdf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Rojas Martínez y Zamora Díaz. (2017). Producción de cebada en temporal. En Agenda técnica agrícola de Tlaxcala (pp. 25–30). Instituto Nacional de Investigaciones Forestales, Agrícolas y Pecuarias, Campo Experimental Tlaxcala. https://vun.inifap.gob.mx/VUN_MEDIA/BibliotecaWeb/_media/_agendas/4146_4843_Agenda_T%C3%A9cnica_Tlaxcala_2017.pdf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Yara México. (s. f.). Importancia de la fertilización nitrogenada (reabone) en cebada maltera. https://www.yara.com.mx/capacitate-ya-con-yara/boletines/importancia-de-la-fertilizacion-nitrogenada-reabone-en-cebada-maltera/</w:t>
      </w:r>
    </w:p>
    <w:p>
      <w:pPr>
        <w:spacing w:before="0" w:after="120" w:line="240" w:lineRule="auto"/>
        <w:ind w:left="720" w:hanging="720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es-MX"/>
        </w:rPr>
        <w:t>Zamora Díaz, M., Solano Hernández, S., Gómez Mercado, R., Rojas Martínez, I., Ireta Moreno, J., Garza García, R. y Ortiz Trejo, C. (2008). Adabella: Variedad de cebada maltera para valles altos de la mesa central de México. Agricultura Técnica en México, 34(4), 491–493. https://www.scielo.org.mx/scielo.php?script=sci_arttext&amp;pid=S0568-25172008000400012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instrText xml:space="preserve">PAGE</w:instrText>
    </w: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t>1</w:t>
    </w:r>
    <w:r>
      <w:rPr>
        <w:rFonts w:ascii="Times New Roman" w:hAnsi="Times New Roman" w:cs="Times New Roman" w:eastAsia="Times New Roman"/>
        <w:b w:val="0"/>
        <w:i w:val="0"/>
        <w:sz w:val="20"/>
        <w:lang w:val="es-MX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Reto AgroCebada FIRA 2026: Bloque C: Sanidad y manejo de la cebada maltera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