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sz w:val="28"/>
          <w:szCs w:val="28"/>
        </w:rPr>
        <w:t xml:space="preserve">Borrador consolidado del trabajo hasta ahora, Reto AgroCebada FIRA 2026</w:t>
      </w:r>
    </w:p>
    <w:p>
      <w:pPr>
        <w:keepNext w:val="false"/>
        <w:spacing w:after="160" w:before="0" w:line="264"/>
      </w:pPr>
      <w:r>
        <w:rPr>
          <w:rFonts w:ascii="Times New Roman" w:cs="Times New Roman" w:eastAsia="Times New Roman" w:hAnsi="Times New Roman"/>
          <w:sz w:val="24"/>
          <w:szCs w:val="24"/>
        </w:rPr>
        <w:t xml:space="preserve">Borrador de trabajo. Preparado el 20 de septiembre de 2026 con los archivos de la carpeta del proyecto y los dos PDF de la líder del equipo.</w:t>
      </w:r>
    </w:p>
    <w:p>
      <w:pPr>
        <w:keepNext w:val="false"/>
        <w:spacing w:after="120" w:before="0" w:line="264"/>
      </w:pPr>
      <w:r>
        <w:rPr>
          <w:rFonts w:ascii="Times New Roman" w:cs="Times New Roman" w:eastAsia="Times New Roman" w:hAnsi="Times New Roman"/>
          <w:sz w:val="24"/>
          <w:szCs w:val="24"/>
        </w:rPr>
        <w:t xml:space="preserve">Este documento solo reúne lo que ya existe, indica de qué archivo sale cada cifra y marca lo que sigue pendiente. No contiene resultados de modelado ni predicciones. Las cifras agronómicas conservan las marcas de los Bloques A y B: [V] verificado con fuente leída, [V-parcial] visto solo en un extracto, resumen o documento de otro cultivo, [PV] por verificar y [CP] cálculo propio.</w:t>
      </w:r>
    </w:p>
    <w:p>
      <w:pPr>
        <w:keepNext/>
        <w:spacing w:after="120" w:before="320"/>
      </w:pPr>
      <w:r>
        <w:rPr>
          <w:rFonts w:ascii="Times New Roman" w:cs="Times New Roman" w:eastAsia="Times New Roman" w:hAnsi="Times New Roman"/>
          <w:sz w:val="24"/>
          <w:szCs w:val="24"/>
        </w:rPr>
        <w:t xml:space="preserve">1. El reto en breve</w:t>
      </w:r>
    </w:p>
    <w:p>
      <w:pPr>
        <w:keepNext w:val="false"/>
        <w:spacing w:after="120" w:before="0" w:line="264"/>
      </w:pPr>
      <w:r>
        <w:rPr>
          <w:rFonts w:ascii="Times New Roman" w:cs="Times New Roman" w:eastAsia="Times New Roman" w:hAnsi="Times New Roman"/>
          <w:sz w:val="24"/>
          <w:szCs w:val="24"/>
        </w:rPr>
        <w:t xml:space="preserve">El objetivo es estimar el rendimiento de cebada (t/ha) del ciclo de abril a octubre de 2025 en 59 parcelas de PREDICCION, a partir de 138 parcelas de ENTRENAMIENTO con rendimiento conocido, dentro de un conjunto de 197 parcelas de Puebla, Hidalgo y Tlaxcala (Líder del equipo, 2026a). La calificación es 70 % modelo y 30 % dashboard. La entrega es el 19 de octubre de 2026 y el 20 queda como colchón; el mensaje maestro decía 20, pero se confirmó el 19.</w:t>
      </w:r>
    </w:p>
    <w:p>
      <w:pPr>
        <w:keepNext w:val="false"/>
        <w:spacing w:after="120" w:before="0" w:line="264"/>
      </w:pPr>
      <w:r>
        <w:rPr>
          <w:rFonts w:ascii="Times New Roman" w:cs="Times New Roman" w:eastAsia="Times New Roman" w:hAnsi="Times New Roman"/>
          <w:sz w:val="24"/>
          <w:szCs w:val="24"/>
        </w:rPr>
        <w:t xml:space="preserve">Reglas de trabajo definidas en 00_mensaje_maestro.md: toda variable se evalúa por encima de la línea base regional; la validación es agrupada y se repite con varias semillas (se acordó no usar la validación cruzada aleatoria como única evidencia); la selección de variables se hace dentro de cada partición; cada hipótesis se escribe antes de probarla; se lleva un registro de experimentos con semillas y folds fijos; los datos originales son de solo lectura; todo dato agronómico se marca como verificado o por verificar; y se pide aprobación antes de instalar paquetes de R. Todo el código va en R.</w:t>
      </w:r>
    </w:p>
    <w:p>
      <w:pPr>
        <w:keepNext/>
        <w:spacing w:after="120" w:before="320"/>
      </w:pPr>
      <w:r>
        <w:rPr>
          <w:rFonts w:ascii="Times New Roman" w:cs="Times New Roman" w:eastAsia="Times New Roman" w:hAnsi="Times New Roman"/>
          <w:sz w:val="24"/>
          <w:szCs w:val="24"/>
        </w:rPr>
        <w:t xml:space="preserve">2. Datos entregados y composición de la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cantSplit/>
          <w:tblHeader/>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Componente</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Fuente y cobertura</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 según el EDA y la líder</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Rendimiento y área (CSV)</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Datos del reto, 197 parcelas; rendimiento visible en 138</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duplicados ni IDs huérfanos. El faltante en PREDICCION es el objetivo oculto, no un dato perdido</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Parcelas (Shapefile)</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197 polígonos con Estado, Municipio y CONJUNTO</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Dos geometrías inválidas (AGC_070 y AGC_078), reparadas en la Fase 1. Cultivo aparece como Cebada (50) y CEBADA (147)</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Dataset Básico</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Sentinel-2 y Landsat, 2022 a 2025, 107,666 filas</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Sentinel-2: 59,040 observaciones, 76.0 % válidas. Landsat: 48,626, 63.9 % válidas. Los huecos coinciden con nubosidad de 100 %</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Dataset PRO</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Planet, 2025, 47,804 observaciones</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35,747 válidas (74.8 %). Mismo mecanismo de huecos por nubes</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Precipitación</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CHIRPS mensual 2022 a 2025 (Funk et al., 2015), 48 GeoTIFF, celdas de 0.05° (unos 5 km)</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Cobertura completa. Las 197 parcelas caen en 25 celdas</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Temperatura</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CHIRTS-ERA5, Tmin y Tmax mensual (Climate Hazards Center, 2025), 96 GeoTIFF</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Cobertura completa; Tmax siempre mayor o igual que Tmin. Mismas 25 celdas</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Topografía</w:t>
            </w:r>
          </w:p>
        </w:tc>
        <w:tc>
          <w:tcPr>
            <w:tcW w:type="dxa" w:w="3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Elevación y pendiente del CEM de INEGI (2025), rasters de 120 m</w:t>
            </w:r>
          </w:p>
        </w:tc>
        <w:tc>
          <w:tcPr>
            <w:tcW w:type="dxa" w:w="4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Cobertura completa. 196 de 197 parcelas cubren más de un píxel</w:t>
            </w:r>
          </w:p>
        </w:tc>
      </w:tr>
    </w:tbl>
    <w:p>
      <w:pPr>
        <w:spacing w:after="80" w:before="0"/>
      </w:pPr>
    </w:p>
    <w:p>
      <w:pPr>
        <w:keepNext/>
        <w:spacing w:after="120" w:before="0" w:line="264"/>
      </w:pPr>
      <w:r>
        <w:rPr>
          <w:rFonts w:ascii="Times New Roman" w:cs="Times New Roman" w:eastAsia="Times New Roman" w:hAnsi="Times New Roman"/>
          <w:sz w:val="24"/>
          <w:szCs w:val="24"/>
        </w:rPr>
        <w:t xml:space="preserve">Composición de la muestra por municipio (catálogo de parcelas de la líder):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60"/>
        <w:gridCol w:w="1200"/>
        <w:gridCol w:w="1400"/>
        <w:gridCol w:w="1200"/>
        <w:gridCol w:w="1200"/>
      </w:tblGrid>
      <w:tr>
        <w:trPr>
          <w:cantSplit/>
          <w:tblHeader/>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Municipio</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Parcelas</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Entrenamiento</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Predicción</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Área media (ha)</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Puebla</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Chignahuapan</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100</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71</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29</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5.01</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Hidalgo</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Singuilucan</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23</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16</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7</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8.57</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Hidalgo</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Almoloya</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14</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10</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12.62</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Hidalgo</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Cuautepec de Hinojosa</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9</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7.15</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Hidalgo</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Emiliano Zapata</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5.86</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Hidalgo</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Apan</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11.84</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Hidalgo</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Tepeapulco</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64.30</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Tlaxcala</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Calpulalpan</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44</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30</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14</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5.72</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Tlaxcala</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Nanacamilpa de Mariano Arista</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7.88</w:t>
            </w:r>
          </w:p>
        </w:tc>
      </w:tr>
      <w:tr>
        <w:trPr>
          <w:cantSplit/>
          <w:tblHeader w:val="false"/>
        </w:trPr>
        <w:tc>
          <w:tcPr>
            <w:tcW w:type="dxa" w:w="1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Total</w:t>
            </w:r>
          </w:p>
        </w:tc>
        <w:tc>
          <w:tcPr>
            <w:tcW w:type="dxa" w:w="3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9 municipios</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197</w:t>
            </w:r>
          </w:p>
        </w:tc>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138</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59</w:t>
            </w:r>
          </w:p>
        </w:tc>
        <w:tc>
          <w:tcPr>
            <w:tcW w:type="dxa" w:w="1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6.60</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Chignahuapan, Calpulalpan y Singuilucan concentran 84.8 % de la muestra. AGC_047 (Tepeapulco, 64.30 ha) es la parcela más grande y AGC_065 (Almoloya, 60.88 ha) es la segunda y pertenece a PREDICCION, así que conviene vigilarla. AGC_091 (Chignahuapan, 0.35 ha) es la más pequeña. Emiliano Zapata, Apan y Tepeapulco no tienen parcelas de PREDICCION.</w:t>
      </w:r>
    </w:p>
    <w:p>
      <w:pPr>
        <w:keepNext/>
        <w:spacing w:after="120" w:before="320"/>
      </w:pPr>
      <w:r>
        <w:rPr>
          <w:rFonts w:ascii="Times New Roman" w:cs="Times New Roman" w:eastAsia="Times New Roman" w:hAnsi="Times New Roman"/>
          <w:sz w:val="24"/>
          <w:szCs w:val="24"/>
        </w:rPr>
        <w:t xml:space="preserve">3. Lo que procesó la líder</w:t>
      </w:r>
    </w:p>
    <w:p>
      <w:pPr>
        <w:keepNext w:val="false"/>
        <w:spacing w:after="120" w:before="0" w:line="264"/>
      </w:pPr>
      <w:r>
        <w:rPr>
          <w:rFonts w:ascii="Times New Roman" w:cs="Times New Roman" w:eastAsia="Times New Roman" w:hAnsi="Times New Roman"/>
          <w:sz w:val="24"/>
          <w:szCs w:val="24"/>
        </w:rPr>
        <w:t xml:space="preserve">La líder ordenó los archivos originales y generó Excel procesados, con la guía de que los archivos originales están resaltados en verde y los generados llevan una estrella. Sus dos PDF son Descripción general y parcelas, y Variables y procesamiento de datos (Líder del equipo, 2026a, 2026b). Resumen de lo que aporta cada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cantSplit/>
          <w:tblHeader/>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Tema</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Método</w:t>
            </w:r>
          </w:p>
        </w:tc>
        <w:tc>
          <w:tcPr>
            <w:tcW w:type="dxa" w:w="53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Hallazgos principales de su PDF</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Diccionario de índices</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Añadió la columna ¿Cómo nos puede servir? y agrupó los índices por vegetación, residuos, humedad, sequedad y otros</w:t>
            </w:r>
          </w:p>
        </w:tc>
        <w:tc>
          <w:tcPr>
            <w:tcW w:type="dxa" w:w="53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22 índices de Sentinel-2 y VI6T de Landsat en Básico, y 4 en PRO (NDVI, EVI, LAI, MSAVI). Los que comparten nombre vienen de otro sensor y no deben fusionarse</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Dataset PRO</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Ordenó por parcela y fecha; resúmenes por parcela y para el ciclo de abril a octubre</w:t>
            </w:r>
          </w:p>
        </w:tc>
        <w:tc>
          <w:tcPr>
            <w:tcW w:type="dxa" w:w="53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35,747 válidas de 47,804 (74.8 %); en abril a octubre 18,248 de 26,255 (69.5 %), unas 93 válidas por parcela. NDVI, EVI, LAI y MSAVI muy correlacionados (EVI y MSAVI, 0.993). Mayor desarrollo en agosto y septiembre</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Dataset Básico</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Separó Sentinel-2 y Landsat; hojas por año y para el ciclo de 2025</w:t>
            </w:r>
          </w:p>
        </w:tc>
        <w:tc>
          <w:tcPr>
            <w:tcW w:type="dxa" w:w="53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 NDVI de Sentinel-2 pasa de 0.290 a 0.354 al usar solo abril a octubre. El máximo de NDVI cae entre julio y septiembre en 174 de 197 parcelas. El estrés hídrico (MSI, NDDI) es mayor en abril y mayo, y NDWI en agosto a octubre. Correlaciones muy altas entre índices (NDTI y STI, 0.991; EVI y SAVI, 0.989) obligan a seleccionar variables. 2025 fue distinta de 2022 a 2024 (NDVI 0.290 contra 0.199 a 0.247)</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Precipitación</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Valor de la celda CHIRPS bajo el centroide de cada parcela; control ponderado por superficie</w:t>
            </w:r>
          </w:p>
        </w:tc>
        <w:tc>
          <w:tcPr>
            <w:tcW w:type="dxa" w:w="53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9,456 combinaciones parcela y mes, sin faltantes; 25 celdas. Acumulado de abril a octubre entre 702.58 y 1,459.14 mm. Abril fue seco (12.12 mm) y junio el más lluvioso (245.46 mm). El control ponderado tiene una inconsistencia (180 parcelas con una celda, un caso sin intersección, diferencia máxima de 135 mm) y no debe usarse como definitivo</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Temperatura</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Igual que precipitación, más Tmedia y amplitud térmica</w:t>
            </w:r>
          </w:p>
        </w:tc>
        <w:tc>
          <w:tcPr>
            <w:tcW w:type="dxa" w:w="53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faltantes. 166 parcelas en una sola celda y 31 tocan más de una. Centroide y promedio ponderado difieren 0.008 °C en Tmin y 0.005 °C en Tmax. Tmedia de abril a octubre, 18.28 °C. Tlaxcala es la más fresca (17.85 °C)</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Topografía</w:t>
            </w:r>
          </w:p>
        </w:tc>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Estadísticas zonales sobre toda la superficie de la parcela (píxeles de 120 m)</w:t>
            </w:r>
          </w:p>
        </w:tc>
        <w:tc>
          <w:tcPr>
            <w:tcW w:type="dxa" w:w="53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Elevación media por parcela de 2,496.65 a 2,906.04 m; pendiente media de 0.28° a 9.40°. Centroide y estadística zonal difieren 1.92 m y 0.40° en promedio. Una parcela tiene solo 2.10 % de cobertura de pendiente y conviene revisarla</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Dos cosas que noté al leer sus PDF y que conviene confirmar: la descripción general cita el CEM 4.0 con resolución de 15 m (INEGI, 2025), pero los rasters entregados son de 120 m, lo que sirve como pregunta a los organizadores; y en el PDF de variables, el encabezado de la sección de topografía repite el nombre del zip de temperatura, algo que parece un error de copia.</w:t>
      </w:r>
    </w:p>
    <w:p>
      <w:pPr>
        <w:keepNext/>
        <w:spacing w:after="120" w:before="320"/>
      </w:pPr>
      <w:r>
        <w:rPr>
          <w:rFonts w:ascii="Times New Roman" w:cs="Times New Roman" w:eastAsia="Times New Roman" w:hAnsi="Times New Roman"/>
          <w:sz w:val="24"/>
          <w:szCs w:val="24"/>
        </w:rPr>
        <w:t xml:space="preserve">4. EDA propio y hallazgos preliminares</w:t>
      </w:r>
    </w:p>
    <w:p>
      <w:pPr>
        <w:keepNext w:val="false"/>
        <w:spacing w:after="120" w:before="0" w:line="264"/>
      </w:pPr>
      <w:r>
        <w:rPr>
          <w:rFonts w:ascii="Times New Roman" w:cs="Times New Roman" w:eastAsia="Times New Roman" w:hAnsi="Times New Roman"/>
          <w:sz w:val="24"/>
          <w:szCs w:val="24"/>
        </w:rPr>
        <w:t xml:space="preserve">El EDA se hizo en R con ocho scripts (outputs/scripts, 01 a 08) y sus reportes están en outputs/eda; el resumen es resumen_general.md. Lo más importante: las 197 parcelas son consistentes en todas las fuentes y el reparto de 138 y 59 no tiene discrepancias; los huecos satelitales son estructurales (nubosidad de 100 %), por lo que no se imputan; Básico y PRO se tratan como familias separadas porque el LAI difiere unas 8 a 10 veces entre ellas y el NDVI 46 %; y las anomalías (LAI negativo, dos geometrías inválidas, mayúsculas en Cultivo, sesgo de 0.68 % entre área del atributo y área geométrica, outliers de área y pendiente) se documentaron sin corregirse en el EDA.</w:t>
      </w:r>
    </w:p>
    <w:p>
      <w:pPr>
        <w:keepNext/>
        <w:spacing w:after="120" w:before="0" w:line="264"/>
      </w:pPr>
      <w:r>
        <w:rPr>
          <w:rFonts w:ascii="Times New Roman" w:cs="Times New Roman" w:eastAsia="Times New Roman" w:hAnsi="Times New Roman"/>
          <w:sz w:val="24"/>
          <w:szCs w:val="24"/>
        </w:rPr>
        <w:t xml:space="preserve">Correlaciones simples con el rendimiento, solo con las 138 parcelas de entrenamiento y sin controlar por región: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cantSplit/>
          <w:tblHeader/>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Variable</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Correlación</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Comentario</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Tmin medio del ciclo (abril a octubre 2025)</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+0.61</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La más fuerte, pero después se vio que marca la región (sección 5)</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Precipitación acumulada del ciclo</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−0.47</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Contraintuitiva; depende de Singuilucan</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SAVI promedio (Básico)</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+0.32</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Mejor índice satelital individual</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+0.31</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Débil</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Elevación</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+0.29</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Débil</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Tmax medio del ciclo</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−0.29</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Negativa moderada</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NDVI promedio (Básico)</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+0.28</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Débil</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EVI promedio (Básico)</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+0.25</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Débil</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EVI y MSAVI 2025 (PRO)</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+0.20</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Más débiles que sus análogos de Básico</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NDVI 2025 (PRO)</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+0.16</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Débil</w:t>
            </w:r>
          </w:p>
        </w:tc>
      </w:tr>
      <w:tr>
        <w:trPr>
          <w:cantSplit/>
          <w:tblHeader w:val="false"/>
        </w:trPr>
        <w:tc>
          <w:tcPr>
            <w:tcW w:type="dxa" w:w="3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Área de la parcela</w:t>
            </w:r>
          </w:p>
        </w:tc>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−0.08</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Prácticamente nula</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Ninguna variable supera 0.65 por sí sola, por lo que se espera que el poder predictivo venga de combinar fuentes.</w:t>
      </w:r>
    </w:p>
    <w:p>
      <w:pPr>
        <w:keepNext/>
        <w:spacing w:after="120" w:before="320"/>
      </w:pPr>
      <w:r>
        <w:rPr>
          <w:rFonts w:ascii="Times New Roman" w:cs="Times New Roman" w:eastAsia="Times New Roman" w:hAnsi="Times New Roman"/>
          <w:sz w:val="24"/>
          <w:szCs w:val="24"/>
        </w:rPr>
        <w:t xml:space="preserve">5. El hallazgo regional y las correcciones</w:t>
      </w:r>
    </w:p>
    <w:p>
      <w:pPr>
        <w:keepNext/>
        <w:spacing w:after="120" w:before="0" w:line="264"/>
      </w:pPr>
      <w:r>
        <w:rPr>
          <w:rFonts w:ascii="Times New Roman" w:cs="Times New Roman" w:eastAsia="Times New Roman" w:hAnsi="Times New Roman"/>
          <w:sz w:val="24"/>
          <w:szCs w:val="24"/>
        </w:rPr>
        <w:t xml:space="preserve">Al cruzar el rendimiento con Estado y Municipio (outputs/prep_equipo/01_sintesis_para_equipo.md) cambió la lectura de la tabla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900"/>
        <w:gridCol w:w="1800"/>
        <w:gridCol w:w="1760"/>
      </w:tblGrid>
      <w:tr>
        <w:trPr>
          <w:cantSplit/>
          <w:tblHeader/>
        </w:trPr>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w:t>
            </w:r>
          </w:p>
        </w:tc>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Parcelas de entrenamiento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Rendimiento medio (t/ha)</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Tmin del ciclo (°C)</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Lluvia del ciclo (mm)</w:t>
            </w:r>
          </w:p>
        </w:tc>
      </w:tr>
      <w:tr>
        <w:trPr>
          <w:cantSplit/>
          <w:tblHeader w:val="false"/>
        </w:trPr>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Puebla</w:t>
            </w:r>
          </w:p>
        </w:tc>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71</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4.48</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13.3</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881</w:t>
            </w:r>
          </w:p>
        </w:tc>
      </w:tr>
      <w:tr>
        <w:trPr>
          <w:cantSplit/>
          <w:tblHeader w:val="false"/>
        </w:trPr>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Hidalgo</w:t>
            </w:r>
          </w:p>
        </w:tc>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36</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3.76</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12.8</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1,045</w:t>
            </w:r>
          </w:p>
        </w:tc>
      </w:tr>
      <w:tr>
        <w:trPr>
          <w:cantSplit/>
          <w:tblHeader w:val="false"/>
        </w:trPr>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Tlaxcala</w:t>
            </w:r>
          </w:p>
        </w:tc>
        <w:tc>
          <w:tcPr>
            <w:tcW w:type="dxa" w:w="2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31</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2.98</w:t>
            </w:r>
          </w:p>
        </w:tc>
        <w:tc>
          <w:tcPr>
            <w:tcW w:type="dxa" w:w="18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12.0</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1,004</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Solo saber el Estado explica 50 % de la variación del rendimiento (R² de 0.503). Tmin distingue regiones y no parcelas: dentro de cada Estado su correlación con el rendimiento es casi cero (Tlaxcala −0.07, Puebla −0.05, Hidalgo −0.12), así que las heladas siguen siendo una hipótesis plausible que el dato actual no sostiene por sí solo.</w:t>
      </w:r>
    </w:p>
    <w:p>
      <w:pPr>
        <w:keepNext w:val="false"/>
        <w:spacing w:after="120" w:before="0" w:line="264"/>
      </w:pPr>
      <w:r>
        <w:rPr>
          <w:rFonts w:ascii="Times New Roman" w:cs="Times New Roman" w:eastAsia="Times New Roman" w:hAnsi="Times New Roman"/>
          <w:sz w:val="24"/>
          <w:szCs w:val="24"/>
        </w:rPr>
        <w:t xml:space="preserve">La lluvia conserva algo dentro de cada Estado, pero es frágil: al agregarla al Estado el R² sube a 0.566. En Hidalgo la correlación interna es −0.65, pero casi todo viene de Singuilucan (16 parcelas, 1,135 a 1,335 mm, rendimiento medio de 3.08 t/ha); sin ese municipio pasa a +0.35.</w:t>
      </w:r>
    </w:p>
    <w:p>
      <w:pPr>
        <w:keepNext w:val="false"/>
        <w:spacing w:after="120" w:before="0" w:line="264"/>
      </w:pPr>
      <w:r>
        <w:rPr>
          <w:rFonts w:ascii="Times New Roman" w:cs="Times New Roman" w:eastAsia="Times New Roman" w:hAnsi="Times New Roman"/>
          <w:sz w:val="24"/>
          <w:szCs w:val="24"/>
        </w:rPr>
        <w:t xml:space="preserve">Corrección posterior sobre las celdas climáticas: las primeras notas hablaban de unos 50 valores climáticos distintos, y con las celdas reales del raster son 25 (la líder también reporta 25). En el entrenamiento hay dos celdas de 34 parcelas cada una, es decir, 68 de las 138 parcelas (49 %) están en solo dos celdas. El reparto entre entrenamiento y predicción está estratificado por región (Puebla 71 y 29, Hidalgo 36 y 15, Tlaxcala 31 y 15), así que usar Estado o Municipio como variable es legítimo para las 59 parcelas ocultas. Mensaje para el equipo: antes de creer una señal climática hay que comprobar que sobrevive después de tener en cuenta la región.</w:t>
      </w:r>
    </w:p>
    <w:p>
      <w:pPr>
        <w:keepNext/>
        <w:spacing w:after="120" w:before="320"/>
      </w:pPr>
      <w:r>
        <w:rPr>
          <w:rFonts w:ascii="Times New Roman" w:cs="Times New Roman" w:eastAsia="Times New Roman" w:hAnsi="Times New Roman"/>
          <w:sz w:val="24"/>
          <w:szCs w:val="24"/>
        </w:rPr>
        <w:t xml:space="preserve">6. Ideas de variables y de efecto causal</w:t>
      </w:r>
    </w:p>
    <w:p>
      <w:pPr>
        <w:keepNext/>
        <w:spacing w:after="120" w:before="0" w:line="264"/>
      </w:pPr>
      <w:r>
        <w:rPr>
          <w:rFonts w:ascii="Times New Roman" w:cs="Times New Roman" w:eastAsia="Times New Roman" w:hAnsi="Times New Roman"/>
          <w:sz w:val="24"/>
          <w:szCs w:val="24"/>
        </w:rPr>
        <w:t xml:space="preserve">Son propuestas para discutir, no un plan cerrado y no se han ejecutado (outputs/prep_equipo, archivos 02 y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cantSplit/>
          <w:tblHeader/>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Prioridad</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Ideas</w:t>
            </w:r>
          </w:p>
        </w:tc>
        <w:tc>
          <w:tcPr>
            <w:tcW w:type="dxa" w:w="3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Nota</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 construir primero</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Región (Estado y municipio agrupado); ventanas fenológicas de temperatura y lluvia; anomalías de 2025 frente a 2022 a 2024; compuestos satelitales sin nubes; variables separadas por sensor con sufijo</w:t>
            </w:r>
          </w:p>
        </w:tc>
        <w:tc>
          <w:tcPr>
            <w:tcW w:type="dxa" w:w="3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Cada variable entra con hipótesis escrita y se evalúa contra la línea base regional</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 si hay tiempo</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Grados día; proxy de noches frías; perfil fenológico de PRO; perfil multianual de Básico; exceso hídrico; interacciones de topografía y clima</w:t>
            </w:r>
          </w:p>
        </w:tc>
        <w:tc>
          <w:tcPr>
            <w:tcW w:type="dxa" w:w="3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 clima mensual hereda la resolución de 5.5 km</w:t>
            </w:r>
          </w:p>
        </w:tc>
      </w:tr>
      <w:tr>
        <w:trPr>
          <w:cantSplit/>
          <w:tblHeader w:val="false"/>
        </w:trPr>
        <w:tc>
          <w:tcPr>
            <w:tcW w:type="dxa" w:w="1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 exploratorio</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Amplitud térmica; área en logaritmo; conteo de observaciones válidas; estabilidad interanual del NDVI; distancia entre parcelas</w:t>
            </w:r>
          </w:p>
        </w:tc>
        <w:tc>
          <w:tcPr>
            <w:tcW w:type="dxa" w:w="3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La distancia entre parcelas puede producir fuga entre entrenamiento y predicción</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Sobre la lluvia (−0.47) se plantearon tres caminos: A, emparejamiento o comparación dentro de estratos (ejecutable con reservas); B, variación entre años (no ejecutable, porque solo hay rendimiento de 2025); y C, quedarse en asociación y dejar claro qué faltaría, que es barato y aporta una explicación honesta al dashboard. Ninguno se ha ejecutado.</w:t>
      </w:r>
    </w:p>
    <w:p>
      <w:pPr>
        <w:keepNext/>
        <w:spacing w:after="120" w:before="320"/>
      </w:pPr>
      <w:r>
        <w:rPr>
          <w:rFonts w:ascii="Times New Roman" w:cs="Times New Roman" w:eastAsia="Times New Roman" w:hAnsi="Times New Roman"/>
          <w:sz w:val="24"/>
          <w:szCs w:val="24"/>
        </w:rPr>
        <w:t xml:space="preserve">7. Plan de trabajo y avance por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cantSplit/>
          <w:tblHeader/>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Fase</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Contenido</w:t>
            </w:r>
          </w:p>
        </w:tc>
        <w:tc>
          <w:tcPr>
            <w:tcW w:type="dxa" w:w="21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 al 20 de septiembre</w:t>
            </w:r>
          </w:p>
        </w:tc>
      </w:tr>
      <w:tr>
        <w:trPr>
          <w:cantSplit/>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 comprender agronomía y datos</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Bloques A a F: fenología, estreses, sanidad y manejo, contexto regional, teledetección y estadística para n pequeño</w:t>
            </w:r>
          </w:p>
        </w:tc>
        <w:tc>
          <w:tcPr>
            <w:tcW w:type="dxa" w:w="21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 y B listos; C, D, E y F pendientes</w:t>
            </w:r>
          </w:p>
        </w:tc>
      </w:tr>
      <w:tr>
        <w:trPr>
          <w:cantSplit/>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 línea base y validación</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Limpieza, esquemas V1, V2 y V3, líneas base B0, B1 y B2</w:t>
            </w:r>
          </w:p>
        </w:tc>
        <w:tc>
          <w:tcPr>
            <w:tcW w:type="dxa" w:w="21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Hecha (sección 8)</w:t>
            </w:r>
          </w:p>
        </w:tc>
      </w:tr>
      <w:tr>
        <w:trPr>
          <w:cantSplit/>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 variables</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Prioridad 1 de las ideas de variables</w:t>
            </w:r>
          </w:p>
        </w:tc>
        <w:tc>
          <w:tcPr>
            <w:tcW w:type="dxa" w:w="21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r>
        <w:trPr>
          <w:cantSplit/>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 modelado</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Lineal regularizado con región; random forest o GBM poco profundos; ensamble solo si mejora</w:t>
            </w:r>
          </w:p>
        </w:tc>
        <w:tc>
          <w:tcPr>
            <w:tcW w:type="dxa" w:w="21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r>
        <w:trPr>
          <w:cantSplit/>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 interpretación y robustez</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Dejar un grupo fuera, importancia de variables, error esperado con intervalo</w:t>
            </w:r>
          </w:p>
        </w:tc>
        <w:tc>
          <w:tcPr>
            <w:tcW w:type="dxa" w:w="21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r>
        <w:trPr>
          <w:cantSplit/>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 entrega</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Predicciones reproducibles de las 59 parcelas, dashboard mínimo, documento de metodología</w:t>
            </w:r>
          </w:p>
        </w:tc>
        <w:tc>
          <w:tcPr>
            <w:tcW w:type="dxa" w:w="21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200"/>
        <w:gridCol w:w="1860"/>
      </w:tblGrid>
      <w:tr>
        <w:trPr>
          <w:cantSplit/>
          <w:tblHeader/>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Semana</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Fechas</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Meta según el mensaje maestro</w:t>
            </w:r>
          </w:p>
        </w:tc>
        <w:tc>
          <w:tcPr>
            <w:tcW w:type="dxa" w:w="18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w:t>
            </w:r>
          </w:p>
        </w:tc>
      </w:tr>
      <w:tr>
        <w:trPr>
          <w:cantSplit/>
          <w:tblHeader w:val="false"/>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21 al 27 de septiembre</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Aprender y línea base: agronomía (1A), teoría de índices y validación (1B), plan y ejecución de la Fase 1 (1C)</w:t>
            </w:r>
          </w:p>
        </w:tc>
        <w:tc>
          <w:tcPr>
            <w:tcW w:type="dxa" w:w="18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1C hecha; 1A parcial (A y B); 1B pendiente</w:t>
            </w:r>
          </w:p>
        </w:tc>
      </w:tr>
      <w:tr>
        <w:trPr>
          <w:cantSplit/>
          <w:tblHeader w:val="false"/>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28 de septiembre al 4 de octubre</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Variables: familias climáticas, anomalías, compuestos satelitales y variables por sensor; revisión de código; hipótesis dentro de región</w:t>
            </w:r>
          </w:p>
        </w:tc>
        <w:tc>
          <w:tcPr>
            <w:tcW w:type="dxa" w:w="18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r>
        <w:trPr>
          <w:cantSplit/>
          <w:tblHeader w:val="false"/>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 al 11 de octubre</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Modelado y robustez; dejar fuera Singuilucan y cada municipio; error esperado con intervalo; figuras</w:t>
            </w:r>
          </w:p>
        </w:tc>
        <w:tc>
          <w:tcPr>
            <w:tcW w:type="dxa" w:w="18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r>
        <w:trPr>
          <w:cantSplit/>
          <w:tblHeader w:val="false"/>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12 al 18 de octubre</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Entrega: dashboard mínimo, documento de metodología, script único, preguntas probables del jurado</w:t>
            </w:r>
          </w:p>
        </w:tc>
        <w:tc>
          <w:tcPr>
            <w:tcW w:type="dxa" w:w="18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r>
        <w:trPr>
          <w:cantSplit/>
          <w:tblHeader w:val="false"/>
        </w:trPr>
        <w:tc>
          <w:tcPr>
            <w:tcW w:type="dxa" w:w="1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Cierre</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19 y 20 de octubre</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 19 es la entrega; el 20 queda de colchón y revisión final</w:t>
            </w:r>
          </w:p>
        </w:tc>
        <w:tc>
          <w:tcPr>
            <w:tcW w:type="dxa" w:w="18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w:t>
            </w:r>
          </w:p>
        </w:tc>
      </w:tr>
    </w:tbl>
    <w:p>
      <w:pPr>
        <w:keepNext/>
        <w:spacing w:after="120" w:before="320"/>
      </w:pPr>
      <w:r>
        <w:rPr>
          <w:rFonts w:ascii="Times New Roman" w:cs="Times New Roman" w:eastAsia="Times New Roman" w:hAnsi="Times New Roman"/>
          <w:sz w:val="24"/>
          <w:szCs w:val="24"/>
        </w:rPr>
        <w:t xml:space="preserve">8. Fase 1 ejecutada (carpeta preparacion)</w:t>
      </w:r>
    </w:p>
    <w:p>
      <w:pPr>
        <w:keepNext w:val="false"/>
        <w:spacing w:after="120" w:before="0" w:line="264"/>
      </w:pPr>
      <w:r>
        <w:rPr>
          <w:rFonts w:ascii="Times New Roman" w:cs="Times New Roman" w:eastAsia="Times New Roman" w:hAnsi="Times New Roman"/>
          <w:sz w:val="24"/>
          <w:szCs w:val="24"/>
        </w:rPr>
        <w:t xml:space="preserve">Se ejecutó con los paquetes de R ya instalados y solo se escribió dentro de preparacion. Cada script se corrió dos veces con resultados idénticos (mismos hashes en los CSV y la figura, salvo una marca de tiempo interna del GeoPackage), y una segunda revisión independiente recalculó las líneas base con una diferencia máxima de 3e-14. Los originales de DataSet y outputs no cambiaron.</w:t>
      </w:r>
    </w:p>
    <w:p>
      <w:pPr>
        <w:keepNext/>
        <w:spacing w:after="100" w:before="180"/>
      </w:pPr>
      <w:r>
        <w:rPr>
          <w:rFonts w:ascii="Times New Roman" w:cs="Times New Roman" w:eastAsia="Times New Roman" w:hAnsi="Times New Roman"/>
          <w:sz w:val="24"/>
          <w:szCs w:val="24"/>
        </w:rPr>
        <w:t xml:space="preserve">8.1 Limpieza</w:t>
      </w:r>
    </w:p>
    <w:p>
      <w:pPr>
        <w:keepNext w:val="false"/>
        <w:spacing w:after="120" w:before="0" w:line="264"/>
      </w:pPr>
      <w:r>
        <w:rPr>
          <w:rFonts w:ascii="Times New Roman" w:cs="Times New Roman" w:eastAsia="Times New Roman" w:hAnsi="Times New Roman"/>
          <w:sz w:val="24"/>
          <w:szCs w:val="24"/>
        </w:rPr>
        <w:t xml:space="preserve">Cultivo quedó en un solo valor (CEBADA en las 197). Se repararon solo las dos geometrías inválidas y su área cambió 0.00015 ha y −0.00004 ha. El LAI negativo es más grande de lo que decía el EDA: en Básico 18,916 de 44,877 lecturas (42.2 %) son negativas, en las 197 parcelas, con mínimo de −0.192; en PRO es 1 de 35,747. No se modificó ninguna columna; la regla propuesta para la Fase 2 es crear lai_recortado y lai_negativo, y conviene preguntar a los organizadores si el LAI de Básico es utilizable.</w:t>
      </w:r>
    </w:p>
    <w:p>
      <w:pPr>
        <w:keepNext/>
        <w:spacing w:after="100" w:before="180"/>
      </w:pPr>
      <w:r>
        <w:rPr>
          <w:rFonts w:ascii="Times New Roman" w:cs="Times New Roman" w:eastAsia="Times New Roman" w:hAnsi="Times New Roman"/>
          <w:sz w:val="24"/>
          <w:szCs w:val="24"/>
        </w:rPr>
        <w:t xml:space="preserve">8.2 Esquemas de validación sobre las 138 parcelas</w:t>
      </w:r>
    </w:p>
    <w:p>
      <w:pPr>
        <w:keepNext w:val="false"/>
        <w:spacing w:after="120" w:before="0" w:line="264"/>
      </w:pPr>
      <w:r>
        <w:rPr>
          <w:rFonts w:ascii="Times New Roman" w:cs="Times New Roman" w:eastAsia="Times New Roman" w:hAnsi="Times New Roman"/>
          <w:sz w:val="24"/>
          <w:szCs w:val="24"/>
        </w:rPr>
        <w:t xml:space="preserve">Grupos de trabajo: Chignahuapan (71), Tlaxcala (31), Singuilucan (16), Almoloya (10) y Otros Hidalgo (10). V1 es el espejo del reto: 100 divisiones 70/30 estratificadas por grupo (41 parcelas de validación), y en ellas 92 % de la validación tiene una parcela vecina de la misma celda en el ajuste, contra 97 % en las 59 ocultas reales (57 de 59). V2 es la prueba de esfuerzo: aparta celdas completas (0 % con vecino) y es más difícil que la realidad; tiene solo 84 particiones distintas entre sus 100 repeticiones. V3 deja un grupo fuera y se usará en la Fase 4.</w:t>
      </w:r>
    </w:p>
    <w:p>
      <w:pPr>
        <w:keepNext/>
        <w:spacing w:after="100" w:before="180"/>
      </w:pPr>
      <w:r>
        <w:rPr>
          <w:rFonts w:ascii="Times New Roman" w:cs="Times New Roman" w:eastAsia="Times New Roman" w:hAnsi="Times New Roman"/>
          <w:sz w:val="24"/>
          <w:szCs w:val="24"/>
        </w:rPr>
        <w:t xml:space="preserve">8.3 Líneas base (RMSE, MAE y R² de validación, media de 100 repeticiones)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700"/>
        <w:gridCol w:w="1000"/>
        <w:gridCol w:w="1060"/>
      </w:tblGrid>
      <w:tr>
        <w:trPr>
          <w:cantSplit/>
          <w:tblHeader/>
        </w:trPr>
        <w:tc>
          <w:tcPr>
            <w:tcW w:type="dxa" w:w="1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Esquema</w:t>
            </w:r>
          </w:p>
        </w:tc>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Modelo</w:t>
            </w:r>
          </w:p>
        </w:tc>
        <w:tc>
          <w:tcPr>
            <w:tcW w:type="dxa" w:w="2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RMSE en t/ha (rango 5 % a 95 %)</w:t>
            </w:r>
          </w:p>
        </w:tc>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MAE</w:t>
            </w:r>
          </w:p>
        </w:tc>
        <w:tc>
          <w:tcPr>
            <w:tcW w:type="dxa" w:w="1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R²</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V1</w:t>
            </w:r>
          </w:p>
        </w:tc>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B0, media global</w:t>
            </w:r>
          </w:p>
        </w:tc>
        <w:tc>
          <w:tcPr>
            <w:tcW w:type="dxa" w:w="2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0.843 (0.746 a 0.946)</w:t>
            </w:r>
          </w:p>
        </w:tc>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0.746</w:t>
            </w:r>
          </w:p>
        </w:tc>
        <w:tc>
          <w:tcPr>
            <w:tcW w:type="dxa" w:w="1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V1</w:t>
            </w:r>
          </w:p>
        </w:tc>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B1, solo Estado</w:t>
            </w:r>
          </w:p>
        </w:tc>
        <w:tc>
          <w:tcPr>
            <w:tcW w:type="dxa" w:w="2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0.588 (0.467 a 0.713)</w:t>
            </w:r>
          </w:p>
        </w:tc>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0.438</w:t>
            </w:r>
          </w:p>
        </w:tc>
        <w:tc>
          <w:tcPr>
            <w:tcW w:type="dxa" w:w="1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0.512</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V1</w:t>
            </w:r>
          </w:p>
        </w:tc>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B2, Estado y municipio agrupado</w:t>
            </w:r>
          </w:p>
        </w:tc>
        <w:tc>
          <w:tcPr>
            <w:tcW w:type="dxa" w:w="2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0.502 (0.386 a 0.626)</w:t>
            </w:r>
          </w:p>
        </w:tc>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0.354</w:t>
            </w:r>
          </w:p>
        </w:tc>
        <w:tc>
          <w:tcPr>
            <w:tcW w:type="dxa" w:w="1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0.641</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V2</w:t>
            </w:r>
          </w:p>
        </w:tc>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B0, media global</w:t>
            </w:r>
          </w:p>
        </w:tc>
        <w:tc>
          <w:tcPr>
            <w:tcW w:type="dxa" w:w="2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0.921 (0.758 a 1.019)</w:t>
            </w:r>
          </w:p>
        </w:tc>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0.807</w:t>
            </w:r>
          </w:p>
        </w:tc>
        <w:tc>
          <w:tcPr>
            <w:tcW w:type="dxa" w:w="1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V2</w:t>
            </w:r>
          </w:p>
        </w:tc>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B1, solo Estado</w:t>
            </w:r>
          </w:p>
        </w:tc>
        <w:tc>
          <w:tcPr>
            <w:tcW w:type="dxa" w:w="2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0.619 (0.525 a 0.691)</w:t>
            </w:r>
          </w:p>
        </w:tc>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0.474</w:t>
            </w:r>
          </w:p>
        </w:tc>
        <w:tc>
          <w:tcPr>
            <w:tcW w:type="dxa" w:w="1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0.534</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V2</w:t>
            </w:r>
          </w:p>
        </w:tc>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B2, Estado y municipio agrupado</w:t>
            </w:r>
          </w:p>
        </w:tc>
        <w:tc>
          <w:tcPr>
            <w:tcW w:type="dxa" w:w="2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0.524 (0.397 a 0.626)</w:t>
            </w:r>
          </w:p>
        </w:tc>
        <w:tc>
          <w:tcPr>
            <w:tcW w:type="dxa" w:w="1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0.379</w:t>
            </w:r>
          </w:p>
        </w:tc>
        <w:tc>
          <w:tcPr>
            <w:tcW w:type="dxa" w:w="1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0.655</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El error que queda dentro de cada región con B2 en V1 es de 0.68 t/ha en Otros Hidalgo, 0.55 en Chignahuapan, 0.43 en Singuilucan, 0.38 en Tlaxcala y 0.18 en Almoloya. En Chignahuapan el error de B2 (0.55) es casi igual a su desviación interna (0.58): ahí el promedio regional no explica nada más, y son 71 parcelas, 51 % del entrenamiento. Ese es el objetivo real de las variables de la Fase 2. En V3, B1 empeora frente a B0 en los tres grupos de Hidalgo donde se puede calcular.</w:t>
      </w:r>
    </w:p>
    <w:p>
      <w:pPr>
        <w:keepNext/>
        <w:spacing w:after="100" w:before="180"/>
      </w:pPr>
      <w:r>
        <w:rPr>
          <w:rFonts w:ascii="Times New Roman" w:cs="Times New Roman" w:eastAsia="Times New Roman" w:hAnsi="Times New Roman"/>
          <w:sz w:val="24"/>
          <w:szCs w:val="24"/>
        </w:rPr>
        <w:t xml:space="preserve">8.4 Hipótesis escritas antes de correr (registro_experimentos.csv)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cantSplit/>
          <w:tblHeader/>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Id</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Hipótesis</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Veredicto</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H1</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Solo el Estado baja el RMSE entre 25 y 30 % frente a la media global</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Cumplida: 30.4 % en V1 y 32.2 % en V2</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H2</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 y municipio mejora un poco más que solo Estado</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Cumplida en dirección, no en magnitud: 14.8 % en V1 y 15.5 % en V2</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H3</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V1 y V2 dan casi lo mismo en las líneas base</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Cumplida para B1 y B2, no para B0 (0.843 contra 0.921)</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H4</w:t>
            </w:r>
          </w:p>
        </w:tc>
        <w:tc>
          <w:tcPr>
            <w:tcW w:type="dxa" w:w="4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 error de B2 es mayor en Chignahuapan que en Tlaxcala</w:t>
            </w:r>
          </w:p>
        </w:tc>
        <w:tc>
          <w:tcPr>
            <w:tcW w:type="dxa" w:w="4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Cumplida: 0.550 contra 0.380 en V1</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Advertencias: el rango de 5 % a 95 % mide la variación entre divisiones repetidas de las mismas 138 parcelas y no es un intervalo de confianza para las 59 ocultas; los grupos pequeños dan cifras muy ruidosas (Almoloya, Otros Hidalgo y Singuilucan salen de 3 a 5 parcelas de validación por repetición); y la premisa de H2 era imprecisa, porque Otros Hidalgo rinde 4.09 t/ha y no cerca de 4.5. Productos: scripts 10, 20, 25, 30 y 35; carpetas datos y resultados; y registro_experimentos.csv.</w:t>
      </w:r>
    </w:p>
    <w:p>
      <w:pPr>
        <w:keepNext/>
        <w:spacing w:after="120" w:before="320"/>
      </w:pPr>
      <w:r>
        <w:rPr>
          <w:rFonts w:ascii="Times New Roman" w:cs="Times New Roman" w:eastAsia="Times New Roman" w:hAnsi="Times New Roman"/>
          <w:sz w:val="24"/>
          <w:szCs w:val="24"/>
        </w:rPr>
        <w:t xml:space="preserve">9. Agronomía: Bloques A y B</w:t>
      </w:r>
    </w:p>
    <w:p>
      <w:pPr>
        <w:keepNext w:val="false"/>
        <w:spacing w:after="120" w:before="0" w:line="264"/>
      </w:pPr>
      <w:r>
        <w:rPr>
          <w:rFonts w:ascii="Times New Roman" w:cs="Times New Roman" w:eastAsia="Times New Roman" w:hAnsi="Times New Roman"/>
          <w:sz w:val="24"/>
          <w:szCs w:val="24"/>
        </w:rPr>
        <w:t xml:space="preserve">Existen como documentos Word (preparacion/agronomia/A_fenologia.docx y B_estreses.docx) y como markdown; el Word es la versión vigente (ver sección 12). Del Bloque A: la escala Zadoks tiene 10 estadios principales [V] (Servicio Agrícola y Ganadero, s. f.); en Adabella, variedad maltera, la floración llega de 48 a 72 días después de la siembra y la madurez de 90 a 132 días [V] (Zamora Díaz et al., 2008); la siembra recomendada va del 1 de mayo al 15 de junio [V] (Gómez Mercado, 2022), y la siembra muy temprana también baja el rendimiento y la calidad [V] (Rojas Martínez y Zamora Díaz, 2017). Consecuencia para nuestros datos: la ventana de abril a octubre incluye abril, antes de sembrar, y puede dejar fuera la cosecha de siembras tardías, que llega hasta noviembre [CP]. Las fechas reales de siembra no las tenemos [PV].</w:t>
      </w:r>
    </w:p>
    <w:p>
      <w:pPr>
        <w:keepNext w:val="false"/>
        <w:spacing w:after="120" w:before="0" w:line="264"/>
      </w:pPr>
      <w:r>
        <w:rPr>
          <w:rFonts w:ascii="Times New Roman" w:cs="Times New Roman" w:eastAsia="Times New Roman" w:hAnsi="Times New Roman"/>
          <w:sz w:val="24"/>
          <w:szCs w:val="24"/>
        </w:rPr>
        <w:t xml:space="preserve">Del Bloque B: las primeras heladas llegan en la última semana de septiembre en Tlaxcala [V] (Rojas Martínez y Zamora Díaz, 2017), y no hay umbral de helada o calor de cebada con fuente mexicana [PV]. En Calpulalpan el rendimiento SIAP fue de 1.8 t/ha en 2009 y 0.47 en 2011, contra 2.53 de promedio de 2003 a 2012 [V] (Calderón-García et al., 2015); la atribución de los autores al exceso de lluvia es interpretación suya [PV]. Un promedio mensual de Tmin no dice si hubo helada, y una celda de 5.5 km no ve las bolsas de helada [CP].</w:t>
      </w:r>
    </w:p>
    <w:p>
      <w:pPr>
        <w:keepNext/>
        <w:spacing w:after="120" w:before="0" w:line="264"/>
      </w:pPr>
      <w:r>
        <w:rPr>
          <w:rFonts w:ascii="Times New Roman" w:cs="Times New Roman" w:eastAsia="Times New Roman" w:hAnsi="Times New Roman"/>
          <w:sz w:val="24"/>
          <w:szCs w:val="24"/>
        </w:rPr>
        <w:t xml:space="preserve">Hipótesis medibles que dejaron los dos bloques (todas dentro de región, sin probar):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900"/>
        <w:gridCol w:w="1760"/>
      </w:tblGrid>
      <w:tr>
        <w:trPr>
          <w:cantSplit/>
          <w:tblHeader/>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Id</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Variable y signo esperado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Dato disponible</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A1</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Fecha en que el NDVI de PRO cruza un umbral (proxy de siembra), signo negativo; puede ser curva</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PRO 2025</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A2</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Duración del ciclo (del ascenso a la caída del NDVI), positivo hasta un punto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PRO 2025</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A3</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NDVI máximo del ciclo, positivo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PRO y Básico</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A4</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Tmin de julio y agosto, signo sin fijar</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Temperatura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A5</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Tmin de septiembre y octubre, positivo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Temperatura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A6</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Lluvia de junio y julio, positivo; de agosto y septiembre, sin signo fijo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Precipitación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B1</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Tmax de agosto y septiembre, negativo (efecto débil esperado)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Temperatura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B2</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Mes más seco de junio a septiembre, positivo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Precipitación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B3</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Lluvia de junio, forma curva</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Precipitación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B4</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Lluvia total del ciclo, forma curva</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Precipitación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B5</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Altitud, negativo (signo incierto)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Elevación del DEM</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B6</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 según la lluvia (interacción)</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 y precipitación</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B7</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Caída del NDVI de Planet después del máximo, negativo</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PRO 2025</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r>
        <w:trPr>
          <w:cantSplit/>
          <w:tblHeader w:val="false"/>
        </w:trPr>
        <w:tc>
          <w:tcPr>
            <w:tcW w:type="dxa" w:w="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B8</w:t>
            </w:r>
          </w:p>
        </w:tc>
        <w:tc>
          <w:tcPr>
            <w:tcW w:type="dxa" w:w="5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Rango térmico de septiembre (Tmax menos Tmin), negativo débil</w:t>
            </w:r>
          </w:p>
        </w:tc>
        <w:tc>
          <w:tcPr>
            <w:tcW w:type="dxa" w:w="19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Temperatura mensual</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 probar</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Regla del proyecto: cada hipótesis se registra en registro_experimentos.csv antes de probarse. Hoy ese archivo solo contiene H1 a H4 y una nota de diseño (E0); A1 a A6 y B1 a B8 todavía no están registradas.</w:t>
      </w:r>
    </w:p>
    <w:p>
      <w:pPr>
        <w:keepNext/>
        <w:spacing w:after="120" w:before="320"/>
      </w:pPr>
      <w:r>
        <w:rPr>
          <w:rFonts w:ascii="Times New Roman" w:cs="Times New Roman" w:eastAsia="Times New Roman" w:hAnsi="Times New Roman"/>
          <w:sz w:val="24"/>
          <w:szCs w:val="24"/>
        </w:rPr>
        <w:t xml:space="preserve">10. Qué debo estudiar</w:t>
      </w:r>
    </w:p>
    <w:p>
      <w:pPr>
        <w:keepNext/>
        <w:spacing w:after="120" w:before="0" w:line="264"/>
      </w:pPr>
      <w:r>
        <w:rPr>
          <w:rFonts w:ascii="Times New Roman" w:cs="Times New Roman" w:eastAsia="Times New Roman" w:hAnsi="Times New Roman"/>
          <w:sz w:val="24"/>
          <w:szCs w:val="24"/>
        </w:rPr>
        <w:t xml:space="preserve">Mapa de estudio construido con el plan de 04_plan_de_trabajo.md (Fase 0, bloques A a F) y los prompts 1A y 1B del mensaje maestro. Cada bloque debe terminar en una hoja de una página, preguntas de repaso y una lista de hipótesis medibles.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2400"/>
        <w:gridCol w:w="1760"/>
      </w:tblGrid>
      <w:tr>
        <w:trPr>
          <w:cantSplit/>
          <w:tblHeader/>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Bloque</w:t>
            </w:r>
          </w:p>
        </w:tc>
        <w:tc>
          <w:tcPr>
            <w:tcW w:type="dxa" w:w="3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Qué debo poder explicar</w:t>
            </w:r>
          </w:p>
        </w:tc>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Documento</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 fenología y etapas críticas</w:t>
            </w:r>
          </w:p>
        </w:tc>
        <w:tc>
          <w:tcPr>
            <w:tcW w:type="dxa" w:w="3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Escala Zadoks; duración de etapas en Valles Altos; fechas de siembra; componentes del rendimiento; por qué abril a octubre puede no ser la ventana correcta</w:t>
            </w:r>
          </w:p>
        </w:tc>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A_fenologia.docx (hoja, A1 a A6, 5 preguntas de repaso)</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Listo</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 estreses climáticos</w:t>
            </w:r>
          </w:p>
        </w:tc>
        <w:tc>
          <w:tcPr>
            <w:tcW w:type="dxa" w:w="3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Heladas temprana y en espigado, calor en el llenado, sequía y exceso de humedad; por qué un promedio mensual no detecta heladas</w:t>
            </w:r>
          </w:p>
        </w:tc>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B_estreses.docx (B1 a B8, 5 preguntas de repaso)</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Listo</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 sanidad, manejo y calidad maltera</w:t>
            </w:r>
          </w:p>
        </w:tc>
        <w:tc>
          <w:tcPr>
            <w:tcW w:type="dxa" w:w="3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Roya, mancha reticulada, escaldadura y fusarium (verificar cuáles aplican); fecha de siembra, variedad, nitrógeno, temporal o riego; calidad maltera</w:t>
            </w:r>
          </w:p>
        </w:tc>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No existe</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 (prompt 1A)</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 contexto regional</w:t>
            </w:r>
          </w:p>
        </w:tc>
        <w:tc>
          <w:tcPr>
            <w:tcW w:type="dxa" w:w="3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Zonas cebaderas de Hidalgo, Tlaxcala y Puebla; por qué Singuilucan es distinto; una ficha por municipio</w:t>
            </w:r>
          </w:p>
        </w:tc>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No existe como documento; hay piezas en el Bloque B (sección 3) y en 01_sintesis</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 (prompt 1A)</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 cómo se miden las cosas</w:t>
            </w:r>
          </w:p>
        </w:tc>
        <w:tc>
          <w:tcPr>
            <w:tcW w:type="dxa" w:w="3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NDVI, EVI, SAVI, MSAVI y LAI (qué miden y cuándo saturan); Sentinel-2, Landsat y Planet; resolución real de CHIRPS, CHIRTS-ERA5 y DEM; GeoTIFF; centroide contra estadísticas zonales</w:t>
            </w:r>
          </w:p>
        </w:tc>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No existe; punto de partida: diccionario de índices y PDF de la líder</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 (prompt 1B)</w:t>
            </w:r>
          </w:p>
        </w:tc>
      </w:tr>
      <w:tr>
        <w:trPr>
          <w:cantSplit/>
          <w:tblHeader w:val="false"/>
        </w:trPr>
        <w:tc>
          <w:tcPr>
            <w:tcW w:type="dxa" w:w="1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 estadística para n pequeño</w:t>
            </w:r>
          </w:p>
        </w:tc>
        <w:tc>
          <w:tcPr>
            <w:tcW w:type="dxa" w:w="37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Validación agrupada, fuga de información, por qué un modelo simple con 138 filas, regularización, intervalos de incertidumbre</w:t>
            </w:r>
          </w:p>
        </w:tc>
        <w:tc>
          <w:tcPr>
            <w:tcW w:type="dxa" w:w="2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No existe como documento de estudio; el diseño V1, V2 y V3 está en 01_plan_fase1.md</w:t>
            </w:r>
          </w:p>
        </w:tc>
        <w:tc>
          <w:tcPr>
            <w:tcW w:type="dxa" w:w="1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Pendiente (prompt 1B)</w:t>
            </w:r>
          </w:p>
        </w:tc>
      </w:tr>
    </w:tbl>
    <w:p>
      <w:pPr>
        <w:spacing w:after="80" w:before="0"/>
      </w:pPr>
    </w:p>
    <w:p>
      <w:pPr>
        <w:keepNext/>
        <w:spacing w:after="120" w:before="0" w:line="264"/>
      </w:pPr>
      <w:r>
        <w:rPr>
          <w:rFonts w:ascii="Times New Roman" w:cs="Times New Roman" w:eastAsia="Times New Roman" w:hAnsi="Times New Roman"/>
          <w:sz w:val="24"/>
          <w:szCs w:val="24"/>
        </w:rPr>
        <w:t xml:space="preserve">Preguntas que debo poder defender ante el jurado y dónde está la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400"/>
        <w:gridCol w:w="1460"/>
      </w:tblGrid>
      <w:tr>
        <w:trPr>
          <w:cantSplit/>
          <w:tblHeader/>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Pregunta</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Respuesta corta</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Sección</w:t>
            </w:r>
          </w:p>
        </w:tc>
      </w:tr>
      <w:tr>
        <w:trPr>
          <w:cantSplit/>
          <w:tblHeader w:val="false"/>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¿Por qué importa tanto el Estado?</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Explica 50 % de la varianza; por eso las líneas base B1 y B2 son el piso que deben superar las variables</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 y 8</w:t>
            </w:r>
          </w:p>
        </w:tc>
      </w:tr>
      <w:tr>
        <w:trPr>
          <w:cantSplit/>
          <w:tblHeader w:val="false"/>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¿Por qué dos esquemas de validación?</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V1 imita la separación real (92 % contra 97 % de parcelas con vecino); V2 es una prueba de esfuerzo más dura que la realidad</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8</w:t>
            </w:r>
          </w:p>
        </w:tc>
      </w:tr>
      <w:tr>
        <w:trPr>
          <w:cantSplit/>
          <w:tblHeader w:val="false"/>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¿Por qué no mezclar Básico y PRO?</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Son sensores distintos con escalas distintas (LAI unas 8 veces mayor en PRO)</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w:t>
            </w:r>
          </w:p>
        </w:tc>
      </w:tr>
      <w:tr>
        <w:trPr>
          <w:cantSplit/>
          <w:tblHeader w:val="false"/>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¿Por qué no imputar los huecos?</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Los faltantes son nubosidad de 100 %, no azar</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w:t>
            </w:r>
          </w:p>
        </w:tc>
      </w:tr>
      <w:tr>
        <w:trPr>
          <w:cantSplit/>
          <w:tblHeader w:val="false"/>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¿Por qué centroide para el clima y zonal para el DEM?</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Las celdas climáticas de 5 km son mucho mayores que la parcela; las de 120 m no, y varias parcelas cubren muchos píxeles</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w:t>
            </w:r>
          </w:p>
        </w:tc>
      </w:tr>
      <w:tr>
        <w:trPr>
          <w:cantSplit/>
          <w:tblHeader w:val="false"/>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¿Por qué la lluvia (−0.47) no prueba causalidad?</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La región y Singuilucan mueven el resultado; solo hay un ciclo con rendimiento</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 y 6</w:t>
            </w:r>
          </w:p>
        </w:tc>
      </w:tr>
      <w:tr>
        <w:trPr>
          <w:cantSplit/>
          <w:tblHeader w:val="false"/>
        </w:trPr>
        <w:tc>
          <w:tcPr>
            <w:tcW w:type="dxa" w:w="3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¿Por qué abril a octubre es una ventana aproximada?</w:t>
            </w:r>
          </w:p>
        </w:tc>
        <w:tc>
          <w:tcPr>
            <w:tcW w:type="dxa" w:w="44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Siembra de mayo a junio y cosecha que puede llegar a noviembre; falta la fecha real por parcela</w:t>
            </w:r>
          </w:p>
        </w:tc>
        <w:tc>
          <w:tcPr>
            <w:tcW w:type="dxa" w:w="14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9</w:t>
            </w:r>
          </w:p>
        </w:tc>
      </w:tr>
    </w:tbl>
    <w:p>
      <w:pPr>
        <w:keepNext/>
        <w:spacing w:after="120" w:before="320"/>
      </w:pPr>
      <w:r>
        <w:rPr>
          <w:rFonts w:ascii="Times New Roman" w:cs="Times New Roman" w:eastAsia="Times New Roman" w:hAnsi="Times New Roman"/>
          <w:sz w:val="24"/>
          <w:szCs w:val="24"/>
        </w:rPr>
        <w:t xml:space="preserve">11. Pendientes, decisiones y preguntas a los organizadores</w:t>
      </w:r>
    </w:p>
    <w:p>
      <w:pPr>
        <w:keepNext/>
        <w:spacing w:after="120" w:before="0" w:line="264"/>
      </w:pPr>
      <w:r>
        <w:rPr>
          <w:rFonts w:ascii="Times New Roman" w:cs="Times New Roman" w:eastAsia="Times New Roman" w:hAnsi="Times New Roman"/>
          <w:sz w:val="24"/>
          <w:szCs w:val="24"/>
        </w:rPr>
        <w:t xml:space="preserve">Preguntas a los organizadores (consolidadas de los EDA, el plan de trabajo y el Bloque B; conviene enviarlas juntas y pronto):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cantSplit/>
          <w:tblHeader/>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N.º</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Pregunta</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Fecha de siembra y de cosecha por parcela, o al menos la ventana fenológica del ciclo 2025; variedad y sistema (temporal o riego de auxilio)</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Rendimientos de ciclos anteriores por parcela, aunque sean regionales o agregados</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 combinar variables de Planet y de Sentinel-2 y Landsat en un mismo modelo se considera fusión</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Registros de heladas, granizo, sequía o anegamiento en 2025, con fechas</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5</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 el LAI negativo (42.2 % de las lecturas de Básico) es esperado o debe truncarse; si el LAI de Básico es utilizable</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6</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Cuál es el área oficial (atributo del shapefile o área geométrica, con 0.68 % de diferencia) y si desean corregir las geometrías AGC_070 y AGC_078</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7</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Origen de las lluvias de Singuilucan (1,135 a 1,335 mm) y si hay estaciones que las confirmen</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8</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 existe el DEM de mayor resolución (la descripción cita el CEM 4.0 de 15 m y se entregó de 120 m)</w:t>
            </w:r>
          </w:p>
        </w:tc>
      </w:tr>
      <w:tr>
        <w:trPr>
          <w:cantSplit/>
          <w:tblHeader w:val="false"/>
        </w:trPr>
        <w:tc>
          <w:tcPr>
            <w:tcW w:type="dxa" w:w="6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9</w:t>
            </w:r>
          </w:p>
        </w:tc>
        <w:tc>
          <w:tcPr>
            <w:tcW w:type="dxa" w:w="87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Qué formato de dashboard exige el reto (dato necesario antes de la semana 4)</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Decisiones internas abiertas: ventana del ciclo (abril a octubre o ventanas fenológicas); si Estado y Municipio entran como variable explícita; tratamiento del LAI negativo; tratamiento de outliers de área y pendiente; reparto del trabajo hasta el 19 de octubre, incluido quién toma el dashboard; tiempo semanal disponible; y si hay acceso a alguien con conocimiento agronómico (asesor, profesor, contacto de FIRA o INIFAP). Ya resueltas: la fecha de entrega (19 de octubre) y el esquema de validación (V1 principal, V2 prueba de esfuerzo, V3 para la Fase 4).</w:t>
      </w:r>
    </w:p>
    <w:p>
      <w:pPr>
        <w:keepNext/>
        <w:spacing w:after="120" w:before="320"/>
      </w:pPr>
      <w:r>
        <w:rPr>
          <w:rFonts w:ascii="Times New Roman" w:cs="Times New Roman" w:eastAsia="Times New Roman" w:hAnsi="Times New Roman"/>
          <w:sz w:val="24"/>
          <w:szCs w:val="24"/>
        </w:rPr>
        <w:t xml:space="preserve">12. Validación de los markdowns contra los documentos de preparación</w:t>
      </w:r>
    </w:p>
    <w:p>
      <w:pPr>
        <w:keepNext w:val="false"/>
        <w:spacing w:after="120" w:before="0" w:line="264"/>
      </w:pPr>
      <w:r>
        <w:rPr>
          <w:rFonts w:ascii="Times New Roman" w:cs="Times New Roman" w:eastAsia="Times New Roman" w:hAnsi="Times New Roman"/>
          <w:sz w:val="24"/>
          <w:szCs w:val="24"/>
        </w:rPr>
        <w:t xml:space="preserve">Método: comparé A_fenologia.md con A_fenologia.docx y B_estreses.md con B_estreses.docx (marcas de verificación, secciones, hipótesis, preguntas, enlaces y citas contra referencias); comparé lo que piden 00_mensaje_maestro.md y 04_plan_de_trabajo.md para estudiar con los documentos que existen; y revisé las cifras de los markdowns contra los PDF de la líder y los CSV de resultados. No modifiqué ningún archivo existente.</w:t>
      </w:r>
    </w:p>
    <w:p>
      <w:pPr>
        <w:keepNext/>
        <w:spacing w:after="100" w:before="180"/>
      </w:pPr>
      <w:r>
        <w:rPr>
          <w:rFonts w:ascii="Times New Roman" w:cs="Times New Roman" w:eastAsia="Times New Roman" w:hAnsi="Times New Roman"/>
          <w:sz w:val="24"/>
          <w:szCs w:val="24"/>
        </w:rPr>
        <w:t xml:space="preserve">12.1 Bloque A, markdown contra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cantSplit/>
          <w:tblHeader/>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Aspecto</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Markdown</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Word</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Estado</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Versión anterior</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Dice de forma explícita que reemplaza al markdown</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Marcas [V]</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16</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33 (verificó más al leer fuentes que antes no abría)</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Hipótesis A1 a A6 y 5 preguntas de repaso</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Presentes</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Presentes; A1 añade que la siembra muy temprana también baja el rendimiento, así que puede ser una curva</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Variedad Maravilla</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Se usa como referencia de duración maltera</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 forrajera y no aplica a cebada maltera</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Duración de Calpulalpan</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46 a 57 días a floración y 98 a 106 a madurez, presentados como datos de Calpulalpan</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Son promedios de cinco sitios; Calpulalpan fue el más tardío</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Fechas de siembra por lluvia</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Tres ambientes atribuidos al artículo de INIFAP (2022)</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Ese artículo solo dice 1 de mayo a 15 de junio; los ambientes vienen de las agendas de Tlaxcala e Hidalgo</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Componentes del rendimiento</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[V-parcial] y [PV]</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 con Rios et al. (2011) y Da Silva y Dietz (2022)</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Fuentes sin abrir</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Tres sin leer</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Ya leídas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Secciones y referencias</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Lista de enlaces</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Añade cambios respecto a la versión anterior, estado de las fuentes y referencias en APA</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Resultado: no se pierde ninguna sección, hipótesis ni pregunta al pasar del markdown al Word, y el Word corrige cuatro errores de atribución del markdown. El markdown está desactualizado y sigue en la carpeta sin aviso, por lo que alguien podría estudiar de él por error.</w:t>
      </w:r>
    </w:p>
    <w:p>
      <w:pPr>
        <w:keepNext/>
        <w:spacing w:after="100" w:before="180"/>
      </w:pPr>
      <w:r>
        <w:rPr>
          <w:rFonts w:ascii="Times New Roman" w:cs="Times New Roman" w:eastAsia="Times New Roman" w:hAnsi="Times New Roman"/>
          <w:sz w:val="24"/>
          <w:szCs w:val="24"/>
        </w:rPr>
        <w:t xml:space="preserve">12.2 Bloque B, markdown contra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cantSplit/>
          <w:tblHeader/>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Aspecto</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Markdown</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Word</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Título de la sección 1</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Los cuatro estreses</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Los cinco estreses (la tabla tiene cinco filas: helada temprana, helada en espigado, calor, sequía y exceso de humedad)</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Atribuciones</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Institución o sitio (INIA Uruguay, UNLP, GRDC, Frontiers)</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Autores y año (Pérez et al., 2022; Da Silva y Dietz, 2022; Manik et al., 2022; Cooke, 2023; Berki et al., 2025; Savin et al., 1997)</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Espiguillas vanas por helada</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[V-parcial]</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B4, lluvia total del ciclo</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Mejor respuesta entre 400 y 700 mm [V]</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Apta de 400 a 500 mm y no apta arriba de 700 mm [V]</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B5, altitud</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Estación de crecimiento más corta [V]</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Más riesgo de helada y ciclo más lento [PV]; añade que Calpulalpan, a 2,600 m, fue el sitio más tardío [V]</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Hipótesis B1 a B8, 5 preguntas de repaso, 4 preguntas a organizadores</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Presentes</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Presentes y con el mismo contenido</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Marcas [V] y [V-parcial]</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27 y 14</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26 y 15</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Referencias</w:t>
            </w:r>
          </w:p>
        </w:tc>
        <w:tc>
          <w:tcPr>
            <w:tcW w:type="dxa" w:w="33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Enlaces y estado de lectura</w:t>
            </w:r>
          </w:p>
        </w:tc>
        <w:tc>
          <w:tcPr>
            <w:tcW w:type="dxa" w:w="40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Referencias en APA con DOI y tabla de estado de las fuentes</w:t>
            </w:r>
          </w:p>
        </w:tc>
      </w:tr>
    </w:tbl>
    <w:p>
      <w:pPr>
        <w:spacing w:after="80" w:before="0"/>
      </w:pPr>
    </w:p>
    <w:p>
      <w:pPr>
        <w:keepNext w:val="false"/>
        <w:spacing w:after="120" w:before="0" w:line="264"/>
      </w:pPr>
      <w:r>
        <w:rPr>
          <w:rFonts w:ascii="Times New Roman" w:cs="Times New Roman" w:eastAsia="Times New Roman" w:hAnsi="Times New Roman"/>
          <w:sz w:val="24"/>
          <w:szCs w:val="24"/>
        </w:rPr>
        <w:t xml:space="preserve">Resultado: contenido equivalente, con degradaciones honestas de [V] a [V-parcial] o [PV] en el Word. Un punto por confirmar: el markdown cita un artículo de PMC (PMC12309998) para la sequía en espigado y el Word lo cita como Berki et al. (2025); parece el mismo artículo, pero no lo verifiqué. Además, todas las citas de ambos Word tienen su referencia en la lista.</w:t>
      </w:r>
    </w:p>
    <w:p>
      <w:pPr>
        <w:keepNext/>
        <w:spacing w:after="100" w:before="180"/>
      </w:pPr>
      <w:r>
        <w:rPr>
          <w:rFonts w:ascii="Times New Roman" w:cs="Times New Roman" w:eastAsia="Times New Roman" w:hAnsi="Times New Roman"/>
          <w:sz w:val="24"/>
          <w:szCs w:val="24"/>
        </w:rPr>
        <w:t xml:space="preserve">12.3 Cobertura del plan de estudio</w:t>
      </w:r>
    </w:p>
    <w:p>
      <w:pPr>
        <w:keepNext w:val="false"/>
        <w:spacing w:after="120" w:before="0" w:line="264"/>
      </w:pPr>
      <w:r>
        <w:rPr>
          <w:rFonts w:ascii="Times New Roman" w:cs="Times New Roman" w:eastAsia="Times New Roman" w:hAnsi="Times New Roman"/>
          <w:sz w:val="24"/>
          <w:szCs w:val="24"/>
        </w:rPr>
        <w:t xml:space="preserve">Los documentos actuales cubren los bloques A y B. Faltan como documento C (sanidad y manejo), D (contexto regional), E (teledetección y datos) y F (estadística para n pequeño); ver la sección 10. Además, el mensaje maestro define los bloques A a D dentro del prompt 1A y el plan de trabajo define A a F, con E y F equivalentes al prompt 1B, así que conviene fijar una sola numeración.</w:t>
      </w:r>
    </w:p>
    <w:p>
      <w:pPr>
        <w:keepNext/>
        <w:spacing w:after="100" w:before="180"/>
      </w:pPr>
      <w:r>
        <w:rPr>
          <w:rFonts w:ascii="Times New Roman" w:cs="Times New Roman" w:eastAsia="Times New Roman" w:hAnsi="Times New Roman"/>
          <w:sz w:val="24"/>
          <w:szCs w:val="24"/>
        </w:rPr>
        <w:t xml:space="preserve">12.4 Markdowns y documentos con información desactualizada o inconsistente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cantSplit/>
          <w:tblHeader/>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Archivo</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Dice</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Correcto y fuente</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preparacion/README.md</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La carpeta agronomia está vacía</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Contiene A y B en markdown y Word</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01_plan_fase1.md, última viñeta</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La agronomía (1A) está sin hacer</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A y B hechos; C y D pendientes</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00_mensaje_maestro.md</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Entrega el 2026-10-20</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Entrega el 19 de octubre; el propio archivo lo anota en sus notas</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01_sintesis, 02, 03 y 04 de prep_equipo</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Unos 50 o 53 valores climáticos distintos</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25 celdas reales (01_plan_fase1.md y PDF de la líder)</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04_plan_de_trabajo.md</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Fecha de entrega y esquema de validación como decisiones abiertas</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Resueltas: 19 de octubre; V1, V2 y V3</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02 y 04 de prep_equipo</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Tmin dentro de cada Estado, de −0.07 a −0.12</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01_sintesis da Tlaxcala −0.07, Puebla −0.05 e Hidalgo −0.12; el rango correcto es de −0.05 a −0.12</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Notas_comparacion_Reto_vs_EDA.docx</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Tmin, SAVI, pendiente y elevación son las variables más claras para el primer modelo</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Es de una etapa anterior; el hallazgo regional (sección 5) lo matiza</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eda/05_shapefile_parcelas.md</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Municipio más numeroso después de Calpulalpan: Almoloya (14)</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Singuilucan (23); Almoloya es cuarto según el catálogo de la líder. El hallazgo 5 del mismo archivo sí lo dice bien</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eda/08_raster_topografia.md</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Zona agrícola de Españita, Tlaxcala</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Las parcelas están en Puebla, Hidalgo y Tlaxcala; 01_sintesis ya lo señaló</w:t>
            </w:r>
          </w:p>
        </w:tc>
      </w:tr>
      <w:tr>
        <w:trPr>
          <w:cantSplit/>
          <w:tblHeader w:val="false"/>
        </w:trPr>
        <w:tc>
          <w:tcPr>
            <w:tcW w:type="dxa" w:w="25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eda/resumen_general.md</w:t>
            </w:r>
          </w:p>
        </w:tc>
        <w:tc>
          <w:tcPr>
            <w:tcW w:type="dxa" w:w="320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ENTRENOMIENTO</w:t>
            </w:r>
          </w:p>
        </w:tc>
        <w:tc>
          <w:tcPr>
            <w:tcW w:type="dxa" w:w="3660"/>
            <w:tcBorders>
              <w:top w:val="single" w:color="000000" w:sz="4"/>
              <w:left w:val="single" w:color="000000" w:sz="4"/>
              <w:bottom w:val="single" w:color="000000" w:sz="4"/>
              <w:right w:val="single" w:color="000000" w:sz="4"/>
            </w:tcBorders>
            <w:shd w:fill="FFFFFF" w:color="auto" w:val="clear"/>
            <w:tcMar>
              <w:top w:type="dxa" w:w="50"/>
              <w:left w:type="dxa" w:w="90"/>
              <w:bottom w:type="dxa" w:w="50"/>
              <w:right w:type="dxa" w:w="90"/>
            </w:tcMar>
          </w:tcPr>
          <w:p>
            <w:pPr>
              <w:spacing w:after="20" w:before="0"/>
            </w:pPr>
            <w:r>
              <w:rPr>
                <w:rFonts w:ascii="Times New Roman" w:cs="Times New Roman" w:eastAsia="Times New Roman" w:hAnsi="Times New Roman"/>
                <w:sz w:val="18"/>
                <w:szCs w:val="18"/>
              </w:rPr>
              <w:t xml:space="preserve">ENTRENAMIENTO</w:t>
            </w:r>
          </w:p>
        </w:tc>
      </w:tr>
    </w:tbl>
    <w:p>
      <w:pPr>
        <w:keepNext/>
        <w:spacing w:after="100" w:before="180"/>
      </w:pPr>
      <w:r>
        <w:rPr>
          <w:rFonts w:ascii="Times New Roman" w:cs="Times New Roman" w:eastAsia="Times New Roman" w:hAnsi="Times New Roman"/>
          <w:sz w:val="24"/>
          <w:szCs w:val="24"/>
        </w:rPr>
        <w:t xml:space="preserve">12.5 Cifras que sí coinciden</w:t>
      </w:r>
    </w:p>
    <w:p>
      <w:pPr>
        <w:keepNext w:val="false"/>
        <w:spacing w:after="120" w:before="0" w:line="264"/>
      </w:pPr>
      <w:r>
        <w:rPr>
          <w:rFonts w:ascii="Times New Roman" w:cs="Times New Roman" w:eastAsia="Times New Roman" w:hAnsi="Times New Roman"/>
          <w:sz w:val="24"/>
          <w:szCs w:val="24"/>
        </w:rPr>
        <w:t xml:space="preserve">Las líneas base, el veredicto de H1 a H4, el LAI negativo y el porcentaje de parcelas con vecino en V1, V2 y V3 de 01_plan_fase1.md coinciden con los CSV de resultados. Las 107,666 filas de Básico son la suma de Sentinel-2 (59,040) y Landsat (48,626), como reporta la líder, y sus 44,877 lecturas de LAI son las mismas que cuenta la Fase 1. Los repartos 71 y 29, 36 y 15, 31 y 15 coinciden con el catálogo de la líder. Las 25 celdas y las 31 parcelas que tocan más de una celda coinciden con el control de temperatura de la líder. Las fechas del calendario del Bloque A se recalcularon sumando días y coinciden, y la razón de 1.6 a 1.9 veces el límite de 700 mm para Singuilucan del Bloque B también.</w:t>
      </w:r>
    </w:p>
    <w:p>
      <w:pPr>
        <w:keepNext/>
        <w:spacing w:after="100" w:before="180"/>
      </w:pPr>
      <w:r>
        <w:rPr>
          <w:rFonts w:ascii="Times New Roman" w:cs="Times New Roman" w:eastAsia="Times New Roman" w:hAnsi="Times New Roman"/>
          <w:sz w:val="24"/>
          <w:szCs w:val="24"/>
        </w:rPr>
        <w:t xml:space="preserve">12.6 Lo que no verifiqué</w:t>
      </w:r>
    </w:p>
    <w:p>
      <w:pPr>
        <w:keepNext w:val="false"/>
        <w:spacing w:after="120" w:before="0" w:line="264"/>
      </w:pPr>
      <w:r>
        <w:rPr>
          <w:rFonts w:ascii="Times New Roman" w:cs="Times New Roman" w:eastAsia="Times New Roman" w:hAnsi="Times New Roman"/>
          <w:sz w:val="24"/>
          <w:szCs w:val="24"/>
        </w:rPr>
        <w:t xml:space="preserve">No reabrí las fuentes agronómicas de la web, así que las marcas [V] son las de los documentos, y no recalculé los folds ni las líneas base; me apoyé en los CSV y en la revisión independiente que ya consta en 01_plan_fase1.md.</w:t>
      </w:r>
    </w:p>
    <w:p>
      <w:pPr>
        <w:keepNext/>
        <w:spacing w:after="120" w:before="320"/>
      </w:pPr>
      <w:r>
        <w:rPr>
          <w:rFonts w:ascii="Times New Roman" w:cs="Times New Roman" w:eastAsia="Times New Roman" w:hAnsi="Times New Roman"/>
          <w:sz w:val="24"/>
          <w:szCs w:val="24"/>
        </w:rPr>
        <w:t xml:space="preserve">Referencias</w:t>
      </w:r>
    </w:p>
    <w:p>
      <w:pPr>
        <w:spacing w:after="100" w:before="0" w:line="264"/>
        <w:ind w:left="720" w:hanging="720"/>
      </w:pPr>
      <w:r>
        <w:rPr>
          <w:rFonts w:ascii="Times New Roman" w:cs="Times New Roman" w:eastAsia="Times New Roman" w:hAnsi="Times New Roman"/>
          <w:sz w:val="24"/>
          <w:szCs w:val="24"/>
        </w:rPr>
        <w:t xml:space="preserve">Calderón-García, J. O., Monterroso-Rivas, A. I. y Gómez-Díaz, J. D. (2015). Cambio climático en el centro de México: Impacto en la producción de cebada (Hordeum vulgare) en Tlaxcala. Ra Ximhai, 11(5), 37–46. https://www.redalyc.org/pdf/461/46142593002.pdf</w:t>
      </w:r>
    </w:p>
    <w:p>
      <w:pPr>
        <w:spacing w:after="100" w:before="0" w:line="264"/>
        <w:ind w:left="720" w:hanging="720"/>
      </w:pPr>
      <w:r>
        <w:rPr>
          <w:rFonts w:ascii="Times New Roman" w:cs="Times New Roman" w:eastAsia="Times New Roman" w:hAnsi="Times New Roman"/>
          <w:sz w:val="24"/>
          <w:szCs w:val="24"/>
        </w:rPr>
        <w:t xml:space="preserve">Climate Hazards Center. (2025). CHIRTS-ERA5 Data Repository. University of California, Santa Barbara. https://doi.org/10.15780/G2F08J</w:t>
      </w:r>
    </w:p>
    <w:p>
      <w:pPr>
        <w:spacing w:after="100" w:before="0" w:line="264"/>
        <w:ind w:left="720" w:hanging="720"/>
      </w:pPr>
      <w:r>
        <w:rPr>
          <w:rFonts w:ascii="Times New Roman" w:cs="Times New Roman" w:eastAsia="Times New Roman" w:hAnsi="Times New Roman"/>
          <w:sz w:val="24"/>
          <w:szCs w:val="24"/>
        </w:rPr>
        <w:t xml:space="preserve">Funk, C., Peterson, P., Landsfeld, M., Pedreros, D., Verdin, J., Shukla, S., Husak, G., Rowland, J., Harrison, L., Hoell, A. y Michaelsen, J. (2015). The climate hazards infrared precipitation with stations: A new environmental record for monitoring extremes. Scientific Data, 2, Artículo 150066. https://doi.org/10.1038/sdata.2015.66</w:t>
      </w:r>
    </w:p>
    <w:p>
      <w:pPr>
        <w:spacing w:after="100" w:before="0" w:line="264"/>
        <w:ind w:left="720" w:hanging="720"/>
      </w:pPr>
      <w:r>
        <w:rPr>
          <w:rFonts w:ascii="Times New Roman" w:cs="Times New Roman" w:eastAsia="Times New Roman" w:hAnsi="Times New Roman"/>
          <w:sz w:val="24"/>
          <w:szCs w:val="24"/>
        </w:rPr>
        <w:t xml:space="preserve">Gómez Mercado, R. (2022, 19 de septiembre). Cebada maltera de temporal en Valles Altos de México. Instituto Nacional de Investigaciones Forestales, Agrícolas y Pecuarias. https://www.gob.mx/inifap/articulos/cebada-maltera-de-temporal-en-valles-altos-de-mexico</w:t>
      </w:r>
    </w:p>
    <w:p>
      <w:pPr>
        <w:spacing w:after="100" w:before="0" w:line="264"/>
        <w:ind w:left="720" w:hanging="720"/>
      </w:pPr>
      <w:r>
        <w:rPr>
          <w:rFonts w:ascii="Times New Roman" w:cs="Times New Roman" w:eastAsia="Times New Roman" w:hAnsi="Times New Roman"/>
          <w:sz w:val="24"/>
          <w:szCs w:val="24"/>
        </w:rPr>
        <w:t xml:space="preserve">Instituto Nacional de Estadística y Geografía. (2025). Continuo de Elevaciones Mexicano 4.0 (CEM 4.0). INEGI.</w:t>
      </w:r>
    </w:p>
    <w:p>
      <w:pPr>
        <w:spacing w:after="100" w:before="0" w:line="264"/>
        <w:ind w:left="720" w:hanging="720"/>
      </w:pPr>
      <w:r>
        <w:rPr>
          <w:rFonts w:ascii="Times New Roman" w:cs="Times New Roman" w:eastAsia="Times New Roman" w:hAnsi="Times New Roman"/>
          <w:sz w:val="24"/>
          <w:szCs w:val="24"/>
        </w:rPr>
        <w:t xml:space="preserve">Líder del equipo. (2026a). Descripción general y parcelas [Documento interno no publicado]. Reto AgroCebada FIRA 2026.</w:t>
      </w:r>
    </w:p>
    <w:p>
      <w:pPr>
        <w:spacing w:after="100" w:before="0" w:line="264"/>
        <w:ind w:left="720" w:hanging="720"/>
      </w:pPr>
      <w:r>
        <w:rPr>
          <w:rFonts w:ascii="Times New Roman" w:cs="Times New Roman" w:eastAsia="Times New Roman" w:hAnsi="Times New Roman"/>
          <w:sz w:val="24"/>
          <w:szCs w:val="24"/>
        </w:rPr>
        <w:t xml:space="preserve">Líder del equipo. (2026b). Variables y procesamiento de datos [Documento interno no publicado]. Reto AgroCebada FIRA 2026.</w:t>
      </w:r>
    </w:p>
    <w:p>
      <w:pPr>
        <w:spacing w:after="100" w:before="0" w:line="264"/>
        <w:ind w:left="720" w:hanging="720"/>
      </w:pPr>
      <w:r>
        <w:rPr>
          <w:rFonts w:ascii="Times New Roman" w:cs="Times New Roman" w:eastAsia="Times New Roman" w:hAnsi="Times New Roman"/>
          <w:sz w:val="24"/>
          <w:szCs w:val="24"/>
        </w:rPr>
        <w:t xml:space="preserve">Rojas Martínez y Zamora Díaz. (2017). Producción de cebada en temporal. En Agenda técnica agrícola de Tlaxcala (pp. 25–30). Instituto Nacional de Investigaciones Forestales, Agrícolas y Pecuarias, Campo Experimental Tlaxcala. https://vun.inifap.gob.mx/VUN_MEDIA/BibliotecaWeb/_media/_agendas/4146_4843_Agenda_T%C3%A9cnica_Tlaxcala_2017.pdf</w:t>
      </w:r>
    </w:p>
    <w:p>
      <w:pPr>
        <w:spacing w:after="100" w:before="0" w:line="264"/>
        <w:ind w:left="720" w:hanging="720"/>
      </w:pPr>
      <w:r>
        <w:rPr>
          <w:rFonts w:ascii="Times New Roman" w:cs="Times New Roman" w:eastAsia="Times New Roman" w:hAnsi="Times New Roman"/>
          <w:sz w:val="24"/>
          <w:szCs w:val="24"/>
        </w:rPr>
        <w:t xml:space="preserve">Servicio Agrícola y Ganadero. (s. f.). Escala de medición del desarrollo de cereales. En Curso de semillas. Gobierno de Chile. https://www.sag.gob.cl/curso-de-semillas/4-escala-de-medicion-del-desarrollo-de-cereales</w:t>
      </w:r>
    </w:p>
    <w:p>
      <w:pPr>
        <w:spacing w:after="100" w:before="0" w:line="264"/>
        <w:ind w:left="720" w:hanging="720"/>
      </w:pPr>
      <w:r>
        <w:rPr>
          <w:rFonts w:ascii="Times New Roman" w:cs="Times New Roman" w:eastAsia="Times New Roman" w:hAnsi="Times New Roman"/>
          <w:sz w:val="24"/>
          <w:szCs w:val="24"/>
        </w:rPr>
        <w:t xml:space="preserve">Zamora Díaz, M., Solano Hernández, S., Gómez Mercado, R., Rojas Martínez, I., Ireta Moreno, J., Garza García, R. y Ortiz Trejo, C. (2008). Adabella: Variedad de cebada maltera para valles altos de la mesa central de México. Agricultura Técnica en México, 34(4), 491–493. https://www.scielo.org.mx/scielo.php?script=sci_arttext&amp;pid=S0568-25172008000400012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Borrador consolidado del trabajo hasta ahora, Reto AgroCebada FIRA 2026</dc:title>
  <dc:creator>Reto AgroCebada</dc:creator>
  <cp:lastModifiedBy>Un-named</cp:lastModifiedBy>
  <cp:revision>1</cp:revision>
  <dcterms:created xsi:type="dcterms:W3CDTF">2026-09-20T22:59:28.347Z</dcterms:created>
  <dcterms:modified xsi:type="dcterms:W3CDTF">2026-09-20T22:59:28.347Z</dcterms:modified>
</cp:coreProperties>
</file>

<file path=docProps/custom.xml><?xml version="1.0" encoding="utf-8"?>
<Properties xmlns="http://schemas.openxmlformats.org/officeDocument/2006/custom-properties" xmlns:vt="http://schemas.openxmlformats.org/officeDocument/2006/docPropsVTypes"/>
</file>