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PageTitle"/>
      </w:pPr>
      <w:r>
        <w:t xml:space="preserve">FORMATO FE-03</w:t>
      </w:r>
    </w:p>
    <w:p>
      <w:pPr>
        <w:pStyle w:val="TitlePageText"/>
      </w:pPr>
      <w:r>
        <w:rPr>
          <w:bCs/>
          <w:b/>
        </w:rPr>
        <w:t xml:space="preserve">EVALUACIÓN DE RIESGO Y SEGURIDAD</w:t>
      </w:r>
    </w:p>
    <w:p>
      <w:pPr>
        <w:pStyle w:val="TitlePageText"/>
      </w:pPr>
      <w:r>
        <w:t xml:space="preserve">FEMECI Puebla 2026 — Feria Mexicana de Ciencias e Ingenierías, Capítulo Puebla. Firmado por el Asesor Institucional.</w:t>
      </w:r>
    </w:p>
    <w:bookmarkStart w:id="20" w:name="datos-del-proyecto"/>
    <w:p>
      <w:pPr>
        <w:pStyle w:val="Heading2"/>
      </w:pPr>
      <w:r>
        <w:t xml:space="preserve">1. Datos del Proyecto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8" w:color="000000"/>
          <w:bottom w:val="single" w:sz="8" w:color="000000"/>
          <w:left w:val="nil"/>
          <w:right w:val="nil"/>
          <w:insideH w:val="nil"/>
          <w:insideV w:val="nil"/>
        </w:tblBorders>
        <w:tblLayout w:type="fixed"/>
        <w:tblW w:type="dxa" w:w="9359"/>
      </w:tblPr>
      <w:tblGrid>
        <w:gridCol w:w="2426"/>
        <w:gridCol w:w="6933"/>
      </w:tblGrid>
      <w:tr>
        <w:trPr>
          <w:tblHeader w:val="true"/>
          <w:tblHeader/>
        </w:trPr>
        <w:tc>
          <w:tcPr>
            <w:tcW w:type="dxa" w:w="2426"/>
            <w:tcBorders>
              <w:bottom w:val="single" w:sz="6" w:color="000000"/>
            </w:tcBorders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Campo</w:t>
            </w:r>
          </w:p>
        </w:tc>
        <w:tc>
          <w:tcPr>
            <w:tcW w:type="dxa" w:w="6933"/>
            <w:tcBorders>
              <w:bottom w:val="single" w:sz="6" w:color="000000"/>
            </w:tcBorders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Respuesta</w:t>
            </w:r>
          </w:p>
        </w:tc>
      </w:tr>
      <w:tr>
        <w:tc>
          <w:tcPr>
            <w:tcW w:type="dxa" w:w="2426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Título del proyecto</w:t>
            </w:r>
          </w:p>
        </w:tc>
        <w:tc>
          <w:tcPr>
            <w:tcW w:type="dxa" w:w="6933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Estación de inspección visual asistida con procesamiento local para uniones soldadas through-hole en el ensamble electrónico: diseño y validación experimental de un prototipo</w:t>
            </w:r>
          </w:p>
        </w:tc>
      </w:tr>
      <w:tr>
        <w:tc>
          <w:tcPr>
            <w:tcW w:type="dxa" w:w="2426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Categoría temática</w:t>
            </w:r>
          </w:p>
        </w:tc>
        <w:tc>
          <w:tcPr>
            <w:tcW w:type="dxa" w:w="6933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Sistemas Informáticos y Computación (robótica y máquinas inteligentes: visión artificial)</w:t>
            </w:r>
          </w:p>
        </w:tc>
      </w:tr>
      <w:tr>
        <w:tc>
          <w:tcPr>
            <w:tcW w:type="dxa" w:w="2426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Institución educativa</w:t>
            </w:r>
          </w:p>
        </w:tc>
        <w:tc>
          <w:tcPr>
            <w:tcW w:type="dxa" w:w="6933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Universidad Tecnológica de Puebla (UTP)</w:t>
            </w:r>
          </w:p>
        </w:tc>
      </w:tr>
      <w:tr>
        <w:tc>
          <w:tcPr>
            <w:tcW w:type="dxa" w:w="2426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Nombres del equipo</w:t>
            </w:r>
          </w:p>
        </w:tc>
        <w:tc>
          <w:tcPr>
            <w:tcW w:type="dxa" w:w="6933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Fortino Romero Mantilla; Israel Jesus Garcia Osorio</w:t>
            </w:r>
          </w:p>
        </w:tc>
      </w:tr>
    </w:tbl>
    <w:bookmarkEnd w:id="20"/>
    <w:bookmarkStart w:id="21" w:name="identificación-de-riesgos"/>
    <w:p>
      <w:pPr>
        <w:pStyle w:val="Heading2"/>
      </w:pPr>
      <w:r>
        <w:t xml:space="preserve">2. Identificación de Riesgos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8" w:color="000000"/>
          <w:bottom w:val="single" w:sz="8" w:color="000000"/>
          <w:left w:val="nil"/>
          <w:right w:val="nil"/>
          <w:insideH w:val="nil"/>
          <w:insideV w:val="nil"/>
        </w:tblBorders>
        <w:tblLayout w:type="fixed"/>
        <w:tblW w:type="dxa" w:w="9359"/>
      </w:tblPr>
      <w:tblGrid>
        <w:gridCol w:w="4011"/>
        <w:gridCol w:w="1126"/>
        <w:gridCol w:w="4222"/>
      </w:tblGrid>
      <w:tr>
        <w:trPr>
          <w:tblHeader w:val="true"/>
          <w:tblHeader/>
        </w:trPr>
        <w:tc>
          <w:tcPr>
            <w:tcW w:type="dxa" w:w="4011"/>
            <w:tcBorders>
              <w:bottom w:val="single" w:sz="6" w:color="000000"/>
            </w:tcBorders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 de riesgo</w:t>
            </w:r>
          </w:p>
        </w:tc>
        <w:tc>
          <w:tcPr>
            <w:tcW w:type="dxa" w:w="1126"/>
            <w:tcBorders>
              <w:bottom w:val="single" w:sz="6" w:color="000000"/>
            </w:tcBorders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¿Aplica?</w:t>
            </w:r>
          </w:p>
        </w:tc>
        <w:tc>
          <w:tcPr>
            <w:tcW w:type="dxa" w:w="4222"/>
            <w:tcBorders>
              <w:bottom w:val="single" w:sz="6" w:color="000000"/>
            </w:tcBorders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Descripción específica del riesgo en este proyecto</w:t>
            </w:r>
          </w:p>
        </w:tc>
      </w:tr>
      <w:tr>
        <w:tc>
          <w:tcPr>
            <w:tcW w:type="dxa" w:w="4011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Sustancias químicas (ácidos, bases, solventes, reactivos)</w:t>
            </w:r>
          </w:p>
        </w:tc>
        <w:tc>
          <w:tcPr>
            <w:tcW w:type="dxa" w:w="1126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☐ Sí ☒ No</w:t>
            </w:r>
          </w:p>
        </w:tc>
        <w:tc>
          <w:tcPr>
            <w:tcW w:type="dxa" w:w="4222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 se usan reactivos. Se emplea soldadura sin plomo y fundente de uso electrónico en cantidades mínimas (ver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“</w:t>
            </w:r>
            <w:r>
              <w:rPr>
                <w:rFonts w:ascii="Times New Roman" w:hAnsi="Times New Roman"/>
                <w:sz w:val="20"/>
              </w:rPr>
              <w:t xml:space="preserve">Otro riesgo</w:t>
            </w:r>
            <w:r>
              <w:rPr>
                <w:rFonts w:ascii="Times New Roman" w:hAnsi="Times New Roman"/>
                <w:sz w:val="20"/>
              </w:rPr>
              <w:t xml:space="preserve">”</w:t>
            </w:r>
            <w:r>
              <w:rPr>
                <w:rFonts w:ascii="Times New Roman" w:hAnsi="Times New Roman"/>
                <w:sz w:val="20"/>
              </w:rPr>
              <w:t xml:space="preserve">).</w:t>
            </w:r>
          </w:p>
        </w:tc>
      </w:tr>
      <w:tr>
        <w:tc>
          <w:tcPr>
            <w:tcW w:type="dxa" w:w="4011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Equipos eléctricos de alta potencia (&gt; 24 V expuestos)</w:t>
            </w:r>
          </w:p>
        </w:tc>
        <w:tc>
          <w:tcPr>
            <w:tcW w:type="dxa" w:w="1126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☐ Sí ☒ No</w:t>
            </w:r>
          </w:p>
        </w:tc>
        <w:tc>
          <w:tcPr>
            <w:tcW w:type="dxa" w:w="4222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Sin tensiones expuestas mayores a 24 V. La computadora de placa única funciona a 5 V; las fuentes y la estación de soldadura son equipos comerciales con carcasa.</w:t>
            </w:r>
          </w:p>
        </w:tc>
      </w:tr>
      <w:tr>
        <w:tc>
          <w:tcPr>
            <w:tcW w:type="dxa" w:w="4011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Fuentes de calor o llama abierta</w:t>
            </w:r>
          </w:p>
        </w:tc>
        <w:tc>
          <w:tcPr>
            <w:tcW w:type="dxa" w:w="1126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☒ Sí ☐ No</w:t>
            </w:r>
          </w:p>
        </w:tc>
        <w:tc>
          <w:tcPr>
            <w:tcW w:type="dxa" w:w="4222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Soldador eléctrico (punta a unos 350 °C) durante la preparación de tarjetas de prueba. No hay llama abierta.</w:t>
            </w:r>
          </w:p>
        </w:tc>
      </w:tr>
      <w:tr>
        <w:tc>
          <w:tcPr>
            <w:tcW w:type="dxa" w:w="4011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Herramientas cortantes o de taller</w:t>
            </w:r>
          </w:p>
        </w:tc>
        <w:tc>
          <w:tcPr>
            <w:tcW w:type="dxa" w:w="1126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☒ Sí ☐ No</w:t>
            </w:r>
          </w:p>
        </w:tc>
        <w:tc>
          <w:tcPr>
            <w:tcW w:type="dxa" w:w="4222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Pinzas de corte para recortar patillas de componentes; los recortes pueden proyectarse.</w:t>
            </w:r>
          </w:p>
        </w:tc>
      </w:tr>
      <w:tr>
        <w:tc>
          <w:tcPr>
            <w:tcW w:type="dxa" w:w="4011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Materiales bajo presión o al vacío</w:t>
            </w:r>
          </w:p>
        </w:tc>
        <w:tc>
          <w:tcPr>
            <w:tcW w:type="dxa" w:w="1126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☐ Sí ☒ No</w:t>
            </w:r>
          </w:p>
        </w:tc>
        <w:tc>
          <w:tcPr>
            <w:tcW w:type="dxa" w:w="4222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 aplica.</w:t>
            </w:r>
          </w:p>
        </w:tc>
      </w:tr>
      <w:tr>
        <w:tc>
          <w:tcPr>
            <w:tcW w:type="dxa" w:w="4011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Radiación no ionizante (láser, UV, microondas)</w:t>
            </w:r>
          </w:p>
        </w:tc>
        <w:tc>
          <w:tcPr>
            <w:tcW w:type="dxa" w:w="1126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☐ Sí ☒ No</w:t>
            </w:r>
          </w:p>
        </w:tc>
        <w:tc>
          <w:tcPr>
            <w:tcW w:type="dxa" w:w="4222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Solo iluminación LED difusa de baja potencia; no se usa láser, UV ni microondas.</w:t>
            </w:r>
          </w:p>
        </w:tc>
      </w:tr>
      <w:tr>
        <w:tc>
          <w:tcPr>
            <w:tcW w:type="dxa" w:w="4011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Otro riesgo no listado (especifique)</w:t>
            </w:r>
          </w:p>
        </w:tc>
        <w:tc>
          <w:tcPr>
            <w:tcW w:type="dxa" w:w="1126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☒ Sí ☐ No</w:t>
            </w:r>
          </w:p>
        </w:tc>
        <w:tc>
          <w:tcPr>
            <w:tcW w:type="dxa" w:w="4222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Humos de fundente y soldadura durante el soldado.</w:t>
            </w:r>
          </w:p>
        </w:tc>
      </w:tr>
    </w:tbl>
    <w:bookmarkEnd w:id="21"/>
    <w:bookmarkStart w:id="22" w:name="X56761fbf6335226ec3bcf8003379b28d2a09889"/>
    <w:p>
      <w:pPr>
        <w:pStyle w:val="Heading2"/>
      </w:pPr>
      <w:r>
        <w:t xml:space="preserve">3. Medidas de Mitigación y Equipo de Protección Personal (máx. 150 palabras)</w:t>
      </w:r>
    </w:p>
    <w:p>
      <w:pPr>
        <w:pStyle w:val="FirstParagraph"/>
      </w:pPr>
      <w:r>
        <w:t xml:space="preserve">La soldadura se realiza solo durante la preparación de las tarjetas de prueba, en un área ventilada y con extractor de humos o ventilación abierta, con soldadura sin plomo. Se usa soporte para el soldador, nunca se deja encendido sin atención y se deja enfriar antes de guardarlo. EPP: lentes de seguridad (también al recortar patillas, para evitar proyecciones), ropa que cubra los brazos y lavado de manos después de soldar. Se verifica que la estación y las fuentes tengan cables y carcasas en buen estado y se trabaja sobre superficie no inflamable. El asesor supervisa las actividades de riesgo. En la Jornada de Exhibición no se llevarán soldador ni herramientas cortantes: el prototipo expuesto consiste en computadora de placa única, cámara e iluminación LED a baja tensión, y tarjetas ya terminadas.</w:t>
      </w:r>
    </w:p>
    <w:bookmarkEnd w:id="22"/>
    <w:bookmarkStart w:id="23" w:name="declaración-del-asesor-institucional"/>
    <w:p>
      <w:pPr>
        <w:pStyle w:val="Heading2"/>
      </w:pPr>
      <w:r>
        <w:t xml:space="preserve">4. Declaración del Asesor Institucional</w:t>
      </w:r>
    </w:p>
    <w:p>
      <w:pPr>
        <w:pStyle w:val="FirstParagraph"/>
      </w:pPr>
      <w:r>
        <w:t xml:space="preserve">Declaro que he revisado los riesgos identificados y las medidas de mitigación propuestas, que el equipo cuenta con capacitación y equipo de protección adecuados, y que las actividades de riesgo se realizarán bajo supervisión directa en instalaciones apropiadas.</w:t>
      </w:r>
    </w:p>
    <w:bookmarkEnd w:id="23"/>
    <w:bookmarkStart w:id="24" w:name="firma"/>
    <w:p>
      <w:pPr>
        <w:pStyle w:val="Heading2"/>
      </w:pPr>
      <w:r>
        <w:t xml:space="preserve">5. Firma</w:t>
      </w:r>
    </w:p>
    <w:tbl>
      <w:tblPr>
        <w:tblStyle w:val="Table"/>
        <w:tblLook w:firstRow="0" w:lastRow="0" w:firstColumn="0" w:lastColumn="0" w:noHBand="0" w:noVBand="0" w:val="0000"/>
        <w:jc w:val="start"/>
        <w:tblBorders>
          <w:top w:val="single" w:sz="8" w:color="000000"/>
          <w:bottom w:val="single" w:sz="8" w:color="000000"/>
          <w:left w:val="nil"/>
          <w:right w:val="nil"/>
          <w:insideH w:val="nil"/>
          <w:insideV w:val="nil"/>
        </w:tblBorders>
        <w:tblLayout w:type="fixed"/>
        <w:tblW w:type="dxa" w:w="9360"/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bottom w:val="single" w:sz="6" w:color="000000"/>
            </w:tcBorders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Firma del Asesor(a) Institucional: ____________________</w:t>
            </w:r>
          </w:p>
        </w:tc>
      </w:tr>
      <w:tr>
        <w:tc>
          <w:tcPr>
            <w:tcW w:type="dxa" w:w="9360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 completo y matrícula / número de empleado: José Francisco Espinosa Garita · ____________</w:t>
            </w:r>
          </w:p>
        </w:tc>
      </w:tr>
    </w:tbl>
    <w:bookmarkEnd w:id="24"/>
    <w:sectPr>
      <w:headerReference w:type="default" r:id="rId9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MX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40" w:lineRule="auto"/>
      <w:jc w:val="left"/>
    </w:pPr>
    <w:rPr>
      <w:rFonts w:ascii="Times New Roman" w:cs="Times New Roman" w:eastAsia="Times New Roman" w:hAnsi="Times New Roman"/>
      <w:sz w:val="24"/>
    </w:rPr>
  </w:style>
  <w:style w:styleId="BodyText" w:type="paragraph">
    <w:name w:val="Body Text"/>
    <w:basedOn w:val="Normal"/>
    <w:link w:val="BodyTextChar"/>
    <w:pPr>
      <w:spacing w:after="160" w:before="0" w:line="240" w:lineRule="auto"/>
      <w:ind w:firstLine="720"/>
      <w:jc w:val="both"/>
    </w:pPr>
    <w:qFormat/>
    <w:rPr>
      <w:rFonts w:ascii="Times New Roman" w:cs="Times New Roman" w:eastAsia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160" w:before="0" w:line="240" w:lineRule="auto"/>
      <w:ind w:firstLine="720"/>
      <w:jc w:val="both"/>
    </w:pPr>
    <w:rPr>
      <w:rFonts w:ascii="Times New Roman" w:cs="Times New Roman" w:eastAsia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0" w:before="0" w:line="240" w:lineRule="auto"/>
      <w:jc w:val="left"/>
    </w:pPr>
    <w:rPr>
      <w:rFonts w:ascii="Times New Roman" w:cs="Times New Roman" w:eastAsia="Times New Roman" w:hAnsi="Times New Roman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bCs/>
      <w:sz w:val="2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 w:val="0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 w:val="0"/>
      <w:sz w:val="24"/>
    </w:rPr>
  </w:style>
  <w:style w:styleId="Date" w:type="paragraph">
    <w:name w:val="Date"/>
    <w:next w:val="BodyText"/>
    <w:qFormat/>
    <w:pPr>
      <w:keepNext/>
      <w:keepLines/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 w:val="0"/>
      <w:sz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after="0" w:before="0" w:line="240" w:lineRule="auto"/>
      <w:ind w:hanging="720" w:left="720"/>
      <w:jc w:val="left"/>
    </w:pPr>
    <w:rPr>
      <w:rFonts w:ascii="Times New Roman" w:cs="Times New Roman" w:eastAsia="Times New Roman" w:hAnsi="Times New Roman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240" w:lineRule="auto"/>
      <w:ind w:left="480" w:right="480"/>
      <w:jc w:val="left"/>
    </w:pPr>
    <w:rPr>
      <w:rFonts w:ascii="Times New Roman" w:cs="Times New Roman" w:eastAsia="Times New Roman" w:hAnsi="Times New Roman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Heading1" w:type="paragraph">
    <w:name w:val="heading 1"/>
    <w:pPr>
      <w:keepNext/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i w:val="0"/>
      <w:sz w:val="24"/>
    </w:rPr>
  </w:style>
  <w:style w:customStyle="1" w:styleId="Heading2" w:type="paragraph">
    <w:name w:val="heading 2"/>
    <w:pPr>
      <w:keepNext/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b/>
      <w:i w:val="0"/>
      <w:sz w:val="24"/>
    </w:rPr>
  </w:style>
  <w:style w:customStyle="1" w:styleId="Heading3" w:type="paragraph">
    <w:name w:val="heading 3"/>
    <w:pPr>
      <w:keepNext/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b/>
      <w:i/>
      <w:sz w:val="24"/>
    </w:rPr>
  </w:style>
  <w:style w:customStyle="1" w:styleId="TitlePageTitle" w:type="paragraph">
    <w:name w:val="TitlePageTitle"/>
    <w:pPr>
      <w:spacing w:after="0" w:before="2880" w:line="240" w:lineRule="auto"/>
      <w:ind w:firstLine="0"/>
      <w:jc w:val="center"/>
    </w:pPr>
    <w:rPr>
      <w:rFonts w:ascii="Times New Roman" w:cs="Times New Roman" w:eastAsia="Times New Roman" w:hAnsi="Times New Roman"/>
      <w:b/>
      <w:sz w:val="24"/>
    </w:rPr>
  </w:style>
  <w:style w:customStyle="1" w:styleId="TitlePageText" w:type="paragraph">
    <w:name w:val="TitlePageText"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sz w:val="24"/>
    </w:rPr>
  </w:style>
  <w:style w:customStyle="1" w:styleId="TableLabel" w:type="paragraph">
    <w:name w:val="TableLabel"/>
    <w:pPr>
      <w:keepNext/>
      <w:spacing w:after="0" w:before="240" w:line="240" w:lineRule="auto"/>
      <w:ind w:firstLine="0"/>
      <w:jc w:val="left"/>
    </w:pPr>
    <w:rPr>
      <w:rFonts w:ascii="Times New Roman" w:cs="Times New Roman" w:eastAsia="Times New Roman" w:hAnsi="Times New Roman"/>
      <w:b/>
      <w:sz w:val="24"/>
    </w:rPr>
  </w:style>
  <w:style w:customStyle="1" w:styleId="TableTitle" w:type="paragraph">
    <w:name w:val="TableTitle"/>
    <w:pPr>
      <w:keepNext/>
      <w:spacing w:after="120" w:before="0" w:line="240" w:lineRule="auto"/>
      <w:ind w:firstLine="0"/>
      <w:jc w:val="left"/>
    </w:pPr>
    <w:rPr>
      <w:rFonts w:ascii="Times New Roman" w:cs="Times New Roman" w:eastAsia="Times New Roman" w:hAnsi="Times New Roman"/>
      <w:b w:val="0"/>
      <w:i/>
      <w:sz w:val="24"/>
    </w:rPr>
  </w:style>
  <w:style w:customStyle="1" w:styleId="TocEntry" w:type="paragraph">
    <w:name w:val="TocEntry"/>
    <w:pPr>
      <w:tabs>
        <w:tab w:leader="dot" w:pos="9360" w:val="right"/>
      </w:tabs>
      <w:spacing w:after="8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</w:rPr>
  </w:style>
  <w:style w:customStyle="1" w:styleId="LetterRight" w:type="paragraph">
    <w:name w:val="LetterRight"/>
    <w:pPr>
      <w:spacing w:after="240" w:before="0" w:line="240" w:lineRule="auto"/>
      <w:ind w:firstLine="0"/>
      <w:jc w:val="right"/>
    </w:pPr>
    <w:rPr>
      <w:rFonts w:ascii="Times New Roman" w:cs="Times New Roman" w:eastAsia="Times New Roman" w:hAnsi="Times New Roman"/>
      <w:sz w:val="24"/>
    </w:rPr>
  </w:style>
  <w:style w:customStyle="1" w:styleId="LetterBlock" w:type="paragraph">
    <w:name w:val="LetterBlock"/>
    <w:pPr>
      <w:spacing w:after="24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es-MX</dc:language>
  <cp:keywords/>
  <dcterms:created xsi:type="dcterms:W3CDTF">2026-10-26T06:24:16Z</dcterms:created>
  <dcterms:modified xsi:type="dcterms:W3CDTF">2026-10-26T06:24:16Z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