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Cardiac MRI Reference Converter — Calculations</w:t>
      </w:r>
    </w:p>
    <w:p>
      <w:r>
        <w:rPr>
          <w:b/>
        </w:rPr>
        <w:t xml:space="preserve">Live tool (open in a browser): </w:t>
      </w:r>
      <w:hyperlink r:id="rId9">
        <w:r>
          <w:rPr>
            <w:color w:val="0D7680"/>
            <w:u w:val="single"/>
          </w:rPr>
          <w:t>https://nethahussain.github.io/cardiac-mri-reference-converter/</w:t>
        </w:r>
      </w:hyperlink>
    </w:p>
    <w:p>
      <w:r>
        <w:t>Documentation of every calculation performed by the tool. Reference ranges are the 95% prediction intervals from Raisi-Estabragh et al. (2024), Healthy Hearts Consortium (JACC Cardiovasc Imaging; doi:10.1016/j.jcmg.2024.01.009).</w:t>
      </w:r>
    </w:p>
    <w:p>
      <w:pPr>
        <w:pStyle w:val="Heading1"/>
      </w:pPr>
      <w:r>
        <w:t>1. Body surface area (BSA) — Mosteller formula</w:t>
      </w:r>
    </w:p>
    <w:p>
      <w:r>
        <w:t>BSA = √(weight × height / 3600), with weight in kg, height in cm, and the result in m².</w:t>
      </w:r>
    </w:p>
    <w:p>
      <w:r>
        <w:t>Example: 73 kg, 180 cm → √(73 × 180 / 3600) = √3.65 = 1.91 m².</w:t>
      </w:r>
    </w:p>
    <w:p>
      <w:pPr>
        <w:pStyle w:val="Heading1"/>
      </w:pPr>
      <w:r>
        <w:t>2. Age and age group</w:t>
      </w:r>
    </w:p>
    <w:p>
      <w:r>
        <w:t>Age is the difference between the current date and the date of birth (reduced by 1 if this year's birthday has not yet occurred). Age is then mapped to a reference age band: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Age group</w:t>
            </w:r>
          </w:p>
        </w:tc>
      </w:tr>
      <w:tr>
        <w:tc>
          <w:tcPr>
            <w:tcW w:type="dxa" w:w="4320"/>
          </w:tcPr>
          <w:p>
            <w:r>
              <w:t>18–29</w:t>
            </w:r>
          </w:p>
        </w:tc>
        <w:tc>
          <w:tcPr>
            <w:tcW w:type="dxa" w:w="4320"/>
          </w:tcPr>
          <w:p>
            <w:r>
              <w:t>18-29</w:t>
            </w:r>
          </w:p>
        </w:tc>
      </w:tr>
      <w:tr>
        <w:tc>
          <w:tcPr>
            <w:tcW w:type="dxa" w:w="4320"/>
          </w:tcPr>
          <w:p>
            <w:r>
              <w:t>30–39</w:t>
            </w:r>
          </w:p>
        </w:tc>
        <w:tc>
          <w:tcPr>
            <w:tcW w:type="dxa" w:w="4320"/>
          </w:tcPr>
          <w:p>
            <w:r>
              <w:t>30-39</w:t>
            </w:r>
          </w:p>
        </w:tc>
      </w:tr>
      <w:tr>
        <w:tc>
          <w:tcPr>
            <w:tcW w:type="dxa" w:w="4320"/>
          </w:tcPr>
          <w:p>
            <w:r>
              <w:t>40–49</w:t>
            </w:r>
          </w:p>
        </w:tc>
        <w:tc>
          <w:tcPr>
            <w:tcW w:type="dxa" w:w="4320"/>
          </w:tcPr>
          <w:p>
            <w:r>
              <w:t>40-49</w:t>
            </w:r>
          </w:p>
        </w:tc>
      </w:tr>
      <w:tr>
        <w:tc>
          <w:tcPr>
            <w:tcW w:type="dxa" w:w="4320"/>
          </w:tcPr>
          <w:p>
            <w:r>
              <w:t>50–59</w:t>
            </w:r>
          </w:p>
        </w:tc>
        <w:tc>
          <w:tcPr>
            <w:tcW w:type="dxa" w:w="4320"/>
          </w:tcPr>
          <w:p>
            <w:r>
              <w:t>50-59</w:t>
            </w:r>
          </w:p>
        </w:tc>
      </w:tr>
      <w:tr>
        <w:tc>
          <w:tcPr>
            <w:tcW w:type="dxa" w:w="4320"/>
          </w:tcPr>
          <w:p>
            <w:r>
              <w:t>60–69</w:t>
            </w:r>
          </w:p>
        </w:tc>
        <w:tc>
          <w:tcPr>
            <w:tcW w:type="dxa" w:w="4320"/>
          </w:tcPr>
          <w:p>
            <w:r>
              <w:t>60-69</w:t>
            </w:r>
          </w:p>
        </w:tc>
      </w:tr>
      <w:tr>
        <w:tc>
          <w:tcPr>
            <w:tcW w:type="dxa" w:w="4320"/>
          </w:tcPr>
          <w:p>
            <w:r>
              <w:t>70+</w:t>
            </w:r>
          </w:p>
        </w:tc>
        <w:tc>
          <w:tcPr>
            <w:tcW w:type="dxa" w:w="4320"/>
          </w:tcPr>
          <w:p>
            <w:r>
              <w:t>70+</w:t>
            </w:r>
          </w:p>
        </w:tc>
      </w:tr>
    </w:tbl>
    <w:p>
      <w:r>
        <w:t>Below 18 years: no reference group available. Some ethnicity groups also lack data for the younger bands; in those cases values are shown without a reference comparison.</w:t>
      </w:r>
    </w:p>
    <w:p>
      <w:pPr>
        <w:pStyle w:val="Heading1"/>
      </w:pPr>
      <w:r>
        <w:t>3. Stroke volume (SV)</w:t>
      </w:r>
    </w:p>
    <w:p>
      <w:r>
        <w:t>SV = EDV − ESV, computed separately for the left (LV) and right (RV) ventricle. EDV = end-diastolic volume, ESV = end-systolic volume.</w:t>
      </w:r>
    </w:p>
    <w:p>
      <w:pPr>
        <w:pStyle w:val="Heading1"/>
      </w:pPr>
      <w:r>
        <w:t>4. Ejection fraction (EF)</w:t>
      </w:r>
    </w:p>
    <w:p>
      <w:r>
        <w:t>EF = (SV / EDV) × 100 = ((EDV − ESV) / EDV) × 100, in percent — the fraction of blood pumped out per beat.</w:t>
      </w:r>
    </w:p>
    <w:p>
      <w:pPr>
        <w:pStyle w:val="Heading1"/>
      </w:pPr>
      <w:r>
        <w:t>5. Cardiac output (CO)</w:t>
      </w:r>
    </w:p>
    <w:p>
      <w:r>
        <w:t>CO = SV × heart rate / 1000, in l/min (SV in ml, heart rate in beats/min). Cardiac output is only shown when a heart rate is provided.</w:t>
      </w:r>
    </w:p>
    <w:p>
      <w:pPr>
        <w:pStyle w:val="Heading1"/>
      </w:pPr>
      <w:r>
        <w:t>6. Body-size indexing</w:t>
      </w:r>
    </w:p>
    <w:p>
      <w:r>
        <w:t>Each volume and mass is normalised to body size. The tool offers two indexing methods, matching the two body-size corrections in the publication: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</w:tr>
      <w:tr>
        <w:tc>
          <w:tcPr>
            <w:tcW w:type="dxa" w:w="2880"/>
          </w:tcPr>
          <w:p>
            <w:r>
              <w:t>Body surface area</w:t>
            </w:r>
          </w:p>
        </w:tc>
        <w:tc>
          <w:tcPr>
            <w:tcW w:type="dxa" w:w="2880"/>
          </w:tcPr>
          <w:p>
            <w:r>
              <w:t>value ÷ BSA</w:t>
            </w:r>
          </w:p>
        </w:tc>
        <w:tc>
          <w:tcPr>
            <w:tcW w:type="dxa" w:w="2880"/>
          </w:tcPr>
          <w:p>
            <w:r>
              <w:t>ml/m², g/m²</w:t>
            </w:r>
          </w:p>
        </w:tc>
      </w:tr>
      <w:tr>
        <w:tc>
          <w:tcPr>
            <w:tcW w:type="dxa" w:w="2880"/>
          </w:tcPr>
          <w:p>
            <w:r>
              <w:t>Height</w:t>
            </w:r>
          </w:p>
        </w:tc>
        <w:tc>
          <w:tcPr>
            <w:tcW w:type="dxa" w:w="2880"/>
          </w:tcPr>
          <w:p>
            <w:r>
              <w:t>value ÷ height (m)</w:t>
            </w:r>
          </w:p>
        </w:tc>
        <w:tc>
          <w:tcPr>
            <w:tcW w:type="dxa" w:w="2880"/>
          </w:tcPr>
          <w:p>
            <w:r>
              <w:t>ml/m, g/m</w:t>
            </w:r>
          </w:p>
        </w:tc>
      </w:tr>
    </w:tbl>
    <w:p>
      <w:pPr>
        <w:pStyle w:val="Heading1"/>
      </w:pPr>
      <w:r>
        <w:t>7. Atrial ejection fraction</w:t>
      </w:r>
    </w:p>
    <w:p>
      <w:r>
        <w:t>LAEF and RAEF = (V_max − V_min) / V_max × 100, using the maximal and minimal atrial volumes, in percent.</w:t>
      </w:r>
    </w:p>
    <w:p>
      <w:pPr>
        <w:pStyle w:val="Heading1"/>
      </w:pPr>
      <w:r>
        <w:t>8. Segmentation methods</w:t>
      </w:r>
    </w:p>
    <w:p>
      <w:r>
        <w:t>The publication provides reference ranges for three predefined segmentation protocols. They differ chiefly in what is included in the myocardial mass (and, to a lesser extent, in the cavity volumes). Select the method that matches how your measurements were obtained.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Smooth</w:t>
            </w:r>
          </w:p>
        </w:tc>
        <w:tc>
          <w:tcPr>
            <w:tcW w:type="dxa" w:w="4320"/>
          </w:tcPr>
          <w:p>
            <w:r>
              <w:t>Smooth endocardial contours; papillary muscles and trabeculae excluded from the LV mass.</w:t>
            </w:r>
          </w:p>
        </w:tc>
      </w:tr>
      <w:tr>
        <w:tc>
          <w:tcPr>
            <w:tcW w:type="dxa" w:w="4320"/>
          </w:tcPr>
          <w:p>
            <w:r>
              <w:t>Papillary</w:t>
            </w:r>
          </w:p>
        </w:tc>
        <w:tc>
          <w:tcPr>
            <w:tcW w:type="dxa" w:w="4320"/>
          </w:tcPr>
          <w:p>
            <w:r>
              <w:t>Smooth endocardial contours with papillary muscles (but not trabeculae) included in the LV mass.</w:t>
            </w:r>
          </w:p>
        </w:tc>
      </w:tr>
      <w:tr>
        <w:tc>
          <w:tcPr>
            <w:tcW w:type="dxa" w:w="4320"/>
          </w:tcPr>
          <w:p>
            <w:r>
              <w:t>Anatomical</w:t>
            </w:r>
          </w:p>
        </w:tc>
        <w:tc>
          <w:tcPr>
            <w:tcW w:type="dxa" w:w="4320"/>
          </w:tcPr>
          <w:p>
            <w:r>
              <w:t>Both papillary muscles and trabeculae included in the LV mass.</w:t>
            </w:r>
          </w:p>
        </w:tc>
      </w:tr>
    </w:tbl>
    <w:p>
      <w:r>
        <w:t>Mass therefore increases from smooth → papillary → anatomical, while the corresponding cavity volumes decrease slightly.</w:t>
      </w:r>
    </w:p>
    <w:p>
      <w:pPr>
        <w:pStyle w:val="Heading1"/>
      </w:pPr>
      <w:r>
        <w:t>9. Reference comparison</w:t>
      </w:r>
    </w:p>
    <w:p>
      <w:r>
        <w:t>Each computed value is compared with the [min, max] range for the patient's ethnicity, sex, age group, segmentation method and indexing: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</w:tr>
      <w:tr>
        <w:tc>
          <w:tcPr>
            <w:tcW w:type="dxa" w:w="2880"/>
          </w:tcPr>
          <w:p>
            <w:r>
              <w:t>value &lt; min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* (asterisk)</w:t>
            </w:r>
          </w:p>
        </w:tc>
      </w:tr>
      <w:tr>
        <w:tc>
          <w:tcPr>
            <w:tcW w:type="dxa" w:w="2880"/>
          </w:tcPr>
          <w:p>
            <w:r>
              <w:t>min ≤ value ≤ max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value &gt; max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* (asterisk)</w:t>
            </w:r>
          </w:p>
        </w:tc>
      </w:tr>
    </w:tbl>
    <w:p>
      <w:pPr>
        <w:pStyle w:val="Heading1"/>
      </w:pPr>
      <w:r>
        <w:t>10. Visual gauge</w:t>
      </w:r>
    </w:p>
    <w:p>
      <w:r>
        <w:t>The gauge maps a value to a percentage position: padding = (max − min) × 0.35; gauge_min = min − padding; gauge_max = max + padding; position = ((value − gauge_min) / (gauge_max − gauge_min)) × 100%, clamped to 0–100%. The green band marks the normal range.</w:t>
      </w:r>
    </w:p>
    <w:p>
      <w:pPr>
        <w:pStyle w:val="Heading1"/>
      </w:pPr>
      <w:r>
        <w:t>Workflow summary</w:t>
      </w:r>
    </w:p>
    <w:p>
      <w:pPr>
        <w:pStyle w:val="ListBullet"/>
      </w:pPr>
      <w:r>
        <w:t>Patient data is entered (sex, ethnicity, date of birth, weight, height, heart rate).</w:t>
      </w:r>
    </w:p>
    <w:p>
      <w:pPr>
        <w:pStyle w:val="ListBullet"/>
      </w:pPr>
      <w:r>
        <w:t>BSA is calculated with the Mosteller formula.</w:t>
      </w:r>
    </w:p>
    <w:p>
      <w:pPr>
        <w:pStyle w:val="ListBullet"/>
      </w:pPr>
      <w:r>
        <w:t>Segmentation method and indexing are selected.</w:t>
      </w:r>
    </w:p>
    <w:p>
      <w:pPr>
        <w:pStyle w:val="ListBullet"/>
      </w:pPr>
      <w:r>
        <w:t>Measurements are entered for each chamber (atria optional).</w:t>
      </w:r>
    </w:p>
    <w:p>
      <w:pPr>
        <w:pStyle w:val="ListBullet"/>
      </w:pPr>
      <w:r>
        <w:t>SV, EF and CO are derived; atrial EF is derived from max and min volumes.</w:t>
      </w:r>
    </w:p>
    <w:p>
      <w:pPr>
        <w:pStyle w:val="ListBullet"/>
      </w:pPr>
      <w:r>
        <w:t>All volumes and masses are indexed by BSA or height.</w:t>
      </w:r>
    </w:p>
    <w:p>
      <w:pPr>
        <w:pStyle w:val="ListBullet"/>
      </w:pPr>
      <w:r>
        <w:t>Reference ranges are looked up by ethnicity, sex, age group, segmentation and indexing.</w:t>
      </w:r>
    </w:p>
    <w:p>
      <w:pPr>
        <w:pStyle w:val="ListBullet"/>
      </w:pPr>
      <w:r>
        <w:t>Out-of-range values are flagged, and a report is generated for copying.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thahussain.github.io/cardiac-mri-reference-conver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