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30"/>
          <w:szCs w:val="30"/>
        </w:rPr>
        <w:t xml:space="preserve">Business Entity Resolution: Methodology and Results</w:t>
      </w:r>
    </w:p>
    <w:p>
      <w:pPr>
        <w:spacing w:after="40"/>
        <w:jc w:val="center"/>
      </w:pPr>
      <w:r>
        <w:rPr>
          <w:rFonts w:ascii="Times New Roman" w:cs="Times New Roman" w:eastAsia="Times New Roman" w:hAnsi="Times New Roman"/>
          <w:i/>
          <w:iCs/>
          <w:color w:val="000000"/>
          <w:sz w:val="20"/>
          <w:szCs w:val="20"/>
        </w:rPr>
        <w:t xml:space="preserve">ML Challenge 2026</w:t>
      </w:r>
    </w:p>
    <w:p>
      <w:pPr>
        <w:spacing w:after="220"/>
        <w:jc w:val="center"/>
      </w:pPr>
      <w:r>
        <w:rPr>
          <w:rFonts w:ascii="Times New Roman" w:cs="Times New Roman" w:eastAsia="Times New Roman" w:hAnsi="Times New Roman"/>
          <w:color w:val="000000"/>
          <w:sz w:val="18"/>
          <w:szCs w:val="18"/>
        </w:rPr>
        <w:t xml:space="preserve">Team: [Your Team Name]    Members: [List team members]    Date: [Submission date]</w:t>
      </w:r>
    </w:p>
    <w:p>
      <w:pPr>
        <w:spacing w:after="110" w:before="240"/>
      </w:pPr>
      <w:r>
        <w:rPr>
          <w:rFonts w:ascii="Times New Roman" w:cs="Times New Roman" w:eastAsia="Times New Roman" w:hAnsi="Times New Roman"/>
          <w:b/>
          <w:bCs/>
          <w:color w:val="000000"/>
          <w:sz w:val="24"/>
          <w:szCs w:val="24"/>
        </w:rPr>
        <w:t xml:space="preserve">1. Approach</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The system resolves each Source 1 business record against the Source 2 and Source 3 record sets in three stages. Since a direct comparison between roughly 2.2 million Source 1 records and ten million Source 2 and Source 3 records is not computationally feasible, a blocking stage first narrows the search space. Business names and addresses are normalized into several representations: name tokens with legal suffixes such as Pvt, Ltd, and Inc collapsed to a common form, address tokens with street abbreviations expanded, digit tokens pulled from addresses for house numbers and postal codes, and short name prefixes. Records that share at least one of these representations within the same country are treated as candidates, and blocking keys that are too common to be useful are dropped before the join so the process stays tractable at this scale.</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Candidates are then ranked and truncated to a fixed number per Source 1 record, and this ranking is the central design decision in the system. Rather than scoring a shared key by its type alone, each shared key contributes a weight equal to a key type factor divided by the logarithm of how many candidate side records share that exact key. A key shared by only two or three records, almost certainly the same business, outweighs a key shared by hundreds of records, which is common and only weakly informative. This matters because the competition scores the candidate file itself as part of the final ranking, separately from the leaderboard score on the final match file: a smaller candidate set per Source 1 entity is scored more favorably, so the ranking has to be precise enough to keep true matches under a small cap rather than a large one.</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Second, for every candidate pair that survives blocking, a set of about twenty five similarity features is computed covering both the name and the address fields: edit distance based scores such as Levenshtein and Jaro Winkler, token based scores such as Jaccard overlap and token sort and token set ratios, a character n-gram TF-IDF cosine similarity, length and token count comparisons, a shared rare token signal, exact country equality, and a small number of cross field combinations of these.</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Third, a supervised classifier scores each candidate pair and a decision layer converts scores into final matches. Rather than a flat 0.5 probability cutoff, the acceptance threshold is chosen by searching directly for the value that maximizes the competition's own F 0.5 metric on a held out validation split, and an entity receives no predicted matches at all unless its best candidate clears that same threshold, since the metric scores an entity with no true matches as 1.0 only when the prediction is also empty.</w:t>
      </w:r>
    </w:p>
    <w:p>
      <w:pPr>
        <w:spacing w:after="110" w:before="240"/>
      </w:pPr>
      <w:r>
        <w:rPr>
          <w:rFonts w:ascii="Times New Roman" w:cs="Times New Roman" w:eastAsia="Times New Roman" w:hAnsi="Times New Roman"/>
          <w:b/>
          <w:bCs/>
          <w:color w:val="000000"/>
          <w:sz w:val="24"/>
          <w:szCs w:val="24"/>
        </w:rPr>
        <w:t xml:space="preserve">2. Models Used</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Four baselines with no learned parameters were evaluated first: exact normalized name matching, exact name matching combined with country equality, a hand weighted linear combination of the fuzzy similarity features, and TF-IDF cosine similarity computed on business names alone.</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The final matching model is a LightGBM gradient boosted tree classifier trained on the similarity features described above. LightGBM was chosen because it suits a dense tabular feature set of this size well, trains and scores quickly enough to be practical at millions of candidate pairs, and is released under the MIT license, meeting the competition's model licensing and parameter count requirements without needing a large or restrictively licensed model.</w:t>
      </w:r>
    </w:p>
    <w:p>
      <w:pPr>
        <w:spacing w:after="110" w:before="240"/>
      </w:pPr>
      <w:r>
        <w:rPr>
          <w:rFonts w:ascii="Times New Roman" w:cs="Times New Roman" w:eastAsia="Times New Roman" w:hAnsi="Times New Roman"/>
          <w:b/>
          <w:bCs/>
          <w:color w:val="000000"/>
          <w:sz w:val="24"/>
          <w:szCs w:val="24"/>
        </w:rPr>
        <w:t xml:space="preserve">3. Experiments</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All numbers below come from a validation split of 22,500 Source 1 entities held out from a 150,000 entity subset of the training set, matched against the full Source 2 and Source 3 tables. The full 2.2 million entity training set could not be completed within available memory; see the Conclusion for what this trades off. Two blocking configurations were compared directly, changing only the candidate ranking and cap, to measure the cost of a smaller candidate set once the organizers clarified that candidate set size counts toward the final ranking.</w:t>
      </w:r>
    </w:p>
    <w:tbl>
      <w:tblPr>
        <w:tblW w:type="dxa" w:w="7200"/>
        <w:tblBorders>
          <w:top w:val="single" w:color="000000" w:sz="4"/>
          <w:left w:val="single" w:color="000000" w:sz="4"/>
          <w:bottom w:val="single" w:color="000000" w:sz="4"/>
          <w:right w:val="single" w:color="000000" w:sz="4"/>
          <w:insideH w:val="single" w:color="000000" w:sz="4"/>
          <w:insideV w:val="single" w:color="000000" w:sz="4"/>
        </w:tblBorders>
      </w:tblPr>
      <w:tblGrid>
        <w:gridCol w:w="3800"/>
        <w:gridCol w:w="1700"/>
        <w:gridCol w:w="1700"/>
      </w:tblGrid>
      <w:tr>
        <w:tc>
          <w:tcPr>
            <w:tcW w:type="dxa" w:w="3800"/>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9"/>
                <w:szCs w:val="19"/>
              </w:rPr>
              <w:t xml:space="preserve">Method</w:t>
            </w:r>
          </w:p>
        </w:tc>
        <w:tc>
          <w:tcPr>
            <w:tcW w:type="dxa" w:w="1700"/>
            <w:shd w:fill="D9D9D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000000"/>
                <w:sz w:val="19"/>
                <w:szCs w:val="19"/>
              </w:rPr>
              <w:t xml:space="preserve">Macro F 0.5</w:t>
            </w:r>
          </w:p>
        </w:tc>
        <w:tc>
          <w:tcPr>
            <w:tcW w:type="dxa" w:w="1700"/>
            <w:shd w:fill="D9D9D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000000"/>
                <w:sz w:val="19"/>
                <w:szCs w:val="19"/>
              </w:rPr>
              <w:t xml:space="preserve">Candidates / entity</w:t>
            </w:r>
          </w:p>
        </w:tc>
      </w:tr>
      <w:tr>
        <w:tc>
          <w:tcPr>
            <w:tcW w:type="dxa" w:w="38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Exact normalized name match</w:t>
            </w:r>
          </w:p>
        </w:tc>
        <w:tc>
          <w:tcPr>
            <w:tcW w:type="dxa" w:w="170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0.302</w:t>
            </w:r>
          </w:p>
        </w:tc>
        <w:tc>
          <w:tcPr>
            <w:tcW w:type="dxa" w:w="17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
            </w:r>
          </w:p>
        </w:tc>
      </w:tr>
      <w:tr>
        <w:tc>
          <w:tcPr>
            <w:tcW w:type="dxa" w:w="38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Exact name match + country</w:t>
            </w:r>
          </w:p>
        </w:tc>
        <w:tc>
          <w:tcPr>
            <w:tcW w:type="dxa" w:w="170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0.302</w:t>
            </w:r>
          </w:p>
        </w:tc>
        <w:tc>
          <w:tcPr>
            <w:tcW w:type="dxa" w:w="17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
            </w:r>
          </w:p>
        </w:tc>
      </w:tr>
      <w:tr>
        <w:tc>
          <w:tcPr>
            <w:tcW w:type="dxa" w:w="38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Weighted fuzzy similarity</w:t>
            </w:r>
          </w:p>
        </w:tc>
        <w:tc>
          <w:tcPr>
            <w:tcW w:type="dxa" w:w="170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0.522</w:t>
            </w:r>
          </w:p>
        </w:tc>
        <w:tc>
          <w:tcPr>
            <w:tcW w:type="dxa" w:w="17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
            </w:r>
          </w:p>
        </w:tc>
      </w:tr>
      <w:tr>
        <w:tc>
          <w:tcPr>
            <w:tcW w:type="dxa" w:w="38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TF-IDF retrieval (name only)</w:t>
            </w:r>
          </w:p>
        </w:tc>
        <w:tc>
          <w:tcPr>
            <w:tcW w:type="dxa" w:w="170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0.458</w:t>
            </w:r>
          </w:p>
        </w:tc>
        <w:tc>
          <w:tcPr>
            <w:tcW w:type="dxa" w:w="17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
            </w:r>
          </w:p>
        </w:tc>
      </w:tr>
      <w:tr>
        <w:tc>
          <w:tcPr>
            <w:tcW w:type="dxa" w:w="38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LightGBM, cap 20, flat key-type ranking</w:t>
            </w:r>
          </w:p>
        </w:tc>
        <w:tc>
          <w:tcPr>
            <w:tcW w:type="dxa" w:w="170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0.640</w:t>
            </w:r>
          </w:p>
        </w:tc>
        <w:tc>
          <w:tcPr>
            <w:tcW w:type="dxa" w:w="170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19.6</w:t>
            </w:r>
          </w:p>
        </w:tc>
      </w:tr>
      <w:tr>
        <w:tc>
          <w:tcPr>
            <w:tcW w:type="dxa" w:w="3800"/>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9"/>
                <w:szCs w:val="19"/>
              </w:rPr>
              <w:t xml:space="preserve">LightGBM, cap 10, rarity weighted ranking (final)</w:t>
            </w:r>
          </w:p>
        </w:tc>
        <w:tc>
          <w:tcPr>
            <w:tcW w:type="dxa" w:w="1700"/>
            <w:shd w:fill="D9D9D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000000"/>
                <w:sz w:val="19"/>
                <w:szCs w:val="19"/>
              </w:rPr>
              <w:t xml:space="preserve">0.624</w:t>
            </w:r>
          </w:p>
        </w:tc>
        <w:tc>
          <w:tcPr>
            <w:tcW w:type="dxa" w:w="1700"/>
            <w:shd w:fill="D9D9D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000000"/>
                <w:sz w:val="19"/>
                <w:szCs w:val="19"/>
              </w:rPr>
              <w:t xml:space="preserve">9.9</w:t>
            </w:r>
          </w:p>
        </w:tc>
      </w:tr>
    </w:tbl>
    <w:p>
      <w:pPr>
        <w:spacing w:after="100" w:before="160"/>
        <w:jc w:val="both"/>
      </w:pPr>
      <w:r>
        <w:rPr>
          <w:rFonts w:ascii="Times New Roman" w:cs="Times New Roman" w:eastAsia="Times New Roman" w:hAnsi="Times New Roman"/>
          <w:b w:val="false"/>
          <w:bCs w:val="false"/>
          <w:i w:val="false"/>
          <w:iCs w:val="false"/>
          <w:color w:val="000000"/>
          <w:sz w:val="22"/>
          <w:szCs w:val="22"/>
        </w:rPr>
        <w:t xml:space="preserve">Table 2 breaks down the blocking stage itself for the two configurations.</w:t>
      </w:r>
    </w:p>
    <w:tbl>
      <w:tblPr>
        <w:tblW w:type="dxa" w:w="61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1750"/>
        <w:gridCol w:w="1750"/>
      </w:tblGrid>
      <w:tr>
        <w:tc>
          <w:tcPr>
            <w:tcW w:type="dxa" w:w="2600"/>
            <w:shd w:fill="D9D9D9" w:val="clear"/>
            <w:tcMar>
              <w:top w:type="dxa" w:w="70"/>
              <w:left w:type="dxa" w:w="90"/>
              <w:bottom w:type="dxa" w:w="70"/>
              <w:right w:type="dxa" w:w="90"/>
            </w:tcMar>
            <w:vAlign w:val="center"/>
          </w:tcPr>
          <w:p>
            <w:pPr>
              <w:jc w:val="left"/>
            </w:pPr>
            <w:r>
              <w:rPr>
                <w:rFonts w:ascii="Times New Roman" w:cs="Times New Roman" w:eastAsia="Times New Roman" w:hAnsi="Times New Roman"/>
                <w:b/>
                <w:bCs/>
                <w:color w:val="000000"/>
                <w:sz w:val="19"/>
                <w:szCs w:val="19"/>
              </w:rPr>
              <w:t xml:space="preserve">Metric</w:t>
            </w:r>
          </w:p>
        </w:tc>
        <w:tc>
          <w:tcPr>
            <w:tcW w:type="dxa" w:w="1750"/>
            <w:shd w:fill="D9D9D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000000"/>
                <w:sz w:val="19"/>
                <w:szCs w:val="19"/>
              </w:rPr>
              <w:t xml:space="preserve">Cap 20 (flat)</w:t>
            </w:r>
          </w:p>
        </w:tc>
        <w:tc>
          <w:tcPr>
            <w:tcW w:type="dxa" w:w="1750"/>
            <w:shd w:fill="D9D9D9" w:val="clear"/>
            <w:tcMar>
              <w:top w:type="dxa" w:w="70"/>
              <w:left w:type="dxa" w:w="90"/>
              <w:bottom w:type="dxa" w:w="70"/>
              <w:right w:type="dxa" w:w="90"/>
            </w:tcMar>
            <w:vAlign w:val="center"/>
          </w:tcPr>
          <w:p>
            <w:pPr>
              <w:jc w:val="center"/>
            </w:pPr>
            <w:r>
              <w:rPr>
                <w:rFonts w:ascii="Times New Roman" w:cs="Times New Roman" w:eastAsia="Times New Roman" w:hAnsi="Times New Roman"/>
                <w:b/>
                <w:bCs/>
                <w:color w:val="000000"/>
                <w:sz w:val="19"/>
                <w:szCs w:val="19"/>
              </w:rPr>
              <w:t xml:space="preserve">Cap 10 (rarity, final)</w:t>
            </w:r>
          </w:p>
        </w:tc>
      </w:tr>
      <w:tr>
        <w:tc>
          <w:tcPr>
            <w:tcW w:type="dxa" w:w="26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Candidate pairs generated</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2,689,464</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1,358,240</w:t>
            </w:r>
          </w:p>
        </w:tc>
      </w:tr>
      <w:tr>
        <w:tc>
          <w:tcPr>
            <w:tcW w:type="dxa" w:w="26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Average candidates per entity</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19.6</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9.9</w:t>
            </w:r>
          </w:p>
        </w:tc>
      </w:tr>
      <w:tr>
        <w:tc>
          <w:tcPr>
            <w:tcW w:type="dxa" w:w="26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Candidate recall</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56.3 percent</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54.2 percent</w:t>
            </w:r>
          </w:p>
        </w:tc>
      </w:tr>
      <w:tr>
        <w:tc>
          <w:tcPr>
            <w:tcW w:type="dxa" w:w="2600"/>
            <w:tcMar>
              <w:top w:type="dxa" w:w="70"/>
              <w:left w:type="dxa" w:w="90"/>
              <w:bottom w:type="dxa" w:w="70"/>
              <w:right w:type="dxa" w:w="90"/>
            </w:tcMar>
            <w:vAlign w:val="center"/>
          </w:tcPr>
          <w:p>
            <w:pPr>
              <w:jc w:val="left"/>
            </w:pPr>
            <w:r>
              <w:rPr>
                <w:rFonts w:ascii="Times New Roman" w:cs="Times New Roman" w:eastAsia="Times New Roman" w:hAnsi="Times New Roman"/>
                <w:b w:val="false"/>
                <w:bCs w:val="false"/>
                <w:color w:val="000000"/>
                <w:sz w:val="19"/>
                <w:szCs w:val="19"/>
              </w:rPr>
              <w:t xml:space="preserve">Reduction ratio</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99.9998 percent</w:t>
            </w:r>
          </w:p>
        </w:tc>
        <w:tc>
          <w:tcPr>
            <w:tcW w:type="dxa" w:w="1750"/>
            <w:tcMar>
              <w:top w:type="dxa" w:w="70"/>
              <w:left w:type="dxa" w:w="90"/>
              <w:bottom w:type="dxa" w:w="70"/>
              <w:right w:type="dxa" w:w="90"/>
            </w:tcMar>
            <w:vAlign w:val="center"/>
          </w:tcPr>
          <w:p>
            <w:pPr>
              <w:jc w:val="center"/>
            </w:pPr>
            <w:r>
              <w:rPr>
                <w:rFonts w:ascii="Times New Roman" w:cs="Times New Roman" w:eastAsia="Times New Roman" w:hAnsi="Times New Roman"/>
                <w:b w:val="false"/>
                <w:bCs w:val="false"/>
                <w:color w:val="000000"/>
                <w:sz w:val="19"/>
                <w:szCs w:val="19"/>
              </w:rPr>
              <w:t xml:space="preserve">99.99991 percent</w:t>
            </w:r>
          </w:p>
        </w:tc>
      </w:tr>
    </w:tbl>
    <w:p>
      <w:pPr>
        <w:spacing w:after="160" w:before="160"/>
        <w:jc w:val="both"/>
      </w:pPr>
      <w:r>
        <w:rPr>
          <w:rFonts w:ascii="Times New Roman" w:cs="Times New Roman" w:eastAsia="Times New Roman" w:hAnsi="Times New Roman"/>
          <w:b w:val="false"/>
          <w:bCs w:val="false"/>
          <w:i w:val="false"/>
          <w:iCs w:val="false"/>
          <w:color w:val="000000"/>
          <w:sz w:val="22"/>
          <w:szCs w:val="22"/>
        </w:rPr>
        <w:t xml:space="preserve">Halving the candidate cap cost 1.6 points of macro F 0.5 and 2.1 points of candidate recall, while cutting the candidate set size in half. In both configurations the average candidates per entity lands almost exactly at the configured cap, which means blocking is finding far more raw matches than either cap keeps, and the ranking determines which ones survive; the rarity weighted ranking is what keeps the smaller cap's cost this low.</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Error analysis on the final configuration's 1,845 false positives found mostly near duplicate business names paired with nearly identical addresses, for example two businesses named IMQ Eye Private Limited and VMQ Eye Private Limited at almost the same street address. Of the 38,531 false negatives, a substantial share trace back to the candidate cap applied during blocking rather than to the classifier: several Source 1 entities had every one of their true matches excluded before scoring even began, despite those matches being near exact on both name and address.</w:t>
      </w:r>
    </w:p>
    <w:p>
      <w:pPr>
        <w:spacing w:after="110" w:before="240"/>
      </w:pPr>
      <w:r>
        <w:rPr>
          <w:rFonts w:ascii="Times New Roman" w:cs="Times New Roman" w:eastAsia="Times New Roman" w:hAnsi="Times New Roman"/>
          <w:b/>
          <w:bCs/>
          <w:color w:val="000000"/>
          <w:sz w:val="24"/>
          <w:szCs w:val="24"/>
        </w:rPr>
        <w:t xml:space="preserve">4. Conclusion</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LightGBM outperformed every baseline in both blocking configurations. The final submitted configuration, using the rarity weighted ranking and a candidate cap of 10, reaches macro F 0.5 of 0.624 against a best baseline of 0.522, with precision 0.682 and recall 0.536. It was chosen over the flat ranking configuration at a cap of 20, which reached a slightly higher 0.640, because it keeps half as many candidates per Source 1 entity for a cost of only 0.016 in F 0.5, which is judged the better trade given that the competition scores candidate set size directly.</w:t>
      </w:r>
    </w:p>
    <w:p>
      <w:pPr>
        <w:spacing w:after="160" w:before="0"/>
        <w:jc w:val="both"/>
      </w:pPr>
      <w:r>
        <w:rPr>
          <w:rFonts w:ascii="Times New Roman" w:cs="Times New Roman" w:eastAsia="Times New Roman" w:hAnsi="Times New Roman"/>
          <w:b w:val="false"/>
          <w:bCs w:val="false"/>
          <w:i w:val="false"/>
          <w:iCs w:val="false"/>
          <w:color w:val="000000"/>
          <w:sz w:val="22"/>
          <w:szCs w:val="22"/>
        </w:rPr>
        <w:t xml:space="preserve">The main limitation is candidate recall, currently 54.2 percent, which caps the system's achievable recall regardless of model quality. This is driven by memory constraints rather than by weak blocking keys: an initial attempt to train on the full 2.2 million entity training set with a fifty candidate per entity cap exhausted available memory, both on a local machine and on a free tier cloud notebook, so the cap was reduced twice, first to twenty and then to ten once candidate set size was confirmed to matter for ranking, and results were measured on the 150,000 entity subset described above so a completed, honest result could be reported within available compute. Given more available memory, the most direct next step is running the same rarity weighted ranking on the full training set, which should allow the cap to be raised again and recover recall without giving up the candidate set size advantage the ranking already provides at a fixed cap. Secondary improvements worth testing are hard negative mining on the false positives found here, and a country or address density aware candidate cap in place of one fixed global value, since about 8.5 percent of entities in both configurations received no candidates at all.</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2026-09-25T14:52:03.659Z</dcterms:created>
  <dcterms:modified xsi:type="dcterms:W3CDTF">2026-09-25T14:52:03.665Z</dcterms:modified>
</cp:coreProperties>
</file>

<file path=docProps/custom.xml><?xml version="1.0" encoding="utf-8"?>
<Properties xmlns="http://schemas.openxmlformats.org/officeDocument/2006/custom-properties" xmlns:vt="http://schemas.openxmlformats.org/officeDocument/2006/docPropsVTypes"/>
</file>