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AE8A0" w14:textId="77777777" w:rsidR="00FE42B6" w:rsidRDefault="006A5B4F">
      <w:pPr>
        <w:spacing w:after="302" w:line="259" w:lineRule="auto"/>
        <w:ind w:left="211" w:right="0" w:firstLine="0"/>
        <w:jc w:val="left"/>
      </w:pPr>
      <w:r>
        <w:rPr>
          <w:rFonts w:ascii="Cambria" w:eastAsia="Cambria" w:hAnsi="Cambria" w:cs="Cambria"/>
          <w:b/>
          <w:color w:val="4F81BD"/>
          <w:sz w:val="28"/>
        </w:rPr>
        <w:t xml:space="preserve">Problematika porodní asistence v komunitní péči o ženu a dítě v ČR </w:t>
      </w:r>
    </w:p>
    <w:p w14:paraId="64EB0196" w14:textId="77777777" w:rsidR="00FE42B6" w:rsidRDefault="006A5B4F">
      <w:pPr>
        <w:ind w:left="-15" w:right="-11"/>
      </w:pPr>
      <w:r>
        <w:t>Zkrácen</w:t>
      </w:r>
      <w:r>
        <w:t>ě</w:t>
      </w:r>
      <w:r>
        <w:t xml:space="preserve"> p</w:t>
      </w:r>
      <w:r>
        <w:t>ř</w:t>
      </w:r>
      <w:r>
        <w:t xml:space="preserve">ednesla na </w:t>
      </w:r>
      <w:r>
        <w:t>č</w:t>
      </w:r>
      <w:r>
        <w:t>esko-rakouském workshopu ve Znojm</w:t>
      </w:r>
      <w:r>
        <w:t>ě</w:t>
      </w:r>
      <w:r>
        <w:t xml:space="preserve"> 10. 4. 2015 Radmila Dorazilová, soukromá porodní asistentka ve Zlín</w:t>
      </w:r>
      <w:r>
        <w:t>ě</w:t>
      </w:r>
      <w:r>
        <w:t xml:space="preserve">, vicepresidentka </w:t>
      </w:r>
      <w:r>
        <w:t>Č</w:t>
      </w:r>
      <w:r>
        <w:t xml:space="preserve">eské konfederace porodních asistentek. </w:t>
      </w:r>
    </w:p>
    <w:p w14:paraId="26A8D1ED" w14:textId="77777777" w:rsidR="00FE42B6" w:rsidRDefault="006A5B4F">
      <w:pPr>
        <w:ind w:left="-15" w:right="-11"/>
      </w:pPr>
      <w:r>
        <w:t>D</w:t>
      </w:r>
      <w:r>
        <w:t>ě</w:t>
      </w:r>
      <w:r>
        <w:t>kuji organizátor</w:t>
      </w:r>
      <w:r>
        <w:t>ů</w:t>
      </w:r>
      <w:r>
        <w:t xml:space="preserve">m tohoto setkání za pozvání a možnost zde </w:t>
      </w:r>
      <w:proofErr w:type="gramStart"/>
      <w:r>
        <w:t>vystoupit - opravdu</w:t>
      </w:r>
      <w:proofErr w:type="gramEnd"/>
      <w:r>
        <w:t xml:space="preserve"> si toho moc vážím. Toto setkání chápu nejen jak</w:t>
      </w:r>
      <w:r>
        <w:t>o p</w:t>
      </w:r>
      <w:r>
        <w:t>ř</w:t>
      </w:r>
      <w:r>
        <w:t>íležitost k vým</w:t>
      </w:r>
      <w:r>
        <w:t>ě</w:t>
      </w:r>
      <w:r>
        <w:t>n</w:t>
      </w:r>
      <w:r>
        <w:t>ě</w:t>
      </w:r>
      <w:r>
        <w:t xml:space="preserve"> zkušeností mezi </w:t>
      </w:r>
      <w:r>
        <w:t>Č</w:t>
      </w:r>
      <w:r>
        <w:t>R a Rakouskem. V</w:t>
      </w:r>
      <w:r>
        <w:t>ěř</w:t>
      </w:r>
      <w:r>
        <w:t>ím, že m</w:t>
      </w:r>
      <w:r>
        <w:t>ů</w:t>
      </w:r>
      <w:r>
        <w:t>že být rovn</w:t>
      </w:r>
      <w:r>
        <w:t>ě</w:t>
      </w:r>
      <w:r>
        <w:t>ž po</w:t>
      </w:r>
      <w:r>
        <w:t>č</w:t>
      </w:r>
      <w:r>
        <w:t>átkem pot</w:t>
      </w:r>
      <w:r>
        <w:t>ř</w:t>
      </w:r>
      <w:r>
        <w:t>ebné, ale chyb</w:t>
      </w:r>
      <w:r>
        <w:t>ě</w:t>
      </w:r>
      <w:r>
        <w:t xml:space="preserve">jící, </w:t>
      </w:r>
      <w:proofErr w:type="gramStart"/>
      <w:r>
        <w:t>diskuze</w:t>
      </w:r>
      <w:proofErr w:type="gramEnd"/>
      <w:r>
        <w:t xml:space="preserve"> mezi léka</w:t>
      </w:r>
      <w:r>
        <w:t>ř</w:t>
      </w:r>
      <w:r>
        <w:t xml:space="preserve">i – gynekology a porodními asistentkami v </w:t>
      </w:r>
      <w:r>
        <w:t>Č</w:t>
      </w:r>
      <w:r>
        <w:t>eské republice. Ve svém vystoupení budu prezentovat své osobní názory a zkušenos</w:t>
      </w:r>
      <w:r>
        <w:t xml:space="preserve">ti, shodné se stanovisky profesní organizace porodních asistentek, kterou reprezentuji. </w:t>
      </w:r>
    </w:p>
    <w:p w14:paraId="358A434C" w14:textId="77777777" w:rsidR="00FE42B6" w:rsidRDefault="006A5B4F">
      <w:pPr>
        <w:spacing w:after="247"/>
        <w:ind w:left="-15" w:right="-11"/>
      </w:pPr>
      <w:r>
        <w:t>Od roku 1998 jsem se zú</w:t>
      </w:r>
      <w:r>
        <w:t>č</w:t>
      </w:r>
      <w:r>
        <w:t>astnila pravd</w:t>
      </w:r>
      <w:r>
        <w:t>ě</w:t>
      </w:r>
      <w:r>
        <w:t>podobn</w:t>
      </w:r>
      <w:r>
        <w:t>ě</w:t>
      </w:r>
      <w:r>
        <w:t xml:space="preserve"> všech d</w:t>
      </w:r>
      <w:r>
        <w:t>ů</w:t>
      </w:r>
      <w:r>
        <w:t>ležitých jednání, mnou uvád</w:t>
      </w:r>
      <w:r>
        <w:t>ě</w:t>
      </w:r>
      <w:r>
        <w:t>né skute</w:t>
      </w:r>
      <w:r>
        <w:t>č</w:t>
      </w:r>
      <w:r>
        <w:t>nosti jsou podložené osobní zkušeností a fakty. Nechci být konfronta</w:t>
      </w:r>
      <w:r>
        <w:t>č</w:t>
      </w:r>
      <w:r>
        <w:t>ní, mus</w:t>
      </w:r>
      <w:r>
        <w:t>íme však za</w:t>
      </w:r>
      <w:r>
        <w:t>č</w:t>
      </w:r>
      <w:r>
        <w:t>ít jasným popisem dnešního stavu a jeho p</w:t>
      </w:r>
      <w:r>
        <w:t>ř</w:t>
      </w:r>
      <w:r>
        <w:t>í</w:t>
      </w:r>
      <w:r>
        <w:t>č</w:t>
      </w:r>
      <w:r>
        <w:t>in. Není možné posuzovat samostatn</w:t>
      </w:r>
      <w:r>
        <w:t>ě</w:t>
      </w:r>
      <w:r>
        <w:t xml:space="preserve"> pé</w:t>
      </w:r>
      <w:r>
        <w:t>č</w:t>
      </w:r>
      <w:r>
        <w:t>i porodních asistentek, bez souvislostí s pé</w:t>
      </w:r>
      <w:r>
        <w:t>č</w:t>
      </w:r>
      <w:r>
        <w:t>í léka</w:t>
      </w:r>
      <w:r>
        <w:t>ř</w:t>
      </w:r>
      <w:r>
        <w:t>skou – úzce spolu souvisí. Zájmy gynekolog</w:t>
      </w:r>
      <w:r>
        <w:t>ů</w:t>
      </w:r>
      <w:r>
        <w:t xml:space="preserve"> a porodních asistentek se mohou </w:t>
      </w:r>
      <w:r>
        <w:t>č</w:t>
      </w:r>
      <w:r>
        <w:t>áste</w:t>
      </w:r>
      <w:r>
        <w:t>č</w:t>
      </w:r>
      <w:r>
        <w:t>n</w:t>
      </w:r>
      <w:r>
        <w:t>ě</w:t>
      </w:r>
      <w:r>
        <w:t xml:space="preserve"> k</w:t>
      </w:r>
      <w:r>
        <w:t>ř</w:t>
      </w:r>
      <w:r>
        <w:t>ížit, a proto m</w:t>
      </w:r>
      <w:r>
        <w:t>ů</w:t>
      </w:r>
      <w:r>
        <w:t>žeme m</w:t>
      </w:r>
      <w:r>
        <w:t>ít na n</w:t>
      </w:r>
      <w:r>
        <w:t>ě</w:t>
      </w:r>
      <w:r>
        <w:t>které v</w:t>
      </w:r>
      <w:r>
        <w:t>ě</w:t>
      </w:r>
      <w:r>
        <w:t>ci r</w:t>
      </w:r>
      <w:r>
        <w:t>ů</w:t>
      </w:r>
      <w:r>
        <w:t>zný názor. M</w:t>
      </w:r>
      <w:r>
        <w:t>ě</w:t>
      </w:r>
      <w:r>
        <w:t>li bychom však um</w:t>
      </w:r>
      <w:r>
        <w:t>ě</w:t>
      </w:r>
      <w:r>
        <w:t>t diskutovat a hledat nejvhodn</w:t>
      </w:r>
      <w:r>
        <w:t>ě</w:t>
      </w:r>
      <w:r>
        <w:t xml:space="preserve">jší </w:t>
      </w:r>
      <w:r>
        <w:t>ř</w:t>
      </w:r>
      <w:r>
        <w:t>ešení v zájmu našich klientek a celého systému zdravotní pé</w:t>
      </w:r>
      <w:r>
        <w:t>č</w:t>
      </w:r>
      <w:r>
        <w:t>e. Prosazování „svého“ z pozice síly nebo pomocí r</w:t>
      </w:r>
      <w:r>
        <w:t>ů</w:t>
      </w:r>
      <w:r>
        <w:t>zných mediálních kampaní nem</w:t>
      </w:r>
      <w:r>
        <w:t>ů</w:t>
      </w:r>
      <w:r>
        <w:t xml:space="preserve">že vést k nalezení optimálního </w:t>
      </w:r>
      <w:r>
        <w:t>ř</w:t>
      </w:r>
      <w:r>
        <w:t>ešení. Naopak negativn</w:t>
      </w:r>
      <w:r>
        <w:t>ě</w:t>
      </w:r>
      <w:r>
        <w:t xml:space="preserve"> ovliv</w:t>
      </w:r>
      <w:r>
        <w:t>ň</w:t>
      </w:r>
      <w:r>
        <w:t>uje nejen vzájemné vztahy mezi našimi profesemi, ale také kvalitu, komplexnost, dostupnost a hospodárnost pé</w:t>
      </w:r>
      <w:r>
        <w:t>č</w:t>
      </w:r>
      <w:r>
        <w:t>e a tím škodí našim klientkám, jejich d</w:t>
      </w:r>
      <w:r>
        <w:t>ě</w:t>
      </w:r>
      <w:r>
        <w:t xml:space="preserve">tem a rodinám. </w:t>
      </w:r>
    </w:p>
    <w:p w14:paraId="1444780E" w14:textId="77777777" w:rsidR="00FE42B6" w:rsidRDefault="006A5B4F">
      <w:pPr>
        <w:spacing w:after="344" w:line="259" w:lineRule="auto"/>
        <w:ind w:left="427" w:right="0" w:firstLine="0"/>
        <w:jc w:val="left"/>
      </w:pPr>
      <w:r>
        <w:rPr>
          <w:b/>
          <w:i/>
        </w:rPr>
        <w:t xml:space="preserve">Motto: </w:t>
      </w:r>
    </w:p>
    <w:p w14:paraId="21BE6277" w14:textId="77777777" w:rsidR="00FE42B6" w:rsidRDefault="006A5B4F">
      <w:pPr>
        <w:ind w:left="-15" w:right="-11"/>
      </w:pPr>
      <w:r>
        <w:rPr>
          <w:b/>
        </w:rPr>
        <w:t>Výňatek z „Mnichovské</w:t>
      </w:r>
      <w:r>
        <w:rPr>
          <w:b/>
        </w:rPr>
        <w:t xml:space="preserve"> deklarace“, </w:t>
      </w:r>
      <w:r>
        <w:t>p</w:t>
      </w:r>
      <w:r>
        <w:t>ř</w:t>
      </w:r>
      <w:r>
        <w:t>ijaté v roce 2000 ministry zdravotnictví evropského regionu WHO</w:t>
      </w:r>
      <w:r>
        <w:rPr>
          <w:b/>
        </w:rPr>
        <w:t xml:space="preserve">: </w:t>
      </w:r>
    </w:p>
    <w:p w14:paraId="1FD43D9C" w14:textId="77777777" w:rsidR="00FE42B6" w:rsidRDefault="006A5B4F">
      <w:pPr>
        <w:spacing w:after="284" w:line="316" w:lineRule="auto"/>
        <w:ind w:right="3" w:firstLine="427"/>
      </w:pPr>
      <w:r>
        <w:rPr>
          <w:i/>
        </w:rPr>
        <w:t xml:space="preserve">Naléháme na všechny příslušné úřady v evropském regionu, aby zvýšily úsilí k </w:t>
      </w:r>
      <w:r>
        <w:rPr>
          <w:i/>
          <w:u w:val="single" w:color="000000"/>
        </w:rPr>
        <w:t>posílení</w:t>
      </w:r>
      <w:r>
        <w:rPr>
          <w:i/>
        </w:rPr>
        <w:t xml:space="preserve"> </w:t>
      </w:r>
      <w:r>
        <w:rPr>
          <w:i/>
          <w:u w:val="single" w:color="000000"/>
        </w:rPr>
        <w:t>porodní asistence:…</w:t>
      </w:r>
      <w:r>
        <w:rPr>
          <w:b/>
          <w:i/>
          <w:u w:val="single" w:color="000000"/>
        </w:rPr>
        <w:t xml:space="preserve"> </w:t>
      </w:r>
      <w:r>
        <w:rPr>
          <w:i/>
          <w:u w:val="single" w:color="000000"/>
        </w:rPr>
        <w:t>zajištěním podílu porodní asistence při rozhodování</w:t>
      </w:r>
      <w:r>
        <w:rPr>
          <w:i/>
        </w:rPr>
        <w:t xml:space="preserve"> na všech úrovních</w:t>
      </w:r>
      <w:r>
        <w:rPr>
          <w:i/>
        </w:rPr>
        <w:t xml:space="preserve"> vytváření a implementace zdravotní politiky…</w:t>
      </w:r>
      <w:r>
        <w:rPr>
          <w:b/>
          <w:i/>
        </w:rPr>
        <w:t xml:space="preserve"> </w:t>
      </w:r>
      <w:r>
        <w:rPr>
          <w:i/>
        </w:rPr>
        <w:t xml:space="preserve">zaměřením se na </w:t>
      </w:r>
      <w:r>
        <w:rPr>
          <w:i/>
          <w:u w:val="single" w:color="000000"/>
        </w:rPr>
        <w:t>odstraňování překážek,</w:t>
      </w:r>
      <w:r>
        <w:rPr>
          <w:i/>
        </w:rPr>
        <w:t xml:space="preserve"> </w:t>
      </w:r>
      <w:r>
        <w:rPr>
          <w:i/>
          <w:u w:val="single" w:color="000000"/>
        </w:rPr>
        <w:t>zejména v oblastech</w:t>
      </w:r>
      <w:r>
        <w:rPr>
          <w:i/>
        </w:rPr>
        <w:t xml:space="preserve"> personální politiky, otázkách pohlaví, stavu a </w:t>
      </w:r>
      <w:r>
        <w:rPr>
          <w:i/>
          <w:u w:val="single" w:color="000000"/>
        </w:rPr>
        <w:t>lékařské dominance</w:t>
      </w:r>
      <w:r>
        <w:rPr>
          <w:i/>
        </w:rPr>
        <w:t xml:space="preserve"> …</w:t>
      </w:r>
      <w:r>
        <w:rPr>
          <w:b/>
          <w:i/>
        </w:rPr>
        <w:t xml:space="preserve"> </w:t>
      </w:r>
      <w:r>
        <w:rPr>
          <w:i/>
        </w:rPr>
        <w:t>hledáním příležitostí pro</w:t>
      </w:r>
      <w:r>
        <w:rPr>
          <w:i/>
          <w:u w:val="single" w:color="000000"/>
        </w:rPr>
        <w:t xml:space="preserve"> vytváření a podporu programů a služeb komunitní porodní</w:t>
      </w:r>
      <w:r>
        <w:rPr>
          <w:i/>
        </w:rPr>
        <w:t xml:space="preserve"> </w:t>
      </w:r>
      <w:r>
        <w:rPr>
          <w:i/>
          <w:u w:val="single" w:color="000000"/>
        </w:rPr>
        <w:t>a</w:t>
      </w:r>
      <w:r>
        <w:rPr>
          <w:i/>
          <w:u w:val="single" w:color="000000"/>
        </w:rPr>
        <w:t xml:space="preserve">sistence, zaměřené na rodinu </w:t>
      </w:r>
      <w:r>
        <w:rPr>
          <w:i/>
        </w:rPr>
        <w:t xml:space="preserve">… </w:t>
      </w:r>
      <w:r>
        <w:rPr>
          <w:i/>
          <w:u w:val="single" w:color="000000"/>
        </w:rPr>
        <w:t>posilováním rolí porodních asistentek ve veřejném</w:t>
      </w:r>
      <w:r>
        <w:rPr>
          <w:i/>
        </w:rPr>
        <w:t xml:space="preserve"> </w:t>
      </w:r>
      <w:r>
        <w:rPr>
          <w:i/>
          <w:u w:val="single" w:color="000000"/>
        </w:rPr>
        <w:t>zdravotnictví, v podpoře zdraví a v komunitním rozvoji …</w:t>
      </w:r>
      <w:r>
        <w:rPr>
          <w:i/>
        </w:rPr>
        <w:t xml:space="preserve"> </w:t>
      </w:r>
    </w:p>
    <w:p w14:paraId="2C4C3D00" w14:textId="77777777" w:rsidR="00FE42B6" w:rsidRDefault="006A5B4F">
      <w:pPr>
        <w:spacing w:after="344" w:line="259" w:lineRule="auto"/>
        <w:ind w:right="76" w:firstLine="0"/>
        <w:jc w:val="center"/>
      </w:pPr>
      <w:r>
        <w:rPr>
          <w:b/>
        </w:rPr>
        <w:t xml:space="preserve">Stručná rekapitulace dosavadního vývoje v ambulantní péči o ženu a dítě v ČR: </w:t>
      </w:r>
    </w:p>
    <w:p w14:paraId="03CCECBD" w14:textId="77777777" w:rsidR="00FE42B6" w:rsidRDefault="006A5B4F">
      <w:pPr>
        <w:ind w:left="-15" w:right="-11"/>
      </w:pPr>
      <w:r>
        <w:t>Rozhodujícím faktorem pro práci porodn</w:t>
      </w:r>
      <w:r>
        <w:t>í asistentky je nastavení systému zdravotní pé</w:t>
      </w:r>
      <w:r>
        <w:t>č</w:t>
      </w:r>
      <w:r>
        <w:t>e a podoby sít</w:t>
      </w:r>
      <w:r>
        <w:t>ě</w:t>
      </w:r>
      <w:r>
        <w:t xml:space="preserve"> zdravotnických za</w:t>
      </w:r>
      <w:r>
        <w:t>ř</w:t>
      </w:r>
      <w:r>
        <w:t xml:space="preserve">ízení, které se </w:t>
      </w:r>
      <w:r>
        <w:t>č</w:t>
      </w:r>
      <w:r>
        <w:t>asem zásadn</w:t>
      </w:r>
      <w:r>
        <w:t>ě</w:t>
      </w:r>
      <w:r>
        <w:t xml:space="preserve"> m</w:t>
      </w:r>
      <w:r>
        <w:t>ě</w:t>
      </w:r>
      <w:r>
        <w:t>nily. P</w:t>
      </w:r>
      <w:r>
        <w:t>ů</w:t>
      </w:r>
      <w:r>
        <w:t>vodn</w:t>
      </w:r>
      <w:r>
        <w:t>ě</w:t>
      </w:r>
      <w:r>
        <w:t xml:space="preserve"> (do padesátých </w:t>
      </w:r>
      <w:r>
        <w:lastRenderedPageBreak/>
        <w:t>let) poskytovali ambulantní pé</w:t>
      </w:r>
      <w:r>
        <w:t>č</w:t>
      </w:r>
      <w:r>
        <w:t>i o ženu a dít</w:t>
      </w:r>
      <w:r>
        <w:t>ě</w:t>
      </w:r>
      <w:r>
        <w:t xml:space="preserve"> léka</w:t>
      </w:r>
      <w:r>
        <w:t>ř</w:t>
      </w:r>
      <w:r>
        <w:t xml:space="preserve"> i porodní asistentka samostatn</w:t>
      </w:r>
      <w:r>
        <w:t>ě</w:t>
      </w:r>
      <w:r>
        <w:t xml:space="preserve"> formou vlastní soukromé praxe. Za </w:t>
      </w:r>
      <w:proofErr w:type="gramStart"/>
      <w:r>
        <w:t>socializmu</w:t>
      </w:r>
      <w:proofErr w:type="gramEnd"/>
      <w:r>
        <w:t xml:space="preserve"> se z léka</w:t>
      </w:r>
      <w:r>
        <w:t>ř</w:t>
      </w:r>
      <w:r>
        <w:t>e i porodní asistentky stali zam</w:t>
      </w:r>
      <w:r>
        <w:t>ě</w:t>
      </w:r>
      <w:r>
        <w:t>stnanci tehdejších Ústav</w:t>
      </w:r>
      <w:r>
        <w:t>ů</w:t>
      </w:r>
      <w:r>
        <w:t xml:space="preserve"> národního zdraví, p</w:t>
      </w:r>
      <w:r>
        <w:t>ř</w:t>
      </w:r>
      <w:r>
        <w:t>i</w:t>
      </w:r>
      <w:r>
        <w:t>č</w:t>
      </w:r>
      <w:r>
        <w:t xml:space="preserve">emž </w:t>
      </w:r>
      <w:r>
        <w:t>č</w:t>
      </w:r>
      <w:r>
        <w:t>innost porodní asistentky byla rozd</w:t>
      </w:r>
      <w:r>
        <w:t>ě</w:t>
      </w:r>
      <w:r>
        <w:t>lena mezi ženskou a d</w:t>
      </w:r>
      <w:r>
        <w:t>ě</w:t>
      </w:r>
      <w:r>
        <w:t xml:space="preserve">tskou sestru. Ženská sestra pracovala v </w:t>
      </w:r>
      <w:r>
        <w:t>č</w:t>
      </w:r>
      <w:r>
        <w:t>ásti úvazku pod</w:t>
      </w:r>
      <w:r>
        <w:t>le pokyn</w:t>
      </w:r>
      <w:r>
        <w:t>ů</w:t>
      </w:r>
      <w:r>
        <w:t xml:space="preserve"> gynekologa v obvodní ordinaci (kde se st</w:t>
      </w:r>
      <w:r>
        <w:t>ř</w:t>
      </w:r>
      <w:r>
        <w:t xml:space="preserve">ídaly 2 i 3 ŽS) a v </w:t>
      </w:r>
      <w:r>
        <w:t>č</w:t>
      </w:r>
      <w:r>
        <w:t>ásti úvazku samostatn</w:t>
      </w:r>
      <w:r>
        <w:t>ě</w:t>
      </w:r>
      <w:r>
        <w:t xml:space="preserve"> – p</w:t>
      </w:r>
      <w:r>
        <w:t>ř</w:t>
      </w:r>
      <w:r>
        <w:t>edevším p</w:t>
      </w:r>
      <w:r>
        <w:t>ř</w:t>
      </w:r>
      <w:r>
        <w:t>i návšt</w:t>
      </w:r>
      <w:r>
        <w:t>ě</w:t>
      </w:r>
      <w:r>
        <w:t>vní služb</w:t>
      </w:r>
      <w:r>
        <w:t>ě</w:t>
      </w:r>
      <w:r>
        <w:t xml:space="preserve"> nebo p</w:t>
      </w:r>
      <w:r>
        <w:t>ř</w:t>
      </w:r>
      <w:r>
        <w:t>i p</w:t>
      </w:r>
      <w:r>
        <w:t>ř</w:t>
      </w:r>
      <w:r>
        <w:t>íprav</w:t>
      </w:r>
      <w:r>
        <w:t>ě</w:t>
      </w:r>
      <w:r>
        <w:t xml:space="preserve"> t</w:t>
      </w:r>
      <w:r>
        <w:t>ě</w:t>
      </w:r>
      <w:r>
        <w:t xml:space="preserve">hotných žen k porodu. Vývoj v </w:t>
      </w:r>
      <w:r>
        <w:t>Č</w:t>
      </w:r>
      <w:r>
        <w:t>R byl rozdílný proti Rakousku a západní Evrop</w:t>
      </w:r>
      <w:r>
        <w:t>ě</w:t>
      </w:r>
      <w:r>
        <w:t xml:space="preserve">. </w:t>
      </w:r>
    </w:p>
    <w:p w14:paraId="67A2C9ED" w14:textId="77777777" w:rsidR="00FE42B6" w:rsidRDefault="006A5B4F">
      <w:pPr>
        <w:spacing w:after="345" w:line="259" w:lineRule="auto"/>
        <w:ind w:left="422" w:right="0" w:hanging="10"/>
        <w:jc w:val="left"/>
      </w:pPr>
      <w:r>
        <w:rPr>
          <w:b/>
        </w:rPr>
        <w:t>Vývoj po společenských změná</w:t>
      </w:r>
      <w:r>
        <w:rPr>
          <w:b/>
        </w:rPr>
        <w:t xml:space="preserve">ch a po privatizaci ambulantní péče: </w:t>
      </w:r>
    </w:p>
    <w:p w14:paraId="6B297CEF" w14:textId="77777777" w:rsidR="00FE42B6" w:rsidRDefault="006A5B4F">
      <w:pPr>
        <w:spacing w:after="256"/>
        <w:ind w:left="-15" w:right="-11"/>
      </w:pPr>
      <w:r>
        <w:t>Po roce 1992 došlo k velmi nerovnom</w:t>
      </w:r>
      <w:r>
        <w:t>ě</w:t>
      </w:r>
      <w:r>
        <w:t>rnému vývoji: Po</w:t>
      </w:r>
      <w:r>
        <w:t>č</w:t>
      </w:r>
      <w:r>
        <w:t>et žen z</w:t>
      </w:r>
      <w:r>
        <w:t>ů</w:t>
      </w:r>
      <w:r>
        <w:t>stal stejný, po</w:t>
      </w:r>
      <w:r>
        <w:t>č</w:t>
      </w:r>
      <w:r>
        <w:t>et porod</w:t>
      </w:r>
      <w:r>
        <w:t>ů</w:t>
      </w:r>
      <w:r>
        <w:t xml:space="preserve"> a gynekologických operací se mírn</w:t>
      </w:r>
      <w:r>
        <w:t>ě</w:t>
      </w:r>
      <w:r>
        <w:t xml:space="preserve"> snížil. Po</w:t>
      </w:r>
      <w:r>
        <w:t>č</w:t>
      </w:r>
      <w:r>
        <w:t>et l</w:t>
      </w:r>
      <w:r>
        <w:t>ů</w:t>
      </w:r>
      <w:r>
        <w:t>žek a délka hospitalizace se snížily p</w:t>
      </w:r>
      <w:r>
        <w:t>ř</w:t>
      </w:r>
      <w:r>
        <w:t>ibližn</w:t>
      </w:r>
      <w:r>
        <w:t>ě</w:t>
      </w:r>
      <w:r>
        <w:t xml:space="preserve"> na polovinu. O tém</w:t>
      </w:r>
      <w:r>
        <w:t>ěř</w:t>
      </w:r>
      <w:r>
        <w:t xml:space="preserve"> polovinu se</w:t>
      </w:r>
      <w:r>
        <w:t xml:space="preserve"> však zvýšil po</w:t>
      </w:r>
      <w:r>
        <w:t>č</w:t>
      </w:r>
      <w:r>
        <w:t>et vyšet</w:t>
      </w:r>
      <w:r>
        <w:t>ř</w:t>
      </w:r>
      <w:r>
        <w:t>ení a léka</w:t>
      </w:r>
      <w:r>
        <w:t>řů</w:t>
      </w:r>
      <w:r>
        <w:t xml:space="preserve"> v gynekologických ordinacích. V ordinaci z</w:t>
      </w:r>
      <w:r>
        <w:t>ů</w:t>
      </w:r>
      <w:r>
        <w:t>stala obvykle 1 (u soukromých) nebo 2 (u nemocni</w:t>
      </w:r>
      <w:r>
        <w:t>č</w:t>
      </w:r>
      <w:r>
        <w:t>ních) „pracovnice“ – ne vždy porodní asistentka. Jen výjime</w:t>
      </w:r>
      <w:r>
        <w:t>č</w:t>
      </w:r>
      <w:r>
        <w:t>n</w:t>
      </w:r>
      <w:r>
        <w:t>ě</w:t>
      </w:r>
      <w:r>
        <w:t xml:space="preserve"> vznikla samostatná pracovišt</w:t>
      </w:r>
      <w:r>
        <w:t>ě</w:t>
      </w:r>
      <w:r>
        <w:t xml:space="preserve"> porodních asistentek, návšt</w:t>
      </w:r>
      <w:r>
        <w:t>ě</w:t>
      </w:r>
      <w:r>
        <w:t>vní služba až na výjimky p</w:t>
      </w:r>
      <w:r>
        <w:t>ř</w:t>
      </w:r>
      <w:r>
        <w:t>estala existovat. P</w:t>
      </w:r>
      <w:r>
        <w:t>ř</w:t>
      </w:r>
      <w:r>
        <w:t>ibylo cca 800 pracovních míst gynekolog</w:t>
      </w:r>
      <w:r>
        <w:t>ů</w:t>
      </w:r>
      <w:r>
        <w:t xml:space="preserve"> a ubylo stejné množství pracovních míst porodních asistentek. Došlo zjevn</w:t>
      </w:r>
      <w:r>
        <w:t>ě</w:t>
      </w:r>
      <w:r>
        <w:t xml:space="preserve"> ke zvýšení nákladnosti, ale sou</w:t>
      </w:r>
      <w:r>
        <w:t>č</w:t>
      </w:r>
      <w:r>
        <w:t>asn</w:t>
      </w:r>
      <w:r>
        <w:t>ě</w:t>
      </w:r>
      <w:r>
        <w:t xml:space="preserve"> ke zhoršení komplexnosti a </w:t>
      </w:r>
      <w:r>
        <w:t>dostupnosti ambulantní pé</w:t>
      </w:r>
      <w:r>
        <w:t>č</w:t>
      </w:r>
      <w:r>
        <w:t xml:space="preserve">e v našem oboru. </w:t>
      </w:r>
      <w:r>
        <w:rPr>
          <w:u w:val="single" w:color="000000"/>
        </w:rPr>
        <w:t>V porovnání s Mnichovskou deklarací se vývoj</w:t>
      </w:r>
      <w:r>
        <w:t xml:space="preserve"> </w:t>
      </w:r>
      <w:r>
        <w:rPr>
          <w:u w:val="single" w:color="000000"/>
        </w:rPr>
        <w:t xml:space="preserve">v </w:t>
      </w:r>
      <w:r>
        <w:rPr>
          <w:u w:val="single" w:color="000000"/>
        </w:rPr>
        <w:t>Č</w:t>
      </w:r>
      <w:r>
        <w:rPr>
          <w:u w:val="single" w:color="000000"/>
        </w:rPr>
        <w:t>R ubíral opa</w:t>
      </w:r>
      <w:r>
        <w:rPr>
          <w:u w:val="single" w:color="000000"/>
        </w:rPr>
        <w:t>č</w:t>
      </w:r>
      <w:r>
        <w:rPr>
          <w:u w:val="single" w:color="000000"/>
        </w:rPr>
        <w:t>ným sm</w:t>
      </w:r>
      <w:r>
        <w:rPr>
          <w:u w:val="single" w:color="000000"/>
        </w:rPr>
        <w:t>ě</w:t>
      </w:r>
      <w:r>
        <w:rPr>
          <w:u w:val="single" w:color="000000"/>
        </w:rPr>
        <w:t>rem – výrazn</w:t>
      </w:r>
      <w:r>
        <w:rPr>
          <w:u w:val="single" w:color="000000"/>
        </w:rPr>
        <w:t>ě</w:t>
      </w:r>
      <w:r>
        <w:rPr>
          <w:u w:val="single" w:color="000000"/>
        </w:rPr>
        <w:t xml:space="preserve"> v neprosp</w:t>
      </w:r>
      <w:r>
        <w:rPr>
          <w:u w:val="single" w:color="000000"/>
        </w:rPr>
        <w:t>ě</w:t>
      </w:r>
      <w:r>
        <w:rPr>
          <w:u w:val="single" w:color="000000"/>
        </w:rPr>
        <w:t>ch dnes již vysokoškolsky vzd</w:t>
      </w:r>
      <w:r>
        <w:rPr>
          <w:u w:val="single" w:color="000000"/>
        </w:rPr>
        <w:t>ě</w:t>
      </w:r>
      <w:r>
        <w:rPr>
          <w:u w:val="single" w:color="000000"/>
        </w:rPr>
        <w:t>laných</w:t>
      </w:r>
      <w:r>
        <w:t xml:space="preserve"> </w:t>
      </w:r>
      <w:r>
        <w:rPr>
          <w:u w:val="single" w:color="000000"/>
        </w:rPr>
        <w:t>porodních asistentek.</w:t>
      </w:r>
      <w:r>
        <w:t xml:space="preserve"> </w:t>
      </w:r>
    </w:p>
    <w:p w14:paraId="31AAD5FC" w14:textId="77777777" w:rsidR="00FE42B6" w:rsidRDefault="006A5B4F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tbl>
      <w:tblPr>
        <w:tblStyle w:val="TableGrid"/>
        <w:tblW w:w="9370" w:type="dxa"/>
        <w:tblInd w:w="-8" w:type="dxa"/>
        <w:tblCellMar>
          <w:top w:w="75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60"/>
        <w:gridCol w:w="845"/>
        <w:gridCol w:w="989"/>
        <w:gridCol w:w="985"/>
        <w:gridCol w:w="1132"/>
        <w:gridCol w:w="1050"/>
        <w:gridCol w:w="988"/>
        <w:gridCol w:w="834"/>
        <w:gridCol w:w="847"/>
        <w:gridCol w:w="840"/>
      </w:tblGrid>
      <w:tr w:rsidR="00FE42B6" w14:paraId="67F3E98E" w14:textId="77777777">
        <w:trPr>
          <w:trHeight w:val="47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01DFF373" w14:textId="77777777" w:rsidR="00FE42B6" w:rsidRDefault="006A5B4F">
            <w:pPr>
              <w:spacing w:after="0" w:line="259" w:lineRule="auto"/>
              <w:ind w:right="51" w:firstLine="0"/>
              <w:jc w:val="center"/>
            </w:pPr>
            <w:r>
              <w:rPr>
                <w:b/>
                <w:sz w:val="18"/>
              </w:rPr>
              <w:lastRenderedPageBreak/>
              <w:t>Rok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078B4086" w14:textId="77777777" w:rsidR="00FE42B6" w:rsidRDefault="006A5B4F">
            <w:pPr>
              <w:spacing w:after="0" w:line="259" w:lineRule="auto"/>
              <w:ind w:left="31" w:right="0" w:firstLine="0"/>
              <w:jc w:val="left"/>
            </w:pPr>
            <w:r>
              <w:rPr>
                <w:b/>
                <w:sz w:val="18"/>
              </w:rPr>
              <w:t>porodů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0436FB93" w14:textId="77777777" w:rsidR="00FE42B6" w:rsidRDefault="006A5B4F">
            <w:pPr>
              <w:spacing w:after="0" w:line="259" w:lineRule="auto"/>
              <w:ind w:left="29" w:right="0" w:firstLine="0"/>
              <w:jc w:val="left"/>
            </w:pPr>
            <w:proofErr w:type="spellStart"/>
            <w:proofErr w:type="gramStart"/>
            <w:r>
              <w:rPr>
                <w:b/>
                <w:sz w:val="18"/>
              </w:rPr>
              <w:t>gyn.oper</w:t>
            </w:r>
            <w:proofErr w:type="spellEnd"/>
            <w:proofErr w:type="gramEnd"/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4C5DE4EC" w14:textId="77777777" w:rsidR="00FE42B6" w:rsidRDefault="006A5B4F">
            <w:pPr>
              <w:spacing w:after="0" w:line="259" w:lineRule="auto"/>
              <w:ind w:left="41" w:right="0" w:firstLine="0"/>
              <w:jc w:val="left"/>
            </w:pPr>
            <w:proofErr w:type="spellStart"/>
            <w:r>
              <w:rPr>
                <w:b/>
                <w:sz w:val="18"/>
              </w:rPr>
              <w:t>g.</w:t>
            </w:r>
            <w:proofErr w:type="gramStart"/>
            <w:r>
              <w:rPr>
                <w:b/>
                <w:sz w:val="18"/>
              </w:rPr>
              <w:t>p.lůžek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49241AF6" w14:textId="77777777" w:rsidR="00FE42B6" w:rsidRDefault="006A5B4F">
            <w:pPr>
              <w:spacing w:after="0" w:line="259" w:lineRule="auto"/>
              <w:ind w:left="23" w:right="0" w:firstLine="0"/>
              <w:jc w:val="left"/>
            </w:pPr>
            <w:proofErr w:type="spellStart"/>
            <w:r>
              <w:rPr>
                <w:b/>
                <w:sz w:val="18"/>
              </w:rPr>
              <w:t>prům.hosp</w:t>
            </w:r>
            <w:proofErr w:type="spellEnd"/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092B3187" w14:textId="77777777" w:rsidR="00FE42B6" w:rsidRDefault="006A5B4F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rPr>
                <w:b/>
                <w:sz w:val="18"/>
              </w:rPr>
              <w:t>gyn.vyšetř</w:t>
            </w:r>
            <w:proofErr w:type="spellEnd"/>
            <w:proofErr w:type="gramEnd"/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center"/>
          </w:tcPr>
          <w:p w14:paraId="5917B992" w14:textId="77777777" w:rsidR="00FE42B6" w:rsidRDefault="006A5B4F">
            <w:pPr>
              <w:spacing w:after="0" w:line="259" w:lineRule="auto"/>
              <w:ind w:left="37" w:right="0" w:firstLine="0"/>
              <w:jc w:val="left"/>
            </w:pPr>
            <w:r>
              <w:rPr>
                <w:b/>
                <w:sz w:val="18"/>
              </w:rPr>
              <w:t>Návštěvy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7E36F259" w14:textId="77777777" w:rsidR="00FE42B6" w:rsidRDefault="00FE42B6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847" w:type="dxa"/>
            <w:tcBorders>
              <w:top w:val="single" w:sz="8" w:space="0" w:color="FFFFFF"/>
              <w:left w:val="single" w:sz="8" w:space="0" w:color="FFFFFF"/>
              <w:bottom w:val="single" w:sz="5" w:space="0" w:color="84ADDE"/>
              <w:right w:val="single" w:sz="8" w:space="0" w:color="FFFFFF"/>
            </w:tcBorders>
            <w:shd w:val="clear" w:color="auto" w:fill="84ADDE"/>
            <w:vAlign w:val="center"/>
          </w:tcPr>
          <w:p w14:paraId="1CFC3825" w14:textId="77777777" w:rsidR="00FE42B6" w:rsidRDefault="006A5B4F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b/>
                <w:sz w:val="18"/>
              </w:rPr>
              <w:t>lék.gyn</w:t>
            </w:r>
            <w:proofErr w:type="spellEnd"/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5" w:space="0" w:color="84ADDE"/>
              <w:right w:val="single" w:sz="8" w:space="0" w:color="FFFFFF"/>
            </w:tcBorders>
            <w:shd w:val="clear" w:color="auto" w:fill="84ADDE"/>
            <w:vAlign w:val="center"/>
          </w:tcPr>
          <w:p w14:paraId="1302A801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por.as.</w:t>
            </w:r>
            <w:r>
              <w:rPr>
                <w:sz w:val="18"/>
              </w:rPr>
              <w:t xml:space="preserve"> </w:t>
            </w:r>
          </w:p>
        </w:tc>
      </w:tr>
      <w:tr w:rsidR="00FE42B6" w14:paraId="73718305" w14:textId="77777777">
        <w:trPr>
          <w:trHeight w:val="30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  <w:vAlign w:val="bottom"/>
          </w:tcPr>
          <w:p w14:paraId="1353D976" w14:textId="77777777" w:rsidR="00FE42B6" w:rsidRDefault="006A5B4F">
            <w:pPr>
              <w:spacing w:after="0" w:line="259" w:lineRule="auto"/>
              <w:ind w:right="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12CA346C" w14:textId="77777777" w:rsidR="00FE42B6" w:rsidRDefault="006A5B4F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18"/>
              </w:rPr>
              <w:t>v tis.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7249E1AE" w14:textId="77777777" w:rsidR="00FE42B6" w:rsidRDefault="006A5B4F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18"/>
              </w:rPr>
              <w:t>v tis.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1763D73C" w14:textId="77777777" w:rsidR="00FE42B6" w:rsidRDefault="006A5B4F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18"/>
              </w:rPr>
              <w:t>v tis.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6C44D88F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b/>
                <w:sz w:val="18"/>
              </w:rPr>
              <w:t>ve dnech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2834D5E5" w14:textId="77777777" w:rsidR="00FE42B6" w:rsidRDefault="006A5B4F">
            <w:pPr>
              <w:spacing w:after="0" w:line="259" w:lineRule="auto"/>
              <w:ind w:left="17" w:right="0" w:firstLine="0"/>
              <w:jc w:val="left"/>
            </w:pPr>
            <w:proofErr w:type="spellStart"/>
            <w:proofErr w:type="gramStart"/>
            <w:r>
              <w:rPr>
                <w:b/>
                <w:sz w:val="18"/>
              </w:rPr>
              <w:t>lékař.v</w:t>
            </w:r>
            <w:proofErr w:type="spellEnd"/>
            <w:proofErr w:type="gramEnd"/>
            <w:r>
              <w:rPr>
                <w:b/>
                <w:sz w:val="18"/>
              </w:rPr>
              <w:t xml:space="preserve"> tis.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0DFE740F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b/>
                <w:sz w:val="18"/>
              </w:rPr>
              <w:t>PA v tis.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4ADDE"/>
          </w:tcPr>
          <w:p w14:paraId="75B709F6" w14:textId="77777777" w:rsidR="00FE42B6" w:rsidRDefault="006A5B4F">
            <w:pPr>
              <w:spacing w:after="0" w:line="259" w:lineRule="auto"/>
              <w:ind w:left="50" w:right="0" w:firstLine="0"/>
              <w:jc w:val="left"/>
            </w:pPr>
            <w:r>
              <w:rPr>
                <w:b/>
                <w:sz w:val="18"/>
              </w:rPr>
              <w:t xml:space="preserve">v </w:t>
            </w:r>
            <w:proofErr w:type="spellStart"/>
            <w:r>
              <w:rPr>
                <w:b/>
                <w:sz w:val="18"/>
              </w:rPr>
              <w:t>amb</w:t>
            </w:r>
            <w:proofErr w:type="spellEnd"/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7" w:type="dxa"/>
            <w:tcBorders>
              <w:top w:val="single" w:sz="5" w:space="0" w:color="84ADDE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84ADDE"/>
          </w:tcPr>
          <w:p w14:paraId="0A060A26" w14:textId="77777777" w:rsidR="00FE42B6" w:rsidRDefault="006A5B4F">
            <w:pPr>
              <w:spacing w:after="0" w:line="259" w:lineRule="auto"/>
              <w:ind w:left="47" w:right="0" w:firstLine="0"/>
              <w:jc w:val="left"/>
            </w:pPr>
            <w:r>
              <w:rPr>
                <w:b/>
                <w:sz w:val="18"/>
              </w:rPr>
              <w:t>celkem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84ADDE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84ADDE"/>
          </w:tcPr>
          <w:p w14:paraId="24BFF6F3" w14:textId="77777777" w:rsidR="00FE42B6" w:rsidRDefault="006A5B4F">
            <w:pPr>
              <w:spacing w:after="0" w:line="259" w:lineRule="auto"/>
              <w:ind w:left="44" w:right="0" w:firstLine="0"/>
              <w:jc w:val="left"/>
            </w:pPr>
            <w:r>
              <w:rPr>
                <w:b/>
                <w:sz w:val="18"/>
              </w:rPr>
              <w:t>celkem</w:t>
            </w:r>
            <w:r>
              <w:rPr>
                <w:sz w:val="18"/>
              </w:rPr>
              <w:t xml:space="preserve"> </w:t>
            </w:r>
          </w:p>
        </w:tc>
      </w:tr>
      <w:tr w:rsidR="00FE42B6" w14:paraId="4956D57F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4BC403D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4F953E1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C13B1EA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A9D02F2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486ECCF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7379471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7147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A46ABAF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cca 300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64354358" w14:textId="77777777" w:rsidR="00FE42B6" w:rsidRDefault="006A5B4F">
            <w:pPr>
              <w:spacing w:after="0" w:line="259" w:lineRule="auto"/>
              <w:ind w:left="526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A6580F3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1854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5310DF64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4771 </w:t>
            </w:r>
          </w:p>
        </w:tc>
      </w:tr>
      <w:tr w:rsidR="00FE42B6" w14:paraId="3E394AA4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3493EA2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BF489FE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F5EB780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FB2AEB8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4E5C78C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E2525B1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7490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2223DD5B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54EFAED2" w14:textId="77777777" w:rsidR="00FE42B6" w:rsidRDefault="006A5B4F">
            <w:pPr>
              <w:spacing w:after="0" w:line="259" w:lineRule="auto"/>
              <w:ind w:left="526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A128210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1924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3145624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4682 </w:t>
            </w:r>
          </w:p>
        </w:tc>
      </w:tr>
      <w:tr w:rsidR="00FE42B6" w14:paraId="496A1BF3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6F14BD3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1F6AAC0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F01846E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8425365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385FE97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684C9D5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8746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5F3FEEA2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2B2993D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1197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8AD9194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2035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5B69B22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4612 </w:t>
            </w:r>
          </w:p>
        </w:tc>
      </w:tr>
      <w:tr w:rsidR="00FE42B6" w14:paraId="359460AD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6BF26C0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E3E55AF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86A14C8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8AC2063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8,9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E6346BE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19D9329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9516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65233ED8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42ED218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1255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33E8C3A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2098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71967F09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4672 </w:t>
            </w:r>
          </w:p>
        </w:tc>
      </w:tr>
      <w:tr w:rsidR="00FE42B6" w14:paraId="737E5021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84D8F9D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28B2770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F74F6BC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52A7EAA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A49F69A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28670A6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9881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6A9C7010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E83F4E6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1266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7756E249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2094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5B33F657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4443 </w:t>
            </w:r>
          </w:p>
        </w:tc>
      </w:tr>
      <w:tr w:rsidR="00FE42B6" w14:paraId="7A1D79F6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FD4EABD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63E2C1A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A2EBA50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DAE52E0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3AE1D9C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9B2D964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10235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D4AA47F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3958DCE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1323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5B6DE05D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2118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21454965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4317 </w:t>
            </w:r>
          </w:p>
        </w:tc>
      </w:tr>
      <w:tr w:rsidR="00FE42B6" w14:paraId="3F4A5B41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7DCBD24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A50E1C6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BF23EA6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75A385A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B30AA91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50C364C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10202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308BCF3D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E9A1187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1303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779F54FC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2134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368C4BF2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4205 </w:t>
            </w:r>
          </w:p>
        </w:tc>
      </w:tr>
      <w:tr w:rsidR="00FE42B6" w14:paraId="2DD3FB45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29BAC60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1999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9309798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8348F50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36ADBE2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582558C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418E402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10136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69EFD5D9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0EBDDB8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1373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3A5A74B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2143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50FE513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4235 </w:t>
            </w:r>
          </w:p>
        </w:tc>
      </w:tr>
      <w:tr w:rsidR="00FE42B6" w14:paraId="0F0745CB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85B5916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37584B9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E717DFA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2FAD8AF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6,9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C57649A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FBB362B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10464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C1A01BD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CC17BB7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1405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45B3DCF8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2154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2030E67E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4322 </w:t>
            </w:r>
          </w:p>
        </w:tc>
      </w:tr>
      <w:tr w:rsidR="00FE42B6" w14:paraId="7E6B5ADC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50D444E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90229B9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3075954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BFAAB0E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A811320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4C780B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10657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54A13735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7CFC079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1432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817C218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2208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127DC7EC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4472 </w:t>
            </w:r>
          </w:p>
        </w:tc>
      </w:tr>
      <w:tr w:rsidR="00FE42B6" w14:paraId="101AE357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789979D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48A5F3D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B749514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2880C16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8449084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96900B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10983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C4CD0D5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9F45452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1473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D539891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2263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3B10D728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4540 </w:t>
            </w:r>
          </w:p>
        </w:tc>
      </w:tr>
      <w:tr w:rsidR="00FE42B6" w14:paraId="2397094B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29030DB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0AF40DD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E582923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72F0F2A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3658405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8866B69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11081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07D392CF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AB3C5BF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1501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3DB61338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2292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0D0C153A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4350 </w:t>
            </w:r>
          </w:p>
        </w:tc>
      </w:tr>
      <w:tr w:rsidR="00FE42B6" w14:paraId="485A8C3F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44C5710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FB4F255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BC1618C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4C81A50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BA662D4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92A2AD8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11364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1BA736A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8EA8645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1517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482DD9F6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2282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220F847E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3959 </w:t>
            </w:r>
          </w:p>
        </w:tc>
      </w:tr>
      <w:tr w:rsidR="00FE42B6" w14:paraId="0617A42F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4C328BF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DFF1BC0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ED871F7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098C2B4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F727983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5AC75D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11441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5430F452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519D15E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1539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7A81EC58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2307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554ED11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3932 </w:t>
            </w:r>
          </w:p>
        </w:tc>
      </w:tr>
      <w:tr w:rsidR="00FE42B6" w14:paraId="1CA8B673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4024DFA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77664C8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4053B41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7BEE3FD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13D1D4D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099FC40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11485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2E6EDE98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E5E41A9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1541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3109F0EF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2309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56CDEB5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3842 </w:t>
            </w:r>
          </w:p>
        </w:tc>
      </w:tr>
      <w:tr w:rsidR="00FE42B6" w14:paraId="4962CE16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F6C1473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0593BDF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A5AA76A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2D55956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DD10B31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7A70D3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11542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EB2326C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5452B5C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1664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99D1EE4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2495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4BB7130E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3901 </w:t>
            </w:r>
          </w:p>
        </w:tc>
      </w:tr>
      <w:tr w:rsidR="00FE42B6" w14:paraId="5C46230E" w14:textId="77777777">
        <w:trPr>
          <w:trHeight w:val="358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E88FF33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8B3463C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09A2545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49487C2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128E016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8299830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10942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7EC04E5D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28B395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1701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22230297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2548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342721BD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3890 </w:t>
            </w:r>
          </w:p>
        </w:tc>
      </w:tr>
      <w:tr w:rsidR="00FE42B6" w14:paraId="55B3AE1C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9BBB04C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0670FC8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CD519AA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6465677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36FF4EE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914139E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10654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2418757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6F1E081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1738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83EB523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2660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48B7FEB8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3922 </w:t>
            </w:r>
          </w:p>
        </w:tc>
      </w:tr>
      <w:tr w:rsidR="00FE42B6" w14:paraId="3C891C4E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92B5D22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FA0CFF2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75654A7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5FA470F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D84F3B9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086E1EB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10354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5195A274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4860AD0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1752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5559CE97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2640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71574899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3994 </w:t>
            </w:r>
          </w:p>
        </w:tc>
      </w:tr>
      <w:tr w:rsidR="00FE42B6" w14:paraId="69EEAF24" w14:textId="77777777">
        <w:trPr>
          <w:trHeight w:val="372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30FA696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3A76C8EC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7A06C618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70EA880B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7071FB9D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5FCEAC58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10251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16B6A4FB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center"/>
          </w:tcPr>
          <w:p w14:paraId="77E3F212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1758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  <w:vAlign w:val="center"/>
          </w:tcPr>
          <w:p w14:paraId="7ECA81EA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2636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  <w:vAlign w:val="center"/>
          </w:tcPr>
          <w:p w14:paraId="39E6E512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4010 </w:t>
            </w:r>
          </w:p>
        </w:tc>
      </w:tr>
      <w:tr w:rsidR="00FE42B6" w14:paraId="02347B18" w14:textId="77777777">
        <w:trPr>
          <w:trHeight w:val="355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4C1DC7C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C3443CF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C1A2FF9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3AF19C8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F7CDB95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5400B95F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10015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3AD44DF9" w14:textId="77777777" w:rsidR="00FE42B6" w:rsidRDefault="006A5B4F">
            <w:pPr>
              <w:spacing w:after="0" w:line="259" w:lineRule="auto"/>
              <w:ind w:right="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DC028D6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1753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4FEBA2B6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2656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1DCDFB75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4010 </w:t>
            </w:r>
          </w:p>
        </w:tc>
      </w:tr>
      <w:tr w:rsidR="00FE42B6" w14:paraId="0851D9C7" w14:textId="77777777">
        <w:trPr>
          <w:trHeight w:val="343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262F50D" w14:textId="77777777" w:rsidR="00FE42B6" w:rsidRDefault="006A5B4F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18"/>
              </w:rPr>
              <w:t>2013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95FC972" w14:textId="77777777" w:rsidR="00FE42B6" w:rsidRDefault="006A5B4F">
            <w:pPr>
              <w:spacing w:after="0" w:line="259" w:lineRule="auto"/>
              <w:ind w:right="57" w:firstLine="0"/>
              <w:jc w:val="center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0ABFDD1B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D91FB3E" w14:textId="77777777" w:rsidR="00FE42B6" w:rsidRDefault="006A5B4F">
            <w:pPr>
              <w:spacing w:after="0" w:line="259" w:lineRule="auto"/>
              <w:ind w:right="46" w:firstLine="0"/>
              <w:jc w:val="center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46080B1" w14:textId="77777777" w:rsidR="00FE42B6" w:rsidRDefault="006A5B4F">
            <w:pPr>
              <w:spacing w:after="0" w:line="259" w:lineRule="auto"/>
              <w:ind w:right="41" w:firstLine="0"/>
              <w:jc w:val="center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535FA37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10167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2CCE9BE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do 10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A300F17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 xml:space="preserve">1786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50BFC2DE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r>
              <w:rPr>
                <w:sz w:val="18"/>
              </w:rPr>
              <w:t xml:space="preserve">2687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5" w:space="0" w:color="F5F9FC"/>
              <w:right w:val="single" w:sz="8" w:space="0" w:color="FFFFFF"/>
            </w:tcBorders>
            <w:shd w:val="clear" w:color="auto" w:fill="F5F9FC"/>
          </w:tcPr>
          <w:p w14:paraId="67A38C7F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 xml:space="preserve">3926 </w:t>
            </w:r>
          </w:p>
        </w:tc>
      </w:tr>
      <w:tr w:rsidR="00FE42B6" w14:paraId="679C4F7F" w14:textId="77777777">
        <w:trPr>
          <w:trHeight w:val="363"/>
        </w:trPr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71C6183" w14:textId="77777777" w:rsidR="00FE42B6" w:rsidRDefault="006A5B4F">
            <w:pPr>
              <w:spacing w:after="0" w:line="259" w:lineRule="auto"/>
              <w:ind w:right="53" w:firstLine="0"/>
              <w:jc w:val="center"/>
            </w:pPr>
            <w:r>
              <w:rPr>
                <w:b/>
                <w:sz w:val="18"/>
              </w:rPr>
              <w:t>rozdíl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26D5BD9A" w14:textId="77777777" w:rsidR="00FE42B6" w:rsidRDefault="006A5B4F">
            <w:pPr>
              <w:spacing w:after="0" w:line="259" w:lineRule="auto"/>
              <w:ind w:right="52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12%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70D77CB5" w14:textId="77777777" w:rsidR="00FE42B6" w:rsidRDefault="006A5B4F">
            <w:pPr>
              <w:spacing w:after="0" w:line="259" w:lineRule="auto"/>
              <w:ind w:right="43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8%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5D81BB3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57%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EAB63E4" w14:textId="77777777" w:rsidR="00FE42B6" w:rsidRDefault="006A5B4F">
            <w:pPr>
              <w:spacing w:after="0" w:line="259" w:lineRule="auto"/>
              <w:ind w:right="39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49%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3023EEB5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proofErr w:type="gramStart"/>
            <w:r>
              <w:rPr>
                <w:sz w:val="18"/>
              </w:rPr>
              <w:t>42%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6D89572A" w14:textId="77777777" w:rsidR="00FE42B6" w:rsidRDefault="006A5B4F">
            <w:pPr>
              <w:spacing w:after="0" w:line="259" w:lineRule="auto"/>
              <w:ind w:right="44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97%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  <w:vAlign w:val="bottom"/>
          </w:tcPr>
          <w:p w14:paraId="48E1D60D" w14:textId="77777777" w:rsidR="00FE42B6" w:rsidRDefault="006A5B4F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47" w:type="dxa"/>
            <w:tcBorders>
              <w:top w:val="single" w:sz="5" w:space="0" w:color="F5F9F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1ADD8ADD" w14:textId="77777777" w:rsidR="00FE42B6" w:rsidRDefault="006A5B4F">
            <w:pPr>
              <w:spacing w:after="0" w:line="259" w:lineRule="auto"/>
              <w:ind w:right="45" w:firstLine="0"/>
              <w:jc w:val="center"/>
            </w:pPr>
            <w:proofErr w:type="gramStart"/>
            <w:r>
              <w:rPr>
                <w:sz w:val="18"/>
              </w:rPr>
              <w:t>45%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F5F9F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F9FC"/>
          </w:tcPr>
          <w:p w14:paraId="40250778" w14:textId="77777777" w:rsidR="00FE42B6" w:rsidRDefault="006A5B4F">
            <w:pPr>
              <w:spacing w:after="0" w:line="259" w:lineRule="auto"/>
              <w:ind w:right="40" w:firstLine="0"/>
              <w:jc w:val="center"/>
            </w:pPr>
            <w:r>
              <w:rPr>
                <w:sz w:val="18"/>
              </w:rPr>
              <w:t>-</w:t>
            </w:r>
            <w:proofErr w:type="gramStart"/>
            <w:r>
              <w:rPr>
                <w:sz w:val="18"/>
              </w:rPr>
              <w:t>18%</w:t>
            </w:r>
            <w:proofErr w:type="gramEnd"/>
            <w:r>
              <w:rPr>
                <w:sz w:val="18"/>
              </w:rPr>
              <w:t xml:space="preserve"> </w:t>
            </w:r>
          </w:p>
        </w:tc>
      </w:tr>
    </w:tbl>
    <w:p w14:paraId="72A2B139" w14:textId="77777777" w:rsidR="00FE42B6" w:rsidRDefault="006A5B4F">
      <w:pPr>
        <w:spacing w:after="345" w:line="259" w:lineRule="auto"/>
        <w:ind w:left="422" w:right="0" w:hanging="10"/>
        <w:jc w:val="left"/>
      </w:pPr>
      <w:r>
        <w:rPr>
          <w:b/>
        </w:rPr>
        <w:t>Proč k tomuto vývoji došlo</w:t>
      </w:r>
      <w:r>
        <w:t xml:space="preserve">? </w:t>
      </w:r>
    </w:p>
    <w:p w14:paraId="6675BBBC" w14:textId="77777777" w:rsidR="00FE42B6" w:rsidRDefault="006A5B4F">
      <w:pPr>
        <w:ind w:left="-15" w:right="-11"/>
      </w:pPr>
      <w:r>
        <w:t>Porodní asistentky (dále jen PA) zaspaly a nebyly p</w:t>
      </w:r>
      <w:r>
        <w:t>ř</w:t>
      </w:r>
      <w:r>
        <w:t>ipraveny na probíhající zm</w:t>
      </w:r>
      <w:r>
        <w:t>ě</w:t>
      </w:r>
      <w:r>
        <w:t>ny a možnosti, které se jim otev</w:t>
      </w:r>
      <w:r>
        <w:t>ř</w:t>
      </w:r>
      <w:r>
        <w:t>ely. Naším nejv</w:t>
      </w:r>
      <w:r>
        <w:t>ě</w:t>
      </w:r>
      <w:r>
        <w:t>tším problémem je nedostatek profesního uv</w:t>
      </w:r>
      <w:r>
        <w:t>ě</w:t>
      </w:r>
      <w:r>
        <w:t>dom</w:t>
      </w:r>
      <w:r>
        <w:t>ě</w:t>
      </w:r>
      <w:r>
        <w:t>ní, hrdosti a sounáležitosti, nejednotnost a t</w:t>
      </w:r>
      <w:r>
        <w:t>ř</w:t>
      </w:r>
      <w:r>
        <w:t>íšt</w:t>
      </w:r>
      <w:r>
        <w:t>ě</w:t>
      </w:r>
      <w:r>
        <w:t xml:space="preserve">ní sil. Již od svého vzniku v roce 1997 se však </w:t>
      </w:r>
      <w:r>
        <w:t>Č</w:t>
      </w:r>
      <w:r>
        <w:t xml:space="preserve">eská konfederace porodních asistentek (dále jen </w:t>
      </w:r>
      <w:r>
        <w:t>Č</w:t>
      </w:r>
      <w:r>
        <w:t xml:space="preserve">KPA) snaží </w:t>
      </w:r>
      <w:r>
        <w:t xml:space="preserve">tento vývoj </w:t>
      </w:r>
      <w:proofErr w:type="spellStart"/>
      <w:r>
        <w:t>zm</w:t>
      </w:r>
      <w:r>
        <w:t>ě</w:t>
      </w:r>
      <w:r>
        <w:t>nit.Od</w:t>
      </w:r>
      <w:proofErr w:type="spellEnd"/>
      <w:r>
        <w:t xml:space="preserve"> roku 2000 je ale z</w:t>
      </w:r>
      <w:r>
        <w:t>ř</w:t>
      </w:r>
      <w:r>
        <w:t>ejmé, že p</w:t>
      </w:r>
      <w:r>
        <w:t>ř</w:t>
      </w:r>
      <w:r>
        <w:t>edstavitelé Sdružení soukromých gynekolog</w:t>
      </w:r>
      <w:r>
        <w:t>ů</w:t>
      </w:r>
      <w:r>
        <w:t xml:space="preserve"> (dále jen SSG) si </w:t>
      </w:r>
      <w:r>
        <w:lastRenderedPageBreak/>
        <w:t>nep</w:t>
      </w:r>
      <w:r>
        <w:t>ř</w:t>
      </w:r>
      <w:r>
        <w:t>ejí existenci samostatných pracoviš</w:t>
      </w:r>
      <w:r>
        <w:t>ť</w:t>
      </w:r>
      <w:r>
        <w:t xml:space="preserve"> PA a všemožn</w:t>
      </w:r>
      <w:r>
        <w:t>ě</w:t>
      </w:r>
      <w:r>
        <w:t xml:space="preserve"> jí brání, protože: </w:t>
      </w:r>
      <w:r>
        <w:rPr>
          <w:i/>
        </w:rPr>
        <w:t>„… samostatně pracující porodní asistentky jsou pro soukromé gynekolo</w:t>
      </w:r>
      <w:r>
        <w:rPr>
          <w:i/>
        </w:rPr>
        <w:t>gy potenciálně nebezpečné a finančně je ohrožují…“</w:t>
      </w:r>
      <w:r>
        <w:t xml:space="preserve">. Ministerstvem zdravotnictví </w:t>
      </w:r>
      <w:r>
        <w:t>Č</w:t>
      </w:r>
      <w:r>
        <w:t>R ani zdravotními pojiš</w:t>
      </w:r>
      <w:r>
        <w:t>ť</w:t>
      </w:r>
      <w:r>
        <w:t>ovnami nebyla p</w:t>
      </w:r>
      <w:r>
        <w:t>ř</w:t>
      </w:r>
      <w:r>
        <w:t xml:space="preserve">ipravena </w:t>
      </w:r>
      <w:proofErr w:type="spellStart"/>
      <w:r>
        <w:t>kriteria</w:t>
      </w:r>
      <w:proofErr w:type="spellEnd"/>
      <w:r>
        <w:t xml:space="preserve"> pro vytvá</w:t>
      </w:r>
      <w:r>
        <w:t>ř</w:t>
      </w:r>
      <w:r>
        <w:t>ení sít</w:t>
      </w:r>
      <w:r>
        <w:t>ě</w:t>
      </w:r>
      <w:r>
        <w:t xml:space="preserve"> smluvních zdravotnických za</w:t>
      </w:r>
      <w:r>
        <w:t>ř</w:t>
      </w:r>
      <w:r>
        <w:t>ízení, ani pro regulaci objemu pé</w:t>
      </w:r>
      <w:r>
        <w:t>č</w:t>
      </w:r>
      <w:r>
        <w:t>e, která by garantovala komplexnost, dostupnost, hospodárnost i spravedlivost. Vzhledem k obecnému ustanovení o indikaci léka</w:t>
      </w:r>
      <w:r>
        <w:t>ř</w:t>
      </w:r>
      <w:r>
        <w:t>e (platnému od roku 1997) nás ú</w:t>
      </w:r>
      <w:r>
        <w:t>ř</w:t>
      </w:r>
      <w:r>
        <w:t>ady i zdravotní pojiš</w:t>
      </w:r>
      <w:r>
        <w:t>ť</w:t>
      </w:r>
      <w:r>
        <w:t xml:space="preserve">ovny neslyší a podléhají „gynekologické lobby“.  </w:t>
      </w:r>
    </w:p>
    <w:p w14:paraId="4DB00804" w14:textId="77777777" w:rsidR="00FE42B6" w:rsidRDefault="006A5B4F">
      <w:pPr>
        <w:pStyle w:val="Nadpis1"/>
        <w:spacing w:after="295"/>
        <w:ind w:left="422" w:right="0"/>
      </w:pPr>
      <w:r>
        <w:t>Práce v gynekologické ordi</w:t>
      </w:r>
      <w:r>
        <w:t xml:space="preserve">naci </w:t>
      </w:r>
    </w:p>
    <w:p w14:paraId="753070CB" w14:textId="77777777" w:rsidR="00FE42B6" w:rsidRDefault="006A5B4F">
      <w:pPr>
        <w:ind w:left="-15" w:right="-11"/>
      </w:pPr>
      <w:r>
        <w:t xml:space="preserve">V zemích EU, které jsme navštívily, nebylo obvyklé, aby práci v gynekologické ordinaci vykonávala PA. V </w:t>
      </w:r>
      <w:r>
        <w:t>Č</w:t>
      </w:r>
      <w:r>
        <w:t xml:space="preserve">R doznívá praxe z éry socialismu, kdy tuto práci vykonávala „ženská sestra“. Podle vyhlášky MZ </w:t>
      </w:r>
      <w:r>
        <w:t>Č</w:t>
      </w:r>
      <w:r>
        <w:t>R je kvalifikace PA vyžadována jen pokud má samos</w:t>
      </w:r>
      <w:r>
        <w:t>tatn</w:t>
      </w:r>
      <w:r>
        <w:t>ě</w:t>
      </w:r>
      <w:r>
        <w:t xml:space="preserve"> zajiš</w:t>
      </w:r>
      <w:r>
        <w:t>ť</w:t>
      </w:r>
      <w:r>
        <w:t>ovat vyšet</w:t>
      </w:r>
      <w:r>
        <w:t>ř</w:t>
      </w:r>
      <w:r>
        <w:t>ení fyziologicky t</w:t>
      </w:r>
      <w:r>
        <w:t>ě</w:t>
      </w:r>
      <w:r>
        <w:t>hotných žen nebo návšt</w:t>
      </w:r>
      <w:r>
        <w:t>ě</w:t>
      </w:r>
      <w:r>
        <w:t>vní službu u t</w:t>
      </w:r>
      <w:r>
        <w:t>ě</w:t>
      </w:r>
      <w:r>
        <w:t>hotných a šestined</w:t>
      </w:r>
      <w:r>
        <w:t>ě</w:t>
      </w:r>
      <w:r>
        <w:t>lek s novorozenci. Dle našeho názoru je kvalifikace PA vhodná také ve specializovaných ordinacích pro riziková a patologická t</w:t>
      </w:r>
      <w:r>
        <w:t>ě</w:t>
      </w:r>
      <w:r>
        <w:t>hotenství</w:t>
      </w:r>
      <w:r>
        <w:rPr>
          <w:color w:val="C00000"/>
        </w:rPr>
        <w:t xml:space="preserve">. </w:t>
      </w:r>
      <w:r>
        <w:t>Jinak je dosta</w:t>
      </w:r>
      <w:r>
        <w:t>č</w:t>
      </w:r>
      <w:r>
        <w:t>ujíc</w:t>
      </w:r>
      <w:r>
        <w:t xml:space="preserve">í kvalifikací zdravotní asistentka </w:t>
      </w:r>
      <w:r>
        <w:t>č</w:t>
      </w:r>
      <w:r>
        <w:t>i sestra bez osv</w:t>
      </w:r>
      <w:r>
        <w:t>ě</w:t>
      </w:r>
      <w:r>
        <w:t>d</w:t>
      </w:r>
      <w:r>
        <w:t>č</w:t>
      </w:r>
      <w:r>
        <w:t xml:space="preserve">ení k samostatné práci bez odborného dohledu. V </w:t>
      </w:r>
      <w:r>
        <w:t>Č</w:t>
      </w:r>
      <w:r>
        <w:t>R jde dnes v gynekologické ordinaci v</w:t>
      </w:r>
      <w:r>
        <w:t>ě</w:t>
      </w:r>
      <w:r>
        <w:t>tšinou o práci administrativního charakteru a v menší mí</w:t>
      </w:r>
      <w:r>
        <w:t>ř</w:t>
      </w:r>
      <w:r>
        <w:t>e o nesamostatnou odbornou práci podle pokyn</w:t>
      </w:r>
      <w:r>
        <w:t>ů</w:t>
      </w:r>
      <w:r>
        <w:t xml:space="preserve"> a pod dohle</w:t>
      </w:r>
      <w:r>
        <w:t>dem gynekologa. Obvykle se také jedná o práci s nižším finan</w:t>
      </w:r>
      <w:r>
        <w:t>č</w:t>
      </w:r>
      <w:r>
        <w:t>ním ohodnocením (než v nemocnici nebo u samostatn</w:t>
      </w:r>
      <w:r>
        <w:t>ě</w:t>
      </w:r>
      <w:r>
        <w:t xml:space="preserve"> pracujících PA).  </w:t>
      </w:r>
    </w:p>
    <w:p w14:paraId="5E6418CD" w14:textId="77777777" w:rsidR="00FE42B6" w:rsidRDefault="006A5B4F">
      <w:pPr>
        <w:pStyle w:val="Nadpis1"/>
        <w:ind w:left="422" w:right="0"/>
      </w:pPr>
      <w:r>
        <w:t>Samostatná pracovišt</w:t>
      </w:r>
      <w:r>
        <w:t>ě</w:t>
      </w:r>
      <w:r>
        <w:t xml:space="preserve"> porodních asistentek </w:t>
      </w:r>
    </w:p>
    <w:p w14:paraId="41185075" w14:textId="77777777" w:rsidR="00FE42B6" w:rsidRDefault="006A5B4F">
      <w:pPr>
        <w:ind w:left="-15" w:right="-11"/>
      </w:pPr>
      <w:r>
        <w:t>M</w:t>
      </w:r>
      <w:r>
        <w:t>ě</w:t>
      </w:r>
      <w:r>
        <w:t>la by nabízet zdravotní služby v plném rozsahu pé</w:t>
      </w:r>
      <w:r>
        <w:t>č</w:t>
      </w:r>
      <w:r>
        <w:t xml:space="preserve">e, ke které vždy byly a jsou </w:t>
      </w:r>
      <w:r>
        <w:t>PA dle platných p</w:t>
      </w:r>
      <w:r>
        <w:t>ř</w:t>
      </w:r>
      <w:r>
        <w:t>edpis</w:t>
      </w:r>
      <w:r>
        <w:t>ů</w:t>
      </w:r>
      <w:r>
        <w:t xml:space="preserve"> </w:t>
      </w:r>
      <w:r>
        <w:t>Č</w:t>
      </w:r>
      <w:r>
        <w:t>R a EU zp</w:t>
      </w:r>
      <w:r>
        <w:t>ů</w:t>
      </w:r>
      <w:r>
        <w:t>sobilé, nechceme nic navíc. Pro zajišt</w:t>
      </w:r>
      <w:r>
        <w:t>ě</w:t>
      </w:r>
      <w:r>
        <w:t>ní komplexnosti a dostupnosti pot</w:t>
      </w:r>
      <w:r>
        <w:t>ř</w:t>
      </w:r>
      <w:r>
        <w:t>ebné pé</w:t>
      </w:r>
      <w:r>
        <w:t>č</w:t>
      </w:r>
      <w:r>
        <w:t>e p</w:t>
      </w:r>
      <w:r>
        <w:t>ř</w:t>
      </w:r>
      <w:r>
        <w:t>edpokládáme orienta</w:t>
      </w:r>
      <w:r>
        <w:t>č</w:t>
      </w:r>
      <w:r>
        <w:t xml:space="preserve">ní ukazatel: 1 PA na </w:t>
      </w:r>
      <w:proofErr w:type="gramStart"/>
      <w:r>
        <w:t>25 – 35</w:t>
      </w:r>
      <w:proofErr w:type="gramEnd"/>
      <w:r>
        <w:t xml:space="preserve"> tisíc obyvatel, to znamená 300 – 400 p</w:t>
      </w:r>
      <w:r>
        <w:t>ř</w:t>
      </w:r>
      <w:r>
        <w:t>epo</w:t>
      </w:r>
      <w:r>
        <w:t>č</w:t>
      </w:r>
      <w:r>
        <w:t>tených pracovních úvazk</w:t>
      </w:r>
      <w:r>
        <w:t>ů</w:t>
      </w:r>
      <w:r>
        <w:t xml:space="preserve"> PA v ambulantní pé</w:t>
      </w:r>
      <w:r>
        <w:t>č</w:t>
      </w:r>
      <w:r>
        <w:t xml:space="preserve">i v </w:t>
      </w:r>
      <w:r>
        <w:t>Č</w:t>
      </w:r>
      <w:r>
        <w:t xml:space="preserve">R. </w:t>
      </w:r>
    </w:p>
    <w:p w14:paraId="5CD36621" w14:textId="77777777" w:rsidR="00FE42B6" w:rsidRDefault="006A5B4F">
      <w:pPr>
        <w:pStyle w:val="Nadpis1"/>
        <w:ind w:left="422" w:right="0"/>
      </w:pPr>
      <w:r>
        <w:t>P</w:t>
      </w:r>
      <w:r>
        <w:t>ř</w:t>
      </w:r>
      <w:r>
        <w:t>íprava t</w:t>
      </w:r>
      <w:r>
        <w:t>ě</w:t>
      </w:r>
      <w:r>
        <w:t>hotných žen k porodu, rodi</w:t>
      </w:r>
      <w:r>
        <w:t>č</w:t>
      </w:r>
      <w:r>
        <w:t>ovství a pé</w:t>
      </w:r>
      <w:r>
        <w:t>č</w:t>
      </w:r>
      <w:r>
        <w:t>i o dít</w:t>
      </w:r>
      <w:r>
        <w:t>ě</w:t>
      </w:r>
      <w:r>
        <w:t xml:space="preserve"> </w:t>
      </w:r>
    </w:p>
    <w:p w14:paraId="3501E0B9" w14:textId="77777777" w:rsidR="00FE42B6" w:rsidRDefault="006A5B4F">
      <w:pPr>
        <w:ind w:left="-15" w:right="-11"/>
      </w:pPr>
      <w:r>
        <w:t>P</w:t>
      </w:r>
      <w:r>
        <w:t>ř</w:t>
      </w:r>
      <w:r>
        <w:t>íprava by m</w:t>
      </w:r>
      <w:r>
        <w:t>ě</w:t>
      </w:r>
      <w:r>
        <w:t>la zajiš</w:t>
      </w:r>
      <w:r>
        <w:t>ť</w:t>
      </w:r>
      <w:r>
        <w:t>ovat edukaci t</w:t>
      </w:r>
      <w:r>
        <w:t>ě</w:t>
      </w:r>
      <w:r>
        <w:t>hotných žen nejen k porodu, ale také k rodi</w:t>
      </w:r>
      <w:r>
        <w:t>č</w:t>
      </w:r>
      <w:r>
        <w:t>ovství a k pé</w:t>
      </w:r>
      <w:r>
        <w:t>č</w:t>
      </w:r>
      <w:r>
        <w:t>i o dít</w:t>
      </w:r>
      <w:r>
        <w:t>ě</w:t>
      </w:r>
      <w:r>
        <w:t>. Sou</w:t>
      </w:r>
      <w:r>
        <w:t>č</w:t>
      </w:r>
      <w:r>
        <w:t>ástí mohou být speciální t</w:t>
      </w:r>
      <w:r>
        <w:t>ě</w:t>
      </w:r>
      <w:r>
        <w:t>lesné,</w:t>
      </w:r>
      <w:r>
        <w:t xml:space="preserve"> dechové a relaxa</w:t>
      </w:r>
      <w:r>
        <w:t>č</w:t>
      </w:r>
      <w:r>
        <w:t>ní cvi</w:t>
      </w:r>
      <w:r>
        <w:t>č</w:t>
      </w:r>
      <w:r>
        <w:t>ení pro t</w:t>
      </w:r>
      <w:r>
        <w:t>ě</w:t>
      </w:r>
      <w:r>
        <w:t>hotné ženy (p</w:t>
      </w:r>
      <w:r>
        <w:t>ř</w:t>
      </w:r>
      <w:r>
        <w:t>ípadn</w:t>
      </w:r>
      <w:r>
        <w:t>ě</w:t>
      </w:r>
      <w:r>
        <w:t xml:space="preserve"> i navazující cvi</w:t>
      </w:r>
      <w:r>
        <w:t>č</w:t>
      </w:r>
      <w:r>
        <w:t>ení pro ženy po porodu) a dopl</w:t>
      </w:r>
      <w:r>
        <w:t>ň</w:t>
      </w:r>
      <w:r>
        <w:t xml:space="preserve">kové techniky – masáže, aromaterapie, homeopatie… Pro tuto </w:t>
      </w:r>
      <w:r>
        <w:t>č</w:t>
      </w:r>
      <w:r>
        <w:t>innost PA nepot</w:t>
      </w:r>
      <w:r>
        <w:t>ř</w:t>
      </w:r>
      <w:r>
        <w:t>ebuje indikaci léka</w:t>
      </w:r>
      <w:r>
        <w:t>ř</w:t>
      </w:r>
      <w:r>
        <w:t>e, ale spolupráce m</w:t>
      </w:r>
      <w:r>
        <w:t>ů</w:t>
      </w:r>
      <w:r>
        <w:t>že být pro oba výhodná – nevidíme vš</w:t>
      </w:r>
      <w:r>
        <w:t>ak dostate</w:t>
      </w:r>
      <w:r>
        <w:t>č</w:t>
      </w:r>
      <w:r>
        <w:t>nou podporu. Tato pé</w:t>
      </w:r>
      <w:r>
        <w:t>č</w:t>
      </w:r>
      <w:r>
        <w:t>e není hrazená ze zdravotního pojišt</w:t>
      </w:r>
      <w:r>
        <w:t>ě</w:t>
      </w:r>
      <w:r>
        <w:t>ní, ale v</w:t>
      </w:r>
      <w:r>
        <w:t>ě</w:t>
      </w:r>
      <w:r>
        <w:t>tšina pojiš</w:t>
      </w:r>
      <w:r>
        <w:t>ť</w:t>
      </w:r>
      <w:r>
        <w:t>oven na ni ženám p</w:t>
      </w:r>
      <w:r>
        <w:t>ř</w:t>
      </w:r>
      <w:r>
        <w:t>ispívá z fondu prevence. Existuje pom</w:t>
      </w:r>
      <w:r>
        <w:t>ě</w:t>
      </w:r>
      <w:r>
        <w:t>rn</w:t>
      </w:r>
      <w:r>
        <w:t>ě</w:t>
      </w:r>
      <w:r>
        <w:t xml:space="preserve"> široká nabídka, v</w:t>
      </w:r>
      <w:r>
        <w:t>ě</w:t>
      </w:r>
      <w:r>
        <w:t xml:space="preserve">tšinou však tuto službu nabízejí PA jako „vedlejší“ </w:t>
      </w:r>
      <w:r>
        <w:t>č</w:t>
      </w:r>
      <w:r>
        <w:t>innost p</w:t>
      </w:r>
      <w:r>
        <w:t>ř</w:t>
      </w:r>
      <w:r>
        <w:t>i svém zam</w:t>
      </w:r>
      <w:r>
        <w:t>ě</w:t>
      </w:r>
      <w:r>
        <w:t>stnání, v</w:t>
      </w:r>
      <w:r>
        <w:t>ě</w:t>
      </w:r>
      <w:r>
        <w:t>tši</w:t>
      </w:r>
      <w:r>
        <w:t>nou bez registrace poskytovatele zdravotní pé</w:t>
      </w:r>
      <w:r>
        <w:t>č</w:t>
      </w:r>
      <w:r>
        <w:t>e – chybí proto p</w:t>
      </w:r>
      <w:r>
        <w:t>ř</w:t>
      </w:r>
      <w:r>
        <w:t xml:space="preserve">ehled a </w:t>
      </w:r>
      <w:r>
        <w:t>č</w:t>
      </w:r>
      <w:r>
        <w:t>asto i kvalita. Naším cílem je zavést i pro tuto pé</w:t>
      </w:r>
      <w:r>
        <w:t>č</w:t>
      </w:r>
      <w:r>
        <w:t>i ur</w:t>
      </w:r>
      <w:r>
        <w:t>č</w:t>
      </w:r>
      <w:r>
        <w:t xml:space="preserve">ité standardy, stanovující minimum pro </w:t>
      </w:r>
      <w:r>
        <w:lastRenderedPageBreak/>
        <w:t>kvalifikaci lektorky a obsahovou nápl</w:t>
      </w:r>
      <w:r>
        <w:t>ň</w:t>
      </w:r>
      <w:r>
        <w:t xml:space="preserve"> kurz</w:t>
      </w:r>
      <w:r>
        <w:t>ů</w:t>
      </w:r>
      <w:r>
        <w:t xml:space="preserve"> – jejich spln</w:t>
      </w:r>
      <w:r>
        <w:t>ě</w:t>
      </w:r>
      <w:r>
        <w:t>ní by bylo podmínkou pro p</w:t>
      </w:r>
      <w:r>
        <w:t>ř</w:t>
      </w:r>
      <w:r>
        <w:t>ísp</w:t>
      </w:r>
      <w:r>
        <w:t>ě</w:t>
      </w:r>
      <w:r>
        <w:t>vek zdravotní pojiš</w:t>
      </w:r>
      <w:r>
        <w:t>ť</w:t>
      </w:r>
      <w:r>
        <w:t xml:space="preserve">ovny. </w:t>
      </w:r>
    </w:p>
    <w:p w14:paraId="2416DFCB" w14:textId="77777777" w:rsidR="00FE42B6" w:rsidRDefault="006A5B4F">
      <w:pPr>
        <w:pStyle w:val="Nadpis1"/>
        <w:ind w:left="422" w:right="0"/>
      </w:pPr>
      <w:r>
        <w:t>Vyšet</w:t>
      </w:r>
      <w:r>
        <w:t>ř</w:t>
      </w:r>
      <w:r>
        <w:t>ení fyziologicky t</w:t>
      </w:r>
      <w:r>
        <w:t>ě</w:t>
      </w:r>
      <w:r>
        <w:t xml:space="preserve">hotných žen </w:t>
      </w:r>
    </w:p>
    <w:p w14:paraId="1C942645" w14:textId="77777777" w:rsidR="00FE42B6" w:rsidRDefault="006A5B4F">
      <w:pPr>
        <w:spacing w:after="248"/>
        <w:ind w:left="-15" w:right="-11"/>
      </w:pPr>
      <w:r>
        <w:t xml:space="preserve">PA je k této </w:t>
      </w:r>
      <w:r>
        <w:t>č</w:t>
      </w:r>
      <w:r>
        <w:t>innosti oprávn</w:t>
      </w:r>
      <w:r>
        <w:t>ě</w:t>
      </w:r>
      <w:r>
        <w:t xml:space="preserve">na dle </w:t>
      </w:r>
      <w:r>
        <w:t>č</w:t>
      </w:r>
      <w:r>
        <w:t>eského zákona a vyhlášky,</w:t>
      </w:r>
      <w:r>
        <w:t xml:space="preserve"> dle sm</w:t>
      </w:r>
      <w:r>
        <w:t>ě</w:t>
      </w:r>
      <w:r>
        <w:t>rnice EU i mezinárodní definice, p</w:t>
      </w:r>
      <w:r>
        <w:t>ř</w:t>
      </w:r>
      <w:r>
        <w:t>ijaté ICM a FIGO. Do seznamu zdravotních výkon</w:t>
      </w:r>
      <w:r>
        <w:t>ů</w:t>
      </w:r>
      <w:r>
        <w:t>, hrazených z ve</w:t>
      </w:r>
      <w:r>
        <w:t>ř</w:t>
      </w:r>
      <w:r>
        <w:t>ejného pojišt</w:t>
      </w:r>
      <w:r>
        <w:t>ě</w:t>
      </w:r>
      <w:r>
        <w:t>ní, bylo dopln</w:t>
      </w:r>
      <w:r>
        <w:t>ě</w:t>
      </w:r>
      <w:r>
        <w:t>no vyšet</w:t>
      </w:r>
      <w:r>
        <w:t>ř</w:t>
      </w:r>
      <w:r>
        <w:t>ení t</w:t>
      </w:r>
      <w:r>
        <w:t>ě</w:t>
      </w:r>
      <w:r>
        <w:t>hotné ženy PA. Problémem je nejen špatná definice výkonu, ale p</w:t>
      </w:r>
      <w:r>
        <w:t>ř</w:t>
      </w:r>
      <w:r>
        <w:t>edevším obecná „indikace léka</w:t>
      </w:r>
      <w:r>
        <w:t>ř</w:t>
      </w:r>
      <w:r>
        <w:t>e“, která p</w:t>
      </w:r>
      <w:r>
        <w:t xml:space="preserve">raktickému využití tohoto výkonu </w:t>
      </w:r>
      <w:proofErr w:type="gramStart"/>
      <w:r>
        <w:t>brání</w:t>
      </w:r>
      <w:proofErr w:type="gramEnd"/>
      <w:r>
        <w:t xml:space="preserve"> a proto ji pokládáme jednozna</w:t>
      </w:r>
      <w:r>
        <w:t>č</w:t>
      </w:r>
      <w:r>
        <w:t>n</w:t>
      </w:r>
      <w:r>
        <w:t>ě</w:t>
      </w:r>
      <w:r>
        <w:t xml:space="preserve"> za diskrimina</w:t>
      </w:r>
      <w:r>
        <w:t>č</w:t>
      </w:r>
      <w:r>
        <w:t>ní. Nikdy jsme necht</w:t>
      </w:r>
      <w:r>
        <w:t>ě</w:t>
      </w:r>
      <w:r>
        <w:t>ly tato vyšet</w:t>
      </w:r>
      <w:r>
        <w:t>ř</w:t>
      </w:r>
      <w:r>
        <w:t>ení od gynekolog</w:t>
      </w:r>
      <w:r>
        <w:t>ů</w:t>
      </w:r>
      <w:r>
        <w:t xml:space="preserve"> p</w:t>
      </w:r>
      <w:r>
        <w:t>ř</w:t>
      </w:r>
      <w:r>
        <w:t>evzít, jde pouze o to, aby si žena mohla zvolit nejen mezi gynekology, ale i mezi gynekologem a PA. Jsme si v</w:t>
      </w:r>
      <w:r>
        <w:t>ě</w:t>
      </w:r>
      <w:r>
        <w:t xml:space="preserve">domy </w:t>
      </w:r>
      <w:r>
        <w:t>toho, že v sou</w:t>
      </w:r>
      <w:r>
        <w:t>č</w:t>
      </w:r>
      <w:r>
        <w:t>asné dob</w:t>
      </w:r>
      <w:r>
        <w:t>ě</w:t>
      </w:r>
      <w:r>
        <w:t xml:space="preserve"> by </w:t>
      </w:r>
      <w:r>
        <w:t>č</w:t>
      </w:r>
      <w:r>
        <w:t>eské ženy zvolily tato vyšet</w:t>
      </w:r>
      <w:r>
        <w:t>ř</w:t>
      </w:r>
      <w:r>
        <w:t>ení u PA jen v malém po</w:t>
      </w:r>
      <w:r>
        <w:t>č</w:t>
      </w:r>
      <w:r>
        <w:t xml:space="preserve">tu. Pokud by si PA zvolilo </w:t>
      </w:r>
      <w:proofErr w:type="gramStart"/>
      <w:r>
        <w:t>5%</w:t>
      </w:r>
      <w:proofErr w:type="gramEnd"/>
      <w:r>
        <w:t xml:space="preserve"> tzn. 5 tisíc t</w:t>
      </w:r>
      <w:r>
        <w:t>ě</w:t>
      </w:r>
      <w:r>
        <w:t>hotných a absolvovaly by každá 8 vyšet</w:t>
      </w:r>
      <w:r>
        <w:t>ř</w:t>
      </w:r>
      <w:r>
        <w:t>ení, jednalo by se celkem o 40 tisíc – což je pouze 0,4% z celkového po</w:t>
      </w:r>
      <w:r>
        <w:t>č</w:t>
      </w:r>
      <w:r>
        <w:t>tu gynekologických</w:t>
      </w:r>
      <w:r>
        <w:t xml:space="preserve"> vyšet</w:t>
      </w:r>
      <w:r>
        <w:t>ř</w:t>
      </w:r>
      <w:r>
        <w:t>ení a nelze proto hovo</w:t>
      </w:r>
      <w:r>
        <w:t>ř</w:t>
      </w:r>
      <w:r>
        <w:t>it o ohrožení gynekolog</w:t>
      </w:r>
      <w:r>
        <w:t>ů</w:t>
      </w:r>
      <w:r>
        <w:t>! Pro PA jde o jediné vyšet</w:t>
      </w:r>
      <w:r>
        <w:t>ř</w:t>
      </w:r>
      <w:r>
        <w:t>ení, ke kterému je oprávn</w:t>
      </w:r>
      <w:r>
        <w:t>ě</w:t>
      </w:r>
      <w:r>
        <w:t>na a o jeden ze základ</w:t>
      </w:r>
      <w:r>
        <w:t>ů</w:t>
      </w:r>
      <w:r>
        <w:t xml:space="preserve"> její </w:t>
      </w:r>
      <w:r>
        <w:t>č</w:t>
      </w:r>
      <w:r>
        <w:t>innosti. Pro léka</w:t>
      </w:r>
      <w:r>
        <w:t>ř</w:t>
      </w:r>
      <w:r>
        <w:t xml:space="preserve">e – gynekologa jde pouze o jednu menší </w:t>
      </w:r>
      <w:r>
        <w:t>č</w:t>
      </w:r>
      <w:r>
        <w:t>ást – navíc mu z</w:t>
      </w:r>
      <w:r>
        <w:t>ů</w:t>
      </w:r>
      <w:r>
        <w:t>stávají veškerá vyšet</w:t>
      </w:r>
      <w:r>
        <w:t>ř</w:t>
      </w:r>
      <w:r>
        <w:t>ení rizikového a patologického t</w:t>
      </w:r>
      <w:r>
        <w:t>ě</w:t>
      </w:r>
      <w:r>
        <w:t>hotenství a také všech gynekologických onemocn</w:t>
      </w:r>
      <w:r>
        <w:t>ě</w:t>
      </w:r>
      <w:r>
        <w:t xml:space="preserve">ní.  </w:t>
      </w:r>
    </w:p>
    <w:p w14:paraId="7A8CEF64" w14:textId="77777777" w:rsidR="00FE42B6" w:rsidRDefault="006A5B4F">
      <w:pPr>
        <w:pStyle w:val="Nadpis1"/>
        <w:ind w:left="422" w:right="0"/>
      </w:pPr>
      <w:r>
        <w:t xml:space="preserve">Asistence u fyziologického porodu v domácích podmínkách </w:t>
      </w:r>
    </w:p>
    <w:p w14:paraId="0BC8D6BA" w14:textId="77777777" w:rsidR="00FE42B6" w:rsidRDefault="006A5B4F">
      <w:pPr>
        <w:ind w:left="-15" w:right="-11"/>
      </w:pPr>
      <w:r>
        <w:t>Č</w:t>
      </w:r>
      <w:r>
        <w:t>KPA ani já se nechceme vracet k praxi domácích porod</w:t>
      </w:r>
      <w:r>
        <w:t>ů</w:t>
      </w:r>
      <w:r>
        <w:t>, tyto však nem</w:t>
      </w:r>
      <w:r>
        <w:t>ů</w:t>
      </w:r>
      <w:r>
        <w:t>žeme úpln</w:t>
      </w:r>
      <w:r>
        <w:t>ě</w:t>
      </w:r>
      <w:r>
        <w:t xml:space="preserve"> vylou</w:t>
      </w:r>
      <w:r>
        <w:t>č</w:t>
      </w:r>
      <w:r>
        <w:t>it – pokud si je žena p</w:t>
      </w:r>
      <w:r>
        <w:t>ř</w:t>
      </w:r>
      <w:r>
        <w:t>ej</w:t>
      </w:r>
      <w:r>
        <w:t>e. Podle našeho názoru by m</w:t>
      </w:r>
      <w:r>
        <w:t>ě</w:t>
      </w:r>
      <w:r>
        <w:t>ly být stanoveny jasné podmínky pro selekci t</w:t>
      </w:r>
      <w:r>
        <w:t>ě</w:t>
      </w:r>
      <w:r>
        <w:t>hotných žen a pot</w:t>
      </w:r>
      <w:r>
        <w:t>ř</w:t>
      </w:r>
      <w:r>
        <w:t>ebné vybavení, v</w:t>
      </w:r>
      <w:r>
        <w:t>č</w:t>
      </w:r>
      <w:r>
        <w:t>etn</w:t>
      </w:r>
      <w:r>
        <w:t>ě</w:t>
      </w:r>
      <w:r>
        <w:t xml:space="preserve"> návazností na porodnice. Postoj, kdy na jedné stran</w:t>
      </w:r>
      <w:r>
        <w:t>ě</w:t>
      </w:r>
      <w:r>
        <w:t xml:space="preserve"> uznáváme právo ženy zvolit si místo porodu, ale na druhé stran</w:t>
      </w:r>
      <w:r>
        <w:t>ě</w:t>
      </w:r>
      <w:r>
        <w:t xml:space="preserve"> jim odmítáme poskytnout p</w:t>
      </w:r>
      <w:r>
        <w:t>ot</w:t>
      </w:r>
      <w:r>
        <w:t>ř</w:t>
      </w:r>
      <w:r>
        <w:t>ebnou pé</w:t>
      </w:r>
      <w:r>
        <w:t>č</w:t>
      </w:r>
      <w:r>
        <w:t>i, pokládáme za velmi neetický. Sama jsem byla p</w:t>
      </w:r>
      <w:r>
        <w:t>ř</w:t>
      </w:r>
      <w:r>
        <w:t>ítomna u n</w:t>
      </w:r>
      <w:r>
        <w:t>ě</w:t>
      </w:r>
      <w:r>
        <w:t>kolika domácích porod</w:t>
      </w:r>
      <w:r>
        <w:t>ů</w:t>
      </w:r>
      <w:r>
        <w:t xml:space="preserve"> p</w:t>
      </w:r>
      <w:r>
        <w:t>ř</w:t>
      </w:r>
      <w:r>
        <w:t xml:space="preserve">i své stáži v Holandsku i v </w:t>
      </w:r>
      <w:r>
        <w:t>Č</w:t>
      </w:r>
      <w:r>
        <w:t xml:space="preserve">R a z vlastní zkušenosti mohu </w:t>
      </w:r>
      <w:r>
        <w:t>ř</w:t>
      </w:r>
      <w:r>
        <w:t>íct, že „fámy“, které se u nás objevují kolem pot</w:t>
      </w:r>
      <w:r>
        <w:t>ř</w:t>
      </w:r>
      <w:r>
        <w:t>ebného vybavení p</w:t>
      </w:r>
      <w:r>
        <w:t>ř</w:t>
      </w:r>
      <w:r>
        <w:t>i domácím porodu, jsou odtrženy</w:t>
      </w:r>
      <w:r>
        <w:t xml:space="preserve"> od reality.  </w:t>
      </w:r>
    </w:p>
    <w:p w14:paraId="32E259BD" w14:textId="77777777" w:rsidR="00FE42B6" w:rsidRDefault="006A5B4F">
      <w:pPr>
        <w:pStyle w:val="Nadpis1"/>
        <w:ind w:left="422" w:right="0"/>
      </w:pPr>
      <w:r>
        <w:t>Doprovod ženy p</w:t>
      </w:r>
      <w:r>
        <w:t>ř</w:t>
      </w:r>
      <w:r>
        <w:t xml:space="preserve">i porodu v porodnici </w:t>
      </w:r>
    </w:p>
    <w:p w14:paraId="30997C08" w14:textId="77777777" w:rsidR="00FE42B6" w:rsidRDefault="006A5B4F">
      <w:pPr>
        <w:ind w:left="-15" w:right="-11"/>
      </w:pPr>
      <w:r>
        <w:t>Č</w:t>
      </w:r>
      <w:r>
        <w:t xml:space="preserve">KPA i já podporujeme možnost porodu ženy s „její“ vybranou PA v porodnici. Za optimální a lehce realizovatelné pokládám „rakouské“ </w:t>
      </w:r>
      <w:r>
        <w:t>ř</w:t>
      </w:r>
      <w:r>
        <w:t xml:space="preserve">ešení, kdy PA uzavírá smlouvu </w:t>
      </w:r>
      <w:r>
        <w:t>č</w:t>
      </w:r>
      <w:r>
        <w:t>i dohodu o práci s nemocnicí, nemocnice</w:t>
      </w:r>
      <w:r>
        <w:t xml:space="preserve"> za porod p</w:t>
      </w:r>
      <w:r>
        <w:t>ř</w:t>
      </w:r>
      <w:r>
        <w:t>ebírá odpov</w:t>
      </w:r>
      <w:r>
        <w:t>ě</w:t>
      </w:r>
      <w:r>
        <w:t>dnost a vykazuje porod zdravotní pojiš</w:t>
      </w:r>
      <w:r>
        <w:t>ť</w:t>
      </w:r>
      <w:r>
        <w:t>ovn</w:t>
      </w:r>
      <w:r>
        <w:t>ě</w:t>
      </w:r>
      <w:r>
        <w:t>. PA je však placena p</w:t>
      </w:r>
      <w:r>
        <w:t>ř</w:t>
      </w:r>
      <w:r>
        <w:t>ímo ženou, která si ji vybrala. Podmínkou širšího využití v praxi je uznání vedení p</w:t>
      </w:r>
      <w:r>
        <w:t>ř</w:t>
      </w:r>
      <w:r>
        <w:t>irozeného fyziologického porodu PA. Podobné možnosti byly diskutovány již v praco</w:t>
      </w:r>
      <w:r>
        <w:t>vní skupin</w:t>
      </w:r>
      <w:r>
        <w:t>ě</w:t>
      </w:r>
      <w:r>
        <w:t xml:space="preserve"> MZ </w:t>
      </w:r>
      <w:r>
        <w:t>Č</w:t>
      </w:r>
      <w:r>
        <w:t>R, obecn</w:t>
      </w:r>
      <w:r>
        <w:t>ě</w:t>
      </w:r>
      <w:r>
        <w:t xml:space="preserve"> však k tomuto postupu chybí v </w:t>
      </w:r>
      <w:r>
        <w:t>Č</w:t>
      </w:r>
      <w:r>
        <w:t>R v</w:t>
      </w:r>
      <w:r>
        <w:t>ů</w:t>
      </w:r>
      <w:r>
        <w:t>le. Z tohoto d</w:t>
      </w:r>
      <w:r>
        <w:t>ů</w:t>
      </w:r>
      <w:r>
        <w:t xml:space="preserve">vodu obvykle </w:t>
      </w:r>
      <w:r>
        <w:t>č</w:t>
      </w:r>
      <w:r>
        <w:t>eské PA pouze „doprovází“ své klientky k porodu jako „duly“. Objevují se však již výjimky – nap</w:t>
      </w:r>
      <w:r>
        <w:t>ř</w:t>
      </w:r>
      <w:r>
        <w:t>. Nemocnice ve Vyškov</w:t>
      </w:r>
      <w:r>
        <w:t>ě</w:t>
      </w:r>
      <w:r>
        <w:t>, kam jezdí se svými klientkami n</w:t>
      </w:r>
      <w:r>
        <w:t>ě</w:t>
      </w:r>
      <w:r>
        <w:t>které soukromé PA z Brna. Chápu však, že není možné uzákonit povinnost uzav</w:t>
      </w:r>
      <w:r>
        <w:t>ř</w:t>
      </w:r>
      <w:r>
        <w:t xml:space="preserve">ení takové </w:t>
      </w:r>
      <w:r>
        <w:lastRenderedPageBreak/>
        <w:t>smlouvy, vždy jde o otázku dobrých vztah</w:t>
      </w:r>
      <w:r>
        <w:t>ů</w:t>
      </w:r>
      <w:r>
        <w:t xml:space="preserve"> a vzájemné d</w:t>
      </w:r>
      <w:r>
        <w:t>ů</w:t>
      </w:r>
      <w:r>
        <w:t>v</w:t>
      </w:r>
      <w:r>
        <w:t>ě</w:t>
      </w:r>
      <w:r>
        <w:t>ry mezi konkrétní PA a konkrétní porodnicí. Pokud ale chceme minimalizovat po</w:t>
      </w:r>
      <w:r>
        <w:t>č</w:t>
      </w:r>
      <w:r>
        <w:t>et „domácích“ porod</w:t>
      </w:r>
      <w:r>
        <w:t>ů</w:t>
      </w:r>
      <w:r>
        <w:t>, m</w:t>
      </w:r>
      <w:r>
        <w:t>ě</w:t>
      </w:r>
      <w:r>
        <w:t>li bychom tuto možnost co nejd</w:t>
      </w:r>
      <w:r>
        <w:t>ř</w:t>
      </w:r>
      <w:r>
        <w:t xml:space="preserve">íve uvést do obecné praxe. </w:t>
      </w:r>
    </w:p>
    <w:p w14:paraId="0B38069E" w14:textId="77777777" w:rsidR="00FE42B6" w:rsidRDefault="006A5B4F">
      <w:pPr>
        <w:pStyle w:val="Nadpis1"/>
        <w:ind w:left="422" w:right="0"/>
      </w:pPr>
      <w:r>
        <w:t>Návšt</w:t>
      </w:r>
      <w:r>
        <w:t>ě</w:t>
      </w:r>
      <w:r>
        <w:t xml:space="preserve">vní služba porodní asistentky </w:t>
      </w:r>
    </w:p>
    <w:p w14:paraId="7F62885A" w14:textId="77777777" w:rsidR="00FE42B6" w:rsidRDefault="006A5B4F">
      <w:pPr>
        <w:spacing w:after="339"/>
        <w:ind w:left="-15" w:right="-11"/>
      </w:pPr>
      <w:r>
        <w:t xml:space="preserve">V </w:t>
      </w:r>
      <w:r>
        <w:t>Č</w:t>
      </w:r>
      <w:r>
        <w:t>R</w:t>
      </w:r>
      <w:r>
        <w:rPr>
          <w:b/>
        </w:rPr>
        <w:t xml:space="preserve"> </w:t>
      </w:r>
      <w:r>
        <w:t>jsou hrazeny z ve</w:t>
      </w:r>
      <w:r>
        <w:t>ř</w:t>
      </w:r>
      <w:r>
        <w:t>ejného pojišt</w:t>
      </w:r>
      <w:r>
        <w:t>ě</w:t>
      </w:r>
      <w:r>
        <w:t>ní obvykle 1 návšt</w:t>
      </w:r>
      <w:r>
        <w:t>ě</w:t>
      </w:r>
      <w:r>
        <w:t>va t</w:t>
      </w:r>
      <w:r>
        <w:t>ě</w:t>
      </w:r>
      <w:r>
        <w:t>hotné ženy p</w:t>
      </w:r>
      <w:r>
        <w:t>ř</w:t>
      </w:r>
      <w:r>
        <w:t>ed porodem a 3 návšt</w:t>
      </w:r>
      <w:r>
        <w:t>ě</w:t>
      </w:r>
      <w:r>
        <w:t>vy u matky v šestined</w:t>
      </w:r>
      <w:r>
        <w:t>ě</w:t>
      </w:r>
      <w:r>
        <w:t>lí (+ navíc 1 návšt</w:t>
      </w:r>
      <w:r>
        <w:t>ě</w:t>
      </w:r>
      <w:r>
        <w:t>va novorozence). Tento po</w:t>
      </w:r>
      <w:r>
        <w:t>č</w:t>
      </w:r>
      <w:r>
        <w:t>et není podmín</w:t>
      </w:r>
      <w:r>
        <w:t>ě</w:t>
      </w:r>
      <w:r>
        <w:t>n patologickými stavy, chápeme ho jako obvyklý p</w:t>
      </w:r>
      <w:r>
        <w:t>ř</w:t>
      </w:r>
      <w:r>
        <w:t>i délce hospitalizace 3 dny po spontánním porodu a 5 dn</w:t>
      </w:r>
      <w:r>
        <w:t>ů</w:t>
      </w:r>
      <w:r>
        <w:t xml:space="preserve"> po porodu císa</w:t>
      </w:r>
      <w:r>
        <w:t>ř</w:t>
      </w:r>
      <w:r>
        <w:t xml:space="preserve">ským </w:t>
      </w:r>
      <w:r>
        <w:t>ř</w:t>
      </w:r>
      <w:r>
        <w:t>ezem. P</w:t>
      </w:r>
      <w:r>
        <w:t>ř</w:t>
      </w:r>
      <w:r>
        <w:t>i d</w:t>
      </w:r>
      <w:r>
        <w:t>ř</w:t>
      </w:r>
      <w:r>
        <w:t>ív</w:t>
      </w:r>
      <w:r>
        <w:t>ě</w:t>
      </w:r>
      <w:r>
        <w:t>jším propušt</w:t>
      </w:r>
      <w:r>
        <w:t>ě</w:t>
      </w:r>
      <w:r>
        <w:t>ní po ambulantním porodu by m</w:t>
      </w:r>
      <w:r>
        <w:t>ě</w:t>
      </w:r>
      <w:r>
        <w:t>l být po</w:t>
      </w:r>
      <w:r>
        <w:t>č</w:t>
      </w:r>
      <w:r>
        <w:t>et návšt</w:t>
      </w:r>
      <w:r>
        <w:t>ě</w:t>
      </w:r>
      <w:r>
        <w:t>v zvýšen, p</w:t>
      </w:r>
      <w:r>
        <w:t>ř</w:t>
      </w:r>
      <w:r>
        <w:t>i delší hospitalizaci naopak snížen. Problémem je nejen špatná definice výkonu, ale p</w:t>
      </w:r>
      <w:r>
        <w:t>ř</w:t>
      </w:r>
      <w:r>
        <w:t>edevším obecná „indikace léka</w:t>
      </w:r>
      <w:r>
        <w:t>ř</w:t>
      </w:r>
      <w:r>
        <w:t>e“, která praktickému využití tohoto výkonu brání a vzhledem k dosavadním zkušenostem ji pokládáme jednozna</w:t>
      </w:r>
      <w:r>
        <w:t>č</w:t>
      </w:r>
      <w:r>
        <w:t>n</w:t>
      </w:r>
      <w:r>
        <w:t>ě</w:t>
      </w:r>
      <w:r>
        <w:t xml:space="preserve"> za diskrimina</w:t>
      </w:r>
      <w:r>
        <w:t>č</w:t>
      </w:r>
      <w:r>
        <w:t>ní nejen pro P</w:t>
      </w:r>
      <w:r>
        <w:t>A ale i pro ženy. V</w:t>
      </w:r>
      <w:r>
        <w:t>ě</w:t>
      </w:r>
      <w:r>
        <w:t xml:space="preserve">tšina </w:t>
      </w:r>
      <w:r>
        <w:t>č</w:t>
      </w:r>
      <w:r>
        <w:t>eských gynekolog</w:t>
      </w:r>
      <w:r>
        <w:t>ů</w:t>
      </w:r>
      <w:r>
        <w:t xml:space="preserve"> totiž ženy neinformuje a odmítá jim vystavit poukaz na ošet</w:t>
      </w:r>
      <w:r>
        <w:t>ř</w:t>
      </w:r>
      <w:r>
        <w:t>ení PA, i když si žena PA najde a o poukaz je požádá – p</w:t>
      </w:r>
      <w:r>
        <w:t>ř</w:t>
      </w:r>
      <w:r>
        <w:t xml:space="preserve">estože podle zákona o zdravotních službách: … </w:t>
      </w:r>
      <w:r>
        <w:rPr>
          <w:i/>
        </w:rPr>
        <w:t>Poskytovatel (tzn. ošetř</w:t>
      </w:r>
      <w:r>
        <w:rPr>
          <w:i/>
        </w:rPr>
        <w:t xml:space="preserve">ující gynekolog) je </w:t>
      </w:r>
      <w:r>
        <w:rPr>
          <w:i/>
          <w:u w:val="single" w:color="000000"/>
        </w:rPr>
        <w:t>povinen zajistit</w:t>
      </w:r>
      <w:r>
        <w:rPr>
          <w:i/>
        </w:rPr>
        <w:t xml:space="preserve">, aby byl pacient seznámen se svými právy … informován o dalších zdravotních službách, které mohou zlepšit jeho zdravotní stav … komplexnost, návaznost a koordinovanost poskytovaných zdravotních služeb…   </w:t>
      </w:r>
    </w:p>
    <w:p w14:paraId="0215E44D" w14:textId="77777777" w:rsidR="00FE42B6" w:rsidRDefault="006A5B4F">
      <w:pPr>
        <w:spacing w:after="345" w:line="259" w:lineRule="auto"/>
        <w:ind w:left="422" w:right="0" w:hanging="10"/>
        <w:jc w:val="left"/>
      </w:pPr>
      <w:r>
        <w:rPr>
          <w:b/>
        </w:rPr>
        <w:t>Proč nefunguje</w:t>
      </w:r>
      <w:r>
        <w:rPr>
          <w:b/>
        </w:rPr>
        <w:t xml:space="preserve"> návštěvní služba PA? </w:t>
      </w:r>
    </w:p>
    <w:p w14:paraId="1CE41E57" w14:textId="77777777" w:rsidR="00FE42B6" w:rsidRDefault="006A5B4F">
      <w:pPr>
        <w:ind w:left="-15" w:right="-11"/>
      </w:pPr>
      <w:r>
        <w:t>Soukromí gynekologové si se zdravotními pojiš</w:t>
      </w:r>
      <w:r>
        <w:t>ť</w:t>
      </w:r>
      <w:r>
        <w:t xml:space="preserve">ovnami nasmlouvali tento výkon, i když </w:t>
      </w:r>
      <w:r>
        <w:t>č</w:t>
      </w:r>
      <w:r>
        <w:t>asto nezam</w:t>
      </w:r>
      <w:r>
        <w:t>ě</w:t>
      </w:r>
      <w:r>
        <w:t>stnávají PA. Tato je navíc prací v ordinaci vytížena na plný úvazek, návšt</w:t>
      </w:r>
      <w:r>
        <w:t>ě</w:t>
      </w:r>
      <w:r>
        <w:t>vy m</w:t>
      </w:r>
      <w:r>
        <w:t>ů</w:t>
      </w:r>
      <w:r>
        <w:t>že vykonat jen ve výjime</w:t>
      </w:r>
      <w:r>
        <w:t>č</w:t>
      </w:r>
      <w:r>
        <w:t>ných p</w:t>
      </w:r>
      <w:r>
        <w:t>ř</w:t>
      </w:r>
      <w:r>
        <w:t>ípadech „po práci“, ne j</w:t>
      </w:r>
      <w:r>
        <w:t>ako obvyklou a dostupnou službu. P</w:t>
      </w:r>
      <w:r>
        <w:t>ř</w:t>
      </w:r>
      <w:r>
        <w:t>edstavitelé SSG p</w:t>
      </w:r>
      <w:r>
        <w:t>ř</w:t>
      </w:r>
      <w:r>
        <w:t>esto brání uzavírání smluv zdravotními pojiš</w:t>
      </w:r>
      <w:r>
        <w:t>ť</w:t>
      </w:r>
      <w:r>
        <w:t>ovnami se samostatnými PA. Protože sami nejsou schopni tuto pé</w:t>
      </w:r>
      <w:r>
        <w:t>č</w:t>
      </w:r>
      <w:r>
        <w:t>i zajistit a existenci samostatn</w:t>
      </w:r>
      <w:r>
        <w:t>ě</w:t>
      </w:r>
      <w:r>
        <w:t xml:space="preserve"> pracujících PA si nep</w:t>
      </w:r>
      <w:r>
        <w:t>ř</w:t>
      </w:r>
      <w:r>
        <w:t xml:space="preserve">ejí tvrdí:  </w:t>
      </w:r>
    </w:p>
    <w:p w14:paraId="766CA434" w14:textId="77777777" w:rsidR="00FE42B6" w:rsidRDefault="006A5B4F">
      <w:pPr>
        <w:spacing w:after="28" w:line="259" w:lineRule="auto"/>
        <w:ind w:left="782" w:right="0" w:hanging="1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Soukromé gynekology tato péče finančně ohrožuje.</w:t>
      </w:r>
      <w:r>
        <w:t xml:space="preserve"> </w:t>
      </w:r>
    </w:p>
    <w:p w14:paraId="40E4635D" w14:textId="77777777" w:rsidR="00FE42B6" w:rsidRDefault="006A5B4F">
      <w:pPr>
        <w:ind w:left="-15" w:right="-11"/>
      </w:pPr>
      <w:r>
        <w:t>Vyžádaná pé</w:t>
      </w:r>
      <w:r>
        <w:t>č</w:t>
      </w:r>
      <w:r>
        <w:t xml:space="preserve">e, poskytovaná v </w:t>
      </w:r>
      <w:proofErr w:type="spellStart"/>
      <w:r>
        <w:t>odb</w:t>
      </w:r>
      <w:proofErr w:type="spellEnd"/>
      <w:r>
        <w:t>. 921 – PA není pro gynekology zdravotními pojiš</w:t>
      </w:r>
      <w:r>
        <w:t>ť</w:t>
      </w:r>
      <w:r>
        <w:t>ovnami regulována (regulace se vztahuje pouze</w:t>
      </w:r>
      <w:r>
        <w:rPr>
          <w:b/>
        </w:rPr>
        <w:t xml:space="preserve"> </w:t>
      </w:r>
      <w:r>
        <w:t xml:space="preserve">na </w:t>
      </w:r>
      <w:proofErr w:type="spellStart"/>
      <w:r>
        <w:t>odb</w:t>
      </w:r>
      <w:proofErr w:type="spellEnd"/>
      <w:r>
        <w:t xml:space="preserve">. 222, </w:t>
      </w:r>
      <w:proofErr w:type="gramStart"/>
      <w:r>
        <w:t>801 – 805</w:t>
      </w:r>
      <w:proofErr w:type="gramEnd"/>
      <w:r>
        <w:t>, 809, 812 – 823 tzn. laborato</w:t>
      </w:r>
      <w:r>
        <w:t>ř</w:t>
      </w:r>
      <w:r>
        <w:t>e) a finan</w:t>
      </w:r>
      <w:r>
        <w:t>č</w:t>
      </w:r>
      <w:r>
        <w:t>n</w:t>
      </w:r>
      <w:r>
        <w:t>ě</w:t>
      </w:r>
      <w:r>
        <w:t xml:space="preserve"> je nijak nez</w:t>
      </w:r>
      <w:r>
        <w:t>at</w:t>
      </w:r>
      <w:r>
        <w:t>ě</w:t>
      </w:r>
      <w:r>
        <w:t>žuje. P</w:t>
      </w:r>
      <w:r>
        <w:t>ř</w:t>
      </w:r>
      <w:r>
        <w:t>i pr</w:t>
      </w:r>
      <w:r>
        <w:t>ů</w:t>
      </w:r>
      <w:r>
        <w:t>m</w:t>
      </w:r>
      <w:r>
        <w:t>ě</w:t>
      </w:r>
      <w:r>
        <w:t>rn</w:t>
      </w:r>
      <w:r>
        <w:t>ě</w:t>
      </w:r>
      <w:r>
        <w:t xml:space="preserve"> 2 návšt</w:t>
      </w:r>
      <w:r>
        <w:t>ě</w:t>
      </w:r>
      <w:r>
        <w:t>vách šestined</w:t>
      </w:r>
      <w:r>
        <w:t>ě</w:t>
      </w:r>
      <w:r>
        <w:t>lky a 100 tisících porod</w:t>
      </w:r>
      <w:r>
        <w:t>ů</w:t>
      </w:r>
      <w:r>
        <w:t xml:space="preserve"> jde o 200 tisíc výkon</w:t>
      </w:r>
      <w:r>
        <w:t>ů</w:t>
      </w:r>
      <w:r>
        <w:t xml:space="preserve">, což jsou pouhá </w:t>
      </w:r>
      <w:proofErr w:type="gramStart"/>
      <w:r>
        <w:t>2%</w:t>
      </w:r>
      <w:proofErr w:type="gramEnd"/>
      <w:r>
        <w:t xml:space="preserve"> z celkového po</w:t>
      </w:r>
      <w:r>
        <w:t>č</w:t>
      </w:r>
      <w:r>
        <w:t>tu gynekologických vyšet</w:t>
      </w:r>
      <w:r>
        <w:t>ř</w:t>
      </w:r>
      <w:r>
        <w:t xml:space="preserve">ení. Navíc nebylo nikdy </w:t>
      </w:r>
      <w:r>
        <w:t>ř</w:t>
      </w:r>
      <w:r>
        <w:t>e</w:t>
      </w:r>
      <w:r>
        <w:t>č</w:t>
      </w:r>
      <w:r>
        <w:t>eno, že úhrada návšt</w:t>
      </w:r>
      <w:r>
        <w:t>ě</w:t>
      </w:r>
      <w:r>
        <w:t>v PA by probíhala na úkor úhrady gynekologických vyšet</w:t>
      </w:r>
      <w:r>
        <w:t>ř</w:t>
      </w:r>
      <w:r>
        <w:t>ení – oba výkony mají jiný charakter a jsou hrazeny z jiného segmentu pé</w:t>
      </w:r>
      <w:r>
        <w:t>č</w:t>
      </w:r>
      <w:r>
        <w:t>e. Ani zde proto nelze hovo</w:t>
      </w:r>
      <w:r>
        <w:t>ř</w:t>
      </w:r>
      <w:r>
        <w:t>it o ohrožení gynekolog</w:t>
      </w:r>
      <w:r>
        <w:t>ů</w:t>
      </w:r>
      <w:r>
        <w:t xml:space="preserve">! </w:t>
      </w:r>
    </w:p>
    <w:p w14:paraId="14C4C606" w14:textId="77777777" w:rsidR="00FE42B6" w:rsidRDefault="006A5B4F">
      <w:pPr>
        <w:spacing w:after="28" w:line="259" w:lineRule="auto"/>
        <w:ind w:left="782" w:right="0" w:hanging="1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„ženy nemají o tuto péči zájem…“</w:t>
      </w:r>
      <w:r>
        <w:t xml:space="preserve"> </w:t>
      </w:r>
    </w:p>
    <w:p w14:paraId="5BED827C" w14:textId="77777777" w:rsidR="00FE42B6" w:rsidRDefault="006A5B4F">
      <w:pPr>
        <w:ind w:left="-15" w:right="-11"/>
      </w:pPr>
      <w:r>
        <w:lastRenderedPageBreak/>
        <w:t>Z dlouhodobé zkušenosti ve Zlín</w:t>
      </w:r>
      <w:r>
        <w:t>ě</w:t>
      </w:r>
      <w:r>
        <w:t xml:space="preserve"> (ne </w:t>
      </w:r>
      <w:r>
        <w:t>z ni</w:t>
      </w:r>
      <w:r>
        <w:t>č</w:t>
      </w:r>
      <w:r>
        <w:t>ím nepodložených domn</w:t>
      </w:r>
      <w:r>
        <w:t>ě</w:t>
      </w:r>
      <w:r>
        <w:t xml:space="preserve">nek) víme, že pokud jsou ženy informovány, </w:t>
      </w:r>
      <w:proofErr w:type="gramStart"/>
      <w:r>
        <w:t>80%</w:t>
      </w:r>
      <w:proofErr w:type="gramEnd"/>
      <w:r>
        <w:t xml:space="preserve"> jich tuto službu využije </w:t>
      </w:r>
    </w:p>
    <w:p w14:paraId="41B3B2A0" w14:textId="77777777" w:rsidR="00FE42B6" w:rsidRDefault="006A5B4F">
      <w:pPr>
        <w:spacing w:after="0" w:line="323" w:lineRule="auto"/>
        <w:ind w:left="1130" w:right="0" w:hanging="358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„návštěvy PA nejsou potřebné při propuštění domů 3 dny po porodu, ale ani při propuštění několik hodin po ambulantním porodu…“</w:t>
      </w:r>
      <w:r>
        <w:t xml:space="preserve"> </w:t>
      </w:r>
    </w:p>
    <w:p w14:paraId="25D88D54" w14:textId="77777777" w:rsidR="00FE42B6" w:rsidRDefault="006A5B4F">
      <w:pPr>
        <w:spacing w:after="247"/>
        <w:ind w:left="-15" w:right="-11"/>
      </w:pPr>
      <w:r>
        <w:t>Nutných je 20 vyšet</w:t>
      </w:r>
      <w:r>
        <w:t>ř</w:t>
      </w:r>
      <w:r>
        <w:t>ení t</w:t>
      </w:r>
      <w:r>
        <w:t>ě</w:t>
      </w:r>
      <w:r>
        <w:t>hotné v gynekologické ordinaci, 3 dny hospitalizace, podle pot</w:t>
      </w:r>
      <w:r>
        <w:t>ř</w:t>
      </w:r>
      <w:r>
        <w:t>eby vyšet</w:t>
      </w:r>
      <w:r>
        <w:t>ř</w:t>
      </w:r>
      <w:r>
        <w:t>ení šestined</w:t>
      </w:r>
      <w:r>
        <w:t>ě</w:t>
      </w:r>
      <w:r>
        <w:t>lky v gynekologické ordinaci, ale návšt</w:t>
      </w:r>
      <w:r>
        <w:t>ě</w:t>
      </w:r>
      <w:r>
        <w:t>vy PA jsou zbyte</w:t>
      </w:r>
      <w:r>
        <w:t>č</w:t>
      </w:r>
      <w:r>
        <w:t>né – není to divné? V Rakousku má žena po ambulantním porodu možnost až 12 návšt</w:t>
      </w:r>
      <w:r>
        <w:t>ě</w:t>
      </w:r>
      <w:r>
        <w:t>v PA (bez indikace léka</w:t>
      </w:r>
      <w:r>
        <w:t>ř</w:t>
      </w:r>
      <w:r>
        <w:t xml:space="preserve">e)! </w:t>
      </w:r>
    </w:p>
    <w:p w14:paraId="7FB283E3" w14:textId="77777777" w:rsidR="00FE42B6" w:rsidRDefault="006A5B4F">
      <w:pPr>
        <w:pStyle w:val="Nadpis1"/>
        <w:ind w:left="422" w:right="0"/>
      </w:pPr>
      <w:r>
        <w:t>Zdr</w:t>
      </w:r>
      <w:r>
        <w:t xml:space="preserve">avotní výchova a poradenství </w:t>
      </w:r>
    </w:p>
    <w:p w14:paraId="7E7A9A64" w14:textId="77777777" w:rsidR="00FE42B6" w:rsidRDefault="006A5B4F">
      <w:pPr>
        <w:ind w:left="-15" w:right="-11"/>
      </w:pPr>
      <w:r>
        <w:t>Navíc m</w:t>
      </w:r>
      <w:r>
        <w:t>ů</w:t>
      </w:r>
      <w:r>
        <w:t>že PA poskytovat t</w:t>
      </w:r>
      <w:r>
        <w:t>ě</w:t>
      </w:r>
      <w:r>
        <w:t>hotným ženám a matkám s novorozenci zdravotní poradenství ve své „poradn</w:t>
      </w:r>
      <w:r>
        <w:t>ě</w:t>
      </w:r>
      <w:r>
        <w:t>“. Tato služba ale není hrazena z ve</w:t>
      </w:r>
      <w:r>
        <w:t>ř</w:t>
      </w:r>
      <w:r>
        <w:t>ejného zdravotního pojišt</w:t>
      </w:r>
      <w:r>
        <w:t>ě</w:t>
      </w:r>
      <w:r>
        <w:t xml:space="preserve">ní. </w:t>
      </w:r>
    </w:p>
    <w:p w14:paraId="4081E324" w14:textId="77777777" w:rsidR="00FE42B6" w:rsidRDefault="006A5B4F">
      <w:pPr>
        <w:spacing w:after="345" w:line="259" w:lineRule="auto"/>
        <w:ind w:left="422" w:right="0" w:hanging="10"/>
        <w:jc w:val="left"/>
      </w:pPr>
      <w:r>
        <w:rPr>
          <w:b/>
        </w:rPr>
        <w:t xml:space="preserve">Závěr: </w:t>
      </w:r>
    </w:p>
    <w:p w14:paraId="51F3BCCF" w14:textId="0B0DFF09" w:rsidR="00FE42B6" w:rsidRDefault="006A5B4F">
      <w:pPr>
        <w:ind w:left="-15" w:right="-11"/>
      </w:pPr>
      <w:r>
        <w:t xml:space="preserve">Pokud vám moje vystoupení poskytlo nové informace </w:t>
      </w:r>
      <w:r>
        <w:t>a podn</w:t>
      </w:r>
      <w:r>
        <w:t>ě</w:t>
      </w:r>
      <w:r>
        <w:t>ty k zamyšlení, jsem spokojena. Sou</w:t>
      </w:r>
      <w:r>
        <w:t>č</w:t>
      </w:r>
      <w:r>
        <w:t>asné nedobré vztahy gynekolog</w:t>
      </w:r>
      <w:r>
        <w:t>ů</w:t>
      </w:r>
      <w:r>
        <w:t xml:space="preserve"> a PA v ambulantní pé</w:t>
      </w:r>
      <w:r>
        <w:t>č</w:t>
      </w:r>
      <w:r>
        <w:t>i totiž pokládám za d</w:t>
      </w:r>
      <w:r>
        <w:t>ů</w:t>
      </w:r>
      <w:r>
        <w:t xml:space="preserve">sledek nepochopení, vyplývajícího z neinformovanosti nebo ze zkreslených informací. To, jak bude v </w:t>
      </w:r>
      <w:r>
        <w:t>Č</w:t>
      </w:r>
      <w:r>
        <w:t>R ambulantní pé</w:t>
      </w:r>
      <w:r>
        <w:t>č</w:t>
      </w:r>
      <w:r>
        <w:t>e o ženu a dít</w:t>
      </w:r>
      <w:r>
        <w:t>ě</w:t>
      </w:r>
      <w:r>
        <w:t xml:space="preserve"> i spolupráce PA s gynekology v budoucnu vypadat, záleží na nás všech. </w:t>
      </w:r>
    </w:p>
    <w:p w14:paraId="53C8EC4E" w14:textId="49464BBA" w:rsidR="006A5B4F" w:rsidRDefault="006A5B4F" w:rsidP="006A5B4F">
      <w:pPr>
        <w:ind w:left="-15" w:right="-11"/>
      </w:pPr>
      <w:r>
        <w:t>Zdroj:</w:t>
      </w:r>
    </w:p>
    <w:p w14:paraId="28D406CC" w14:textId="78B22F4A" w:rsidR="006A5B4F" w:rsidRDefault="006A5B4F" w:rsidP="006A5B4F">
      <w:pPr>
        <w:jc w:val="left"/>
      </w:pPr>
      <w:r w:rsidRPr="006A5B4F">
        <w:t>Problematika porodní asistence v komunitní péči o ženu a dítě v ČR</w:t>
      </w:r>
      <w:r w:rsidRPr="002D0199">
        <w:t xml:space="preserve">. </w:t>
      </w:r>
      <w:r>
        <w:t>C</w:t>
      </w:r>
      <w:r w:rsidRPr="006A5B4F">
        <w:t>kpa.cz</w:t>
      </w:r>
      <w:r w:rsidRPr="006A5B4F">
        <w:t xml:space="preserve"> </w:t>
      </w:r>
      <w:r w:rsidRPr="002D0199">
        <w:t xml:space="preserve">[online]. </w:t>
      </w:r>
      <w:r>
        <w:t>2015</w:t>
      </w:r>
      <w:r w:rsidRPr="002D0199">
        <w:t xml:space="preserve"> [cit. </w:t>
      </w:r>
      <w:r>
        <w:t>9</w:t>
      </w:r>
      <w:r>
        <w:t>.1</w:t>
      </w:r>
      <w:r>
        <w:t>1</w:t>
      </w:r>
      <w:r w:rsidRPr="002D0199">
        <w:t>.</w:t>
      </w:r>
      <w:r>
        <w:t>2020</w:t>
      </w:r>
      <w:r w:rsidRPr="002D0199">
        <w:t xml:space="preserve">]. Dostupné z: </w:t>
      </w:r>
      <w:r w:rsidRPr="006A5B4F">
        <w:t>https://www.ckpa.cz/files/PDF/Problematika%20PA%20%20v%20komunitni%20peci.pdf</w:t>
      </w:r>
    </w:p>
    <w:sectPr w:rsidR="006A5B4F">
      <w:pgSz w:w="11900" w:h="16840"/>
      <w:pgMar w:top="1432" w:right="1407" w:bottom="145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B6"/>
    <w:rsid w:val="006A5B4F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EF54"/>
  <w15:docId w15:val="{340C3811-15E5-46B7-A965-7875C319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92" w:line="305" w:lineRule="auto"/>
      <w:ind w:right="4" w:firstLine="41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345"/>
      <w:ind w:left="10" w:right="7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2240</Words>
  <Characters>13218</Characters>
  <Application>Microsoft Office Word</Application>
  <DocSecurity>0</DocSecurity>
  <Lines>110</Lines>
  <Paragraphs>30</Paragraphs>
  <ScaleCrop>false</ScaleCrop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Problematika PA  v komunitni peci</dc:title>
  <dc:subject/>
  <dc:creator>Barča</dc:creator>
  <cp:keywords/>
  <cp:lastModifiedBy>David Šilhavý</cp:lastModifiedBy>
  <cp:revision>2</cp:revision>
  <dcterms:created xsi:type="dcterms:W3CDTF">2020-11-09T13:31:00Z</dcterms:created>
  <dcterms:modified xsi:type="dcterms:W3CDTF">2020-11-09T13:31:00Z</dcterms:modified>
</cp:coreProperties>
</file>