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04688" w14:textId="795BDB4D" w:rsidR="00953C7E" w:rsidRDefault="002D0199" w:rsidP="002D0199">
      <w:pPr>
        <w:pStyle w:val="Nzev"/>
      </w:pPr>
      <w:r w:rsidRPr="002D0199">
        <w:t>Téměř polovina lidí používá nepodporované operační systémy</w:t>
      </w:r>
    </w:p>
    <w:p w14:paraId="53F91B92" w14:textId="290EE7DC" w:rsidR="002D0199" w:rsidRDefault="002D0199" w:rsidP="002D0199">
      <w:pPr>
        <w:pStyle w:val="Podnadpis"/>
      </w:pPr>
      <w:r w:rsidRPr="002D0199">
        <w:t xml:space="preserve">Bezpečnostní experti neustále upozorňují na to, že používat nepodporované operační systémy představuje velké bezpečnostní riziko. Celá řada uživatelů nicméně na jejich doporučení nedbá. Podle studie antivirové společnosti </w:t>
      </w:r>
      <w:proofErr w:type="spellStart"/>
      <w:r w:rsidRPr="002D0199">
        <w:t>Kaspersky</w:t>
      </w:r>
      <w:proofErr w:type="spellEnd"/>
      <w:r w:rsidRPr="002D0199">
        <w:t xml:space="preserve"> totiž systémy, pro které již nevycházejí žádné aktualizace, používá téměř polovina lidí. Problém se přitom netýká pouze běžných uživatelů, ale také firem.</w:t>
      </w:r>
    </w:p>
    <w:p w14:paraId="74733385" w14:textId="028C7BD1" w:rsidR="002D0199" w:rsidRDefault="002D0199" w:rsidP="002D0199">
      <w:r>
        <w:t xml:space="preserve">„I přesto, že jsou k dispozici novější verze těchto operačních systémů, asi 41 % spotřebitelů nadále používá buď nepodporované systémy, nebo ty, které brzy podporovány být přestanou, jako Windows XP nebo Windows 7,“ prohlásil </w:t>
      </w:r>
      <w:proofErr w:type="spellStart"/>
      <w:r>
        <w:t>Alexey</w:t>
      </w:r>
      <w:proofErr w:type="spellEnd"/>
      <w:r>
        <w:t xml:space="preserve"> </w:t>
      </w:r>
      <w:proofErr w:type="spellStart"/>
      <w:r>
        <w:t>Pankratov</w:t>
      </w:r>
      <w:proofErr w:type="spellEnd"/>
      <w:r>
        <w:t xml:space="preserve">,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Manager ve společnosti </w:t>
      </w:r>
      <w:proofErr w:type="spellStart"/>
      <w:r>
        <w:t>Kaspersky</w:t>
      </w:r>
      <w:proofErr w:type="spellEnd"/>
      <w:r>
        <w:t>.</w:t>
      </w:r>
    </w:p>
    <w:p w14:paraId="3BE19E91" w14:textId="6276B633" w:rsidR="002D0199" w:rsidRDefault="002D0199" w:rsidP="002D0199">
      <w:r>
        <w:t xml:space="preserve">Podle něj na tyto operační systémy dokonce stále spoléhá 40 % velmi malých a 48 % malých a středních firem. „Tento stav přitom představuje bezpečnostní riziko,“ zdůraznil </w:t>
      </w:r>
      <w:proofErr w:type="spellStart"/>
      <w:r>
        <w:t>Pankratov</w:t>
      </w:r>
      <w:proofErr w:type="spellEnd"/>
      <w:r>
        <w:t>.</w:t>
      </w:r>
    </w:p>
    <w:p w14:paraId="7F38A1FC" w14:textId="248074F4" w:rsidR="002D0199" w:rsidRDefault="002D0199" w:rsidP="002D0199">
      <w:pPr>
        <w:pStyle w:val="Nadpis1"/>
      </w:pPr>
      <w:r w:rsidRPr="002D0199">
        <w:t>Konec podpory Windows 7</w:t>
      </w:r>
    </w:p>
    <w:p w14:paraId="30172556" w14:textId="566989F0" w:rsidR="002D0199" w:rsidRDefault="002D0199" w:rsidP="002D0199">
      <w:r>
        <w:t>Například u zmiňovaného operačního systému Windows XP skončila podpora již v roce 2014. Běžní uživatelé tohoto starého operačního systému tak oficiálně již několik let nemohou stahovat žádné aktualizace ani opravy. V případě, že bude objevena trhlina, mohou ji hackeři dle libosti zneužít.</w:t>
      </w:r>
    </w:p>
    <w:p w14:paraId="39310A96" w14:textId="1C7883EB" w:rsidR="002D0199" w:rsidRDefault="002D0199" w:rsidP="002D0199">
      <w:r>
        <w:t>Stejný osud čeká zkraje příštího roku také populární systém Windows 7 – pro něj vyjdou aktualizace naposledy v lednu 2020.</w:t>
      </w:r>
    </w:p>
    <w:p w14:paraId="6F137B4C" w14:textId="29DDA58A" w:rsidR="002D0199" w:rsidRDefault="002D0199" w:rsidP="002D0199">
      <w:r>
        <w:t>„Podíváme-li se na konkrétní verze vysloužilých OS, vidíme, že 2 % spotřebitelů a 1 % pracovních stanic používaných velmi malými firmami spoléhá na Windows XP, operační systém, který není podporován více než 10 let. Méně než půl procenta spotřebitelů (0,3 %) a velmi malých firem (0,2 %) stále dává přednost Windows Vista, pro které běžná podpora skončila před sedmi lety,“ konstatoval bezpečnostní expert.</w:t>
      </w:r>
    </w:p>
    <w:p w14:paraId="37246172" w14:textId="379735B3" w:rsidR="002D0199" w:rsidRDefault="002D0199" w:rsidP="002D0199">
      <w:pPr>
        <w:pStyle w:val="Nadpis1"/>
      </w:pPr>
      <w:r w:rsidRPr="002D0199">
        <w:t>Systémy na konci své životnosti</w:t>
      </w:r>
    </w:p>
    <w:p w14:paraId="0F3BADE1" w14:textId="16D4280D" w:rsidR="002D0199" w:rsidRDefault="002D0199" w:rsidP="002D0199">
      <w:r>
        <w:t xml:space="preserve">Statistiky ukazují, že významná část uživatelů, a to jak firem, tak jednotlivců, stále používá pracovní stanice, které běží na zastaralých operačních systémech, jež jsou na konci své životnosti. „Rozšířené užívání Windows 7 je vzhledem ke skutečnosti, že do konce podpory zbývá méně než šest měsíců, znepokojivé,“ podotkl </w:t>
      </w:r>
      <w:proofErr w:type="spellStart"/>
      <w:r>
        <w:t>Pankratov</w:t>
      </w:r>
      <w:proofErr w:type="spellEnd"/>
      <w:r>
        <w:t>.</w:t>
      </w:r>
    </w:p>
    <w:p w14:paraId="3EF3DF08" w14:textId="625B4CEA" w:rsidR="002D0199" w:rsidRDefault="002D0199" w:rsidP="002D0199">
      <w:r>
        <w:t>„Důvody pro toto zaostávání se různí – od závislosti na nainstalovaném softwaru, který může být nepoužitelný s novějšími operačními systémy, přes ekonomické důvody, až dokonce po prostý návyk. V každém případě představuje zastaralý systém bez bezpečnostních záplat kybernetické riziko – náklady na řešení problému tak mohou být podstatně vyšší než náklady na upgrade. Proto doporučujeme, aby zákazníci přešli na podporované verze a zajistili, že v průběhu přechodu mají k dispozici další bezpečnostní nástroje,“ uzavřel bezpečnostní expert.</w:t>
      </w:r>
    </w:p>
    <w:p w14:paraId="63A2941B" w14:textId="77777777" w:rsidR="002D0199" w:rsidRDefault="002D0199">
      <w:r>
        <w:br w:type="page"/>
      </w:r>
    </w:p>
    <w:p w14:paraId="0CF9B32C" w14:textId="54BFE517" w:rsidR="002D0199" w:rsidRDefault="002D0199" w:rsidP="002D0199">
      <w:r>
        <w:lastRenderedPageBreak/>
        <w:t>Zdroj:</w:t>
      </w:r>
    </w:p>
    <w:p w14:paraId="60C478C6" w14:textId="155D3C9D" w:rsidR="002D0199" w:rsidRPr="002D0199" w:rsidRDefault="002D0199" w:rsidP="002D0199">
      <w:r w:rsidRPr="002D0199">
        <w:t xml:space="preserve">Téměř polovina lidí používá nepodporované operační systémy. </w:t>
      </w:r>
      <w:r>
        <w:t>Novinky.cz</w:t>
      </w:r>
      <w:r w:rsidRPr="002D0199">
        <w:t xml:space="preserve"> [online]. 201</w:t>
      </w:r>
      <w:r w:rsidR="005875C9">
        <w:t>9</w:t>
      </w:r>
      <w:r w:rsidRPr="002D0199">
        <w:t xml:space="preserve"> [cit. </w:t>
      </w:r>
      <w:r w:rsidR="005875C9">
        <w:t>30.10</w:t>
      </w:r>
      <w:r w:rsidRPr="002D0199">
        <w:t>.</w:t>
      </w:r>
      <w:r w:rsidR="005875C9">
        <w:t>2020</w:t>
      </w:r>
      <w:r w:rsidRPr="002D0199">
        <w:t>]. Dostupné z: https://www.novinky.cz/internet-a-pc/software/clanek/temer-polovina-lidi-pouziva-nepodporovane-operacni-systemy-40295201</w:t>
      </w:r>
    </w:p>
    <w:sectPr w:rsidR="002D0199" w:rsidRPr="002D0199" w:rsidSect="002A2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99"/>
    <w:rsid w:val="002A27C9"/>
    <w:rsid w:val="002D0199"/>
    <w:rsid w:val="005875C9"/>
    <w:rsid w:val="0099093D"/>
    <w:rsid w:val="00C71EE0"/>
    <w:rsid w:val="00D54396"/>
    <w:rsid w:val="00F4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6221"/>
  <w15:chartTrackingRefBased/>
  <w15:docId w15:val="{7D9EE245-5183-445D-9FF5-7232328D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D0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D0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D0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D0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2D0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D0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D01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D019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423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Šilhavý</dc:creator>
  <cp:keywords/>
  <dc:description/>
  <cp:lastModifiedBy>David Šilhavý</cp:lastModifiedBy>
  <cp:revision>1</cp:revision>
  <dcterms:created xsi:type="dcterms:W3CDTF">2020-10-30T11:11:00Z</dcterms:created>
  <dcterms:modified xsi:type="dcterms:W3CDTF">2020-10-30T11:25:00Z</dcterms:modified>
</cp:coreProperties>
</file>