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C57"/>
          <w:sz w:val="44"/>
        </w:rPr>
        <w:t>ABLBL Sourcing Intelligence Platform</w:t>
        <w:br/>
        <w:t>Business Logic &amp; Calculation Guide</w:t>
      </w:r>
    </w:p>
    <w:p>
      <w:pPr>
        <w:jc w:val="center"/>
      </w:pPr>
      <w:r>
        <w:rPr>
          <w:rFonts w:ascii="Calibri" w:hAnsi="Calibri"/>
          <w:i/>
          <w:color w:val="505050"/>
          <w:sz w:val="22"/>
        </w:rPr>
        <w:t>Step-by-Step Mathematical Formulas, Real Data Examples, &amp; Threshold Rules for IT &amp; Sourcing Teams</w:t>
        <w:br/>
        <w:t>Date: August 2026 | Target Unit: ABLBL Procurement</w:t>
      </w:r>
    </w:p>
    <w:p>
      <w:pPr>
        <w:jc w:val="center"/>
      </w:pPr>
      <w:r>
        <w:t>-------------------------------------------------------</w:t>
      </w:r>
    </w:p>
    <w:p>
      <w:pPr>
        <w:spacing w:before="280" w:after="120"/>
      </w:pPr>
      <w:r>
        <w:rPr>
          <w:rFonts w:ascii="Calibri" w:hAnsi="Calibri"/>
          <w:b/>
          <w:color w:val="102C57"/>
          <w:sz w:val="32"/>
        </w:rPr>
        <w:t>1. Executive Overview</w:t>
      </w:r>
    </w:p>
    <w:p>
      <w:pPr>
        <w:spacing w:after="80"/>
      </w:pPr>
      <w:r>
        <w:rPr>
          <w:rFonts w:ascii="Calibri" w:hAnsi="Calibri"/>
          <w:color w:val="282828"/>
          <w:sz w:val="22"/>
        </w:rPr>
        <w:t>This document provides an end-to-end explanation of all mathematical formulas, decision engines, and statistical threshold rules built into the ABLBL Sourcing Intelligence Platform. It is designed to help Sourcing Leaders understand how recommendations are derived, and to provide the IT Data Analytics team with exact calculation blueprints for enterprise system integration.</w:t>
      </w:r>
    </w:p>
    <w:p>
      <w:pPr>
        <w:spacing w:before="280" w:after="120"/>
      </w:pPr>
      <w:r>
        <w:rPr>
          <w:rFonts w:ascii="Calibri" w:hAnsi="Calibri"/>
          <w:b/>
          <w:color w:val="102C57"/>
          <w:sz w:val="32"/>
        </w:rPr>
        <w:t>2. Vendor 360 (Historical Intelligence Logics)</w:t>
      </w:r>
    </w:p>
    <w:p>
      <w:pPr>
        <w:spacing w:before="200" w:after="80"/>
      </w:pPr>
      <w:r>
        <w:rPr>
          <w:rFonts w:ascii="Calibri" w:hAnsi="Calibri"/>
          <w:b/>
          <w:color w:val="B42828"/>
          <w:sz w:val="26"/>
        </w:rPr>
        <w:t>KPI 1: Cost Competitiveness vs Market (Historical Cost Position)</w:t>
      </w:r>
    </w:p>
    <w:p>
      <w:pPr>
        <w:spacing w:after="80"/>
      </w:pPr>
      <w:r>
        <w:rPr>
          <w:rFonts w:ascii="Calibri" w:hAnsi="Calibri"/>
          <w:b/>
          <w:color w:val="1E1E1E"/>
          <w:sz w:val="22"/>
        </w:rPr>
        <w:t xml:space="preserve">Business Purpose: </w:t>
      </w:r>
      <w:r>
        <w:rPr>
          <w:rFonts w:ascii="Calibri" w:hAnsi="Calibri"/>
          <w:color w:val="282828"/>
          <w:sz w:val="22"/>
        </w:rPr>
        <w:t>Measures how expensive or cheap a vendor's historical Net Landed Cost (NLC) is compared to the overall market benchmark for the same fabric composition.</w:t>
      </w:r>
    </w:p>
    <w:p>
      <w:pPr>
        <w:spacing w:after="80"/>
      </w:pPr>
      <w:r>
        <w:rPr>
          <w:rFonts w:ascii="Calibri" w:hAnsi="Calibri"/>
          <w:b/>
          <w:color w:val="1E1E1E"/>
          <w:sz w:val="22"/>
        </w:rPr>
        <w:t xml:space="preserve">Formula: </w:t>
      </w:r>
      <w:r>
        <w:rPr>
          <w:rFonts w:ascii="Calibri" w:hAnsi="Calibri"/>
          <w:color w:val="282828"/>
          <w:sz w:val="22"/>
        </w:rPr>
        <w:t>Cost Variance % = [(Vendor Mean NLC - Category Mean NLC) / Category Mean NLC] * 100</w:t>
      </w:r>
    </w:p>
    <w:p>
      <w:pPr>
        <w:spacing w:after="80"/>
      </w:pPr>
      <w:r>
        <w:rPr>
          <w:rFonts w:ascii="Calibri" w:hAnsi="Calibri"/>
          <w:b/>
          <w:color w:val="1E1E1E"/>
          <w:sz w:val="22"/>
        </w:rPr>
        <w:t xml:space="preserve">Sample Data Step-by-Step Example: </w:t>
      </w:r>
      <w:r>
        <w:rPr>
          <w:rFonts w:ascii="Calibri" w:hAnsi="Calibri"/>
          <w:color w:val="282828"/>
          <w:sz w:val="22"/>
        </w:rPr>
        <w:t>Consider vendor Raymond Luxury Cottons Ltd for 100% Cotton 60s Count:</w:t>
      </w:r>
    </w:p>
    <w:p>
      <w:pPr>
        <w:spacing w:after="80"/>
      </w:pPr>
      <w:r>
        <w:rPr>
          <w:rFonts w:ascii="Calibri" w:hAnsi="Calibri"/>
          <w:color w:val="282828"/>
          <w:sz w:val="22"/>
        </w:rPr>
        <w:t>Step 1 (Extract Vendor PO Prices): Raymond has 3 historical Purchase Orders in Vendor Master: PO1 = Rs. 420.00, PO2 = Rs. 450.00, PO3 = Rs. 486.18.</w:t>
      </w:r>
    </w:p>
    <w:p>
      <w:pPr>
        <w:spacing w:after="80"/>
      </w:pPr>
      <w:r>
        <w:rPr>
          <w:rFonts w:ascii="Calibri" w:hAnsi="Calibri"/>
          <w:color w:val="282828"/>
          <w:sz w:val="22"/>
        </w:rPr>
        <w:t>Step 2 (Calculate Vendor Mean NLC): Raymond Mean = (420 + 450 + 486.18) / 3 = Rs. 452.06 per meter.</w:t>
      </w:r>
    </w:p>
    <w:p>
      <w:pPr>
        <w:spacing w:after="80"/>
      </w:pPr>
      <w:r>
        <w:rPr>
          <w:rFonts w:ascii="Calibri" w:hAnsi="Calibri"/>
          <w:color w:val="282828"/>
          <w:sz w:val="22"/>
        </w:rPr>
        <w:t>Step 3 (Extract Category Benchmark): Average NLC of ALL suppliers in Vendor Master offering 100% Cotton = Rs. 730.00 per meter.</w:t>
      </w:r>
    </w:p>
    <w:p>
      <w:pPr>
        <w:spacing w:after="80"/>
      </w:pPr>
      <w:r>
        <w:rPr>
          <w:rFonts w:ascii="Calibri" w:hAnsi="Calibri"/>
          <w:color w:val="282828"/>
          <w:sz w:val="22"/>
        </w:rPr>
        <w:t>Step 4 (Apply Formula): Variance % = [(452.06 - 730.00) / 730.00] * 100 = (-277.94 / 730.00) * 100 = -38.07% (approx -38.1%).</w:t>
      </w:r>
    </w:p>
    <w:p>
      <w:pPr>
        <w:spacing w:after="80"/>
      </w:pPr>
      <w:r>
        <w:rPr>
          <w:rFonts w:ascii="Calibri" w:hAnsi="Calibri"/>
          <w:color w:val="282828"/>
          <w:sz w:val="22"/>
        </w:rPr>
        <w:t>Step 5 (Interpretation): Raymond is 38.1% cheaper than the market average for this fabric category.</w:t>
      </w:r>
    </w:p>
    <w:p>
      <w:pPr>
        <w:spacing w:after="80"/>
      </w:pPr>
      <w:r>
        <w:rPr>
          <w:rFonts w:ascii="Calibri" w:hAnsi="Calibri"/>
          <w:b/>
          <w:color w:val="1E1E1E"/>
          <w:sz w:val="22"/>
        </w:rPr>
        <w:t xml:space="preserve">Threshold Rules: </w:t>
      </w:r>
      <w:r>
        <w:rPr>
          <w:rFonts w:ascii="Calibri" w:hAnsi="Calibri"/>
          <w:color w:val="282828"/>
          <w:sz w:val="22"/>
        </w:rPr>
        <w:t>Variance &lt; -4%  --&gt; Green: Competitive (Cheaper than market)</w:t>
        <w:br/>
        <w:t>-4% &lt;= Variance &lt;= +4% --&gt; Yellow: Market Aligned</w:t>
        <w:br/>
        <w:t>Variance &gt; +4%  --&gt; Red: Premium (Above market average - Target for negotiation)</w:t>
      </w:r>
    </w:p>
    <w:p>
      <w:pPr>
        <w:spacing w:before="200" w:after="80"/>
      </w:pPr>
      <w:r>
        <w:rPr>
          <w:rFonts w:ascii="Calibri" w:hAnsi="Calibri"/>
          <w:b/>
          <w:color w:val="B42828"/>
          <w:sz w:val="26"/>
        </w:rPr>
        <w:t>KPI 2: Historical Price Volatility Risk (Price Stability Index - CV %)</w:t>
      </w:r>
    </w:p>
    <w:p>
      <w:pPr>
        <w:spacing w:after="80"/>
      </w:pPr>
      <w:r>
        <w:rPr>
          <w:rFonts w:ascii="Calibri" w:hAnsi="Calibri"/>
          <w:b/>
          <w:color w:val="1E1E1E"/>
          <w:sz w:val="22"/>
        </w:rPr>
        <w:t xml:space="preserve">Business Purpose: </w:t>
      </w:r>
      <w:r>
        <w:rPr>
          <w:rFonts w:ascii="Calibri" w:hAnsi="Calibri"/>
          <w:color w:val="282828"/>
          <w:sz w:val="22"/>
        </w:rPr>
        <w:t>Measures price fluctuation and unpredictability across historical Purchase Orders for a vendor. A high variation indicates price instability and budget risk.</w:t>
      </w:r>
    </w:p>
    <w:p>
      <w:pPr>
        <w:spacing w:after="80"/>
      </w:pPr>
      <w:r>
        <w:rPr>
          <w:rFonts w:ascii="Calibri" w:hAnsi="Calibri"/>
          <w:b/>
          <w:color w:val="1E1E1E"/>
          <w:sz w:val="22"/>
        </w:rPr>
        <w:t xml:space="preserve">Formula: </w:t>
      </w:r>
      <w:r>
        <w:rPr>
          <w:rFonts w:ascii="Calibri" w:hAnsi="Calibri"/>
          <w:color w:val="282828"/>
          <w:sz w:val="22"/>
        </w:rPr>
        <w:t>Coefficient of Variation (CV %) = (Standard Deviation of Vendor NLC / Mean of Vendor NLC) * 100</w:t>
      </w:r>
    </w:p>
    <w:p>
      <w:pPr>
        <w:spacing w:after="80"/>
      </w:pPr>
      <w:r>
        <w:rPr>
          <w:rFonts w:ascii="Calibri" w:hAnsi="Calibri"/>
          <w:b/>
          <w:color w:val="1E1E1E"/>
          <w:sz w:val="22"/>
        </w:rPr>
        <w:t xml:space="preserve">Sample Data Step-by-Step Example: </w:t>
      </w:r>
      <w:r>
        <w:rPr>
          <w:rFonts w:ascii="Calibri" w:hAnsi="Calibri"/>
          <w:color w:val="282828"/>
          <w:sz w:val="22"/>
        </w:rPr>
        <w:t>Using Raymond's 3 historical PO prices: PO1 = Rs. 340.00, PO2 = Rs. 419.00, PO3 = Rs. 597.18:</w:t>
      </w:r>
    </w:p>
    <w:p>
      <w:pPr>
        <w:spacing w:after="80"/>
      </w:pPr>
      <w:r>
        <w:rPr>
          <w:rFonts w:ascii="Calibri" w:hAnsi="Calibri"/>
          <w:color w:val="282828"/>
          <w:sz w:val="22"/>
        </w:rPr>
        <w:t>Step 1 (Calculate Mean mu): (340 + 419 + 597.18) / 3 = Rs. 452.06 per meter.</w:t>
      </w:r>
    </w:p>
    <w:p>
      <w:pPr>
        <w:spacing w:after="80"/>
      </w:pPr>
      <w:r>
        <w:rPr>
          <w:rFonts w:ascii="Calibri" w:hAnsi="Calibri"/>
          <w:color w:val="282828"/>
          <w:sz w:val="22"/>
        </w:rPr>
        <w:t>Step 2 (Calculate Deviations from Mean): (340 - 452.06)^2 = 12,557.44 | (419 - 452.06)^2 = 1,092.96 | (597.18 - 452.06)^2 = 21,059.81.</w:t>
      </w:r>
    </w:p>
    <w:p>
      <w:pPr>
        <w:spacing w:after="80"/>
      </w:pPr>
      <w:r>
        <w:rPr>
          <w:rFonts w:ascii="Calibri" w:hAnsi="Calibri"/>
          <w:color w:val="282828"/>
          <w:sz w:val="22"/>
        </w:rPr>
        <w:t>Step 3 (Calculate Sample Variance s^2): (12,557.44 + 1,092.96 + 21,059.81) / (3 - 1) = 34,710.21 / 2 = 17,355.10.</w:t>
      </w:r>
    </w:p>
    <w:p>
      <w:pPr>
        <w:spacing w:after="80"/>
      </w:pPr>
      <w:r>
        <w:rPr>
          <w:rFonts w:ascii="Calibri" w:hAnsi="Calibri"/>
          <w:color w:val="282828"/>
          <w:sz w:val="22"/>
        </w:rPr>
        <w:t>Step 4 (Calculate Standard Deviation sigma): Square Root of 17,355.10 = Rs. 131.74 per meter.</w:t>
      </w:r>
    </w:p>
    <w:p>
      <w:pPr>
        <w:spacing w:after="80"/>
      </w:pPr>
      <w:r>
        <w:rPr>
          <w:rFonts w:ascii="Calibri" w:hAnsi="Calibri"/>
          <w:color w:val="282828"/>
          <w:sz w:val="22"/>
        </w:rPr>
        <w:t>Step 5 (Apply Formula): CV % = (131.74 / 452.06) * 100 = 29.14% (approx 29.1% High Volatility).</w:t>
      </w:r>
    </w:p>
    <w:p>
      <w:pPr>
        <w:spacing w:after="80"/>
      </w:pPr>
      <w:r>
        <w:rPr>
          <w:rFonts w:ascii="Calibri" w:hAnsi="Calibri"/>
          <w:b/>
          <w:color w:val="1E1E1E"/>
          <w:sz w:val="22"/>
        </w:rPr>
        <w:t xml:space="preserve">Threshold Rules: </w:t>
      </w:r>
      <w:r>
        <w:rPr>
          <w:rFonts w:ascii="Calibri" w:hAnsi="Calibri"/>
          <w:color w:val="282828"/>
          <w:sz w:val="22"/>
        </w:rPr>
        <w:t>CV &lt; 5%  --&gt; Green: High Price Stability (Consistent pricing)</w:t>
        <w:br/>
        <w:t>5% &lt;= CV &lt; 12% --&gt; Yellow: Moderate Price Fluctuation</w:t>
        <w:br/>
        <w:t>CV &gt;= 12% --&gt; Red: High Fluctuation / Price Volatility Risk</w:t>
      </w:r>
    </w:p>
    <w:p>
      <w:pPr>
        <w:spacing w:before="200" w:after="80"/>
      </w:pPr>
      <w:r>
        <w:rPr>
          <w:rFonts w:ascii="Calibri" w:hAnsi="Calibri"/>
          <w:b/>
          <w:color w:val="B42828"/>
          <w:sz w:val="26"/>
        </w:rPr>
        <w:t>KPI 3: Product Range Specialization (Portfolio Versatility)</w:t>
      </w:r>
    </w:p>
    <w:p>
      <w:pPr>
        <w:spacing w:after="80"/>
      </w:pPr>
      <w:r>
        <w:rPr>
          <w:rFonts w:ascii="Calibri" w:hAnsi="Calibri"/>
          <w:b/>
          <w:color w:val="1E1E1E"/>
          <w:sz w:val="22"/>
        </w:rPr>
        <w:t xml:space="preserve">Business Purpose: </w:t>
      </w:r>
      <w:r>
        <w:rPr>
          <w:rFonts w:ascii="Calibri" w:hAnsi="Calibri"/>
          <w:color w:val="282828"/>
          <w:sz w:val="22"/>
        </w:rPr>
        <w:t>Evaluates whether a vendor is a broad multi-category supplier or a focused specialist mill.</w:t>
      </w:r>
    </w:p>
    <w:p>
      <w:pPr>
        <w:spacing w:after="80"/>
      </w:pPr>
      <w:r>
        <w:rPr>
          <w:rFonts w:ascii="Calibri" w:hAnsi="Calibri"/>
          <w:b/>
          <w:color w:val="1E1E1E"/>
          <w:sz w:val="22"/>
        </w:rPr>
        <w:t xml:space="preserve">Formula: </w:t>
      </w:r>
      <w:r>
        <w:rPr>
          <w:rFonts w:ascii="Calibri" w:hAnsi="Calibri"/>
          <w:color w:val="282828"/>
          <w:sz w:val="22"/>
        </w:rPr>
        <w:t>Count of unique product lines supplied by the vendor in Vendor Master.</w:t>
      </w:r>
    </w:p>
    <w:p>
      <w:pPr>
        <w:spacing w:after="80"/>
      </w:pPr>
      <w:r>
        <w:rPr>
          <w:rFonts w:ascii="Calibri" w:hAnsi="Calibri"/>
          <w:b/>
          <w:color w:val="1E1E1E"/>
          <w:sz w:val="22"/>
        </w:rPr>
        <w:t xml:space="preserve">Threshold Rules: </w:t>
      </w:r>
      <w:r>
        <w:rPr>
          <w:rFonts w:ascii="Calibri" w:hAnsi="Calibri"/>
          <w:color w:val="282828"/>
          <w:sz w:val="22"/>
        </w:rPr>
        <w:t>&gt;= 3 Product Lines --&gt; Green: Broad Category Supplier</w:t>
        <w:br/>
        <w:t>&lt; 3 Product Lines --&gt; Yellow: Specialized Supplier (Focused mill)</w:t>
      </w:r>
    </w:p>
    <w:p>
      <w:pPr>
        <w:spacing w:before="200" w:after="80"/>
      </w:pPr>
      <w:r>
        <w:rPr>
          <w:rFonts w:ascii="Calibri" w:hAnsi="Calibri"/>
          <w:b/>
          <w:color w:val="B42828"/>
          <w:sz w:val="26"/>
        </w:rPr>
        <w:t>KPI 4: Vendor Strategic Rating (Vendor Classification)</w:t>
      </w:r>
    </w:p>
    <w:p>
      <w:pPr>
        <w:spacing w:after="80"/>
      </w:pPr>
      <w:r>
        <w:rPr>
          <w:rFonts w:ascii="Calibri" w:hAnsi="Calibri"/>
          <w:b/>
          <w:color w:val="1E1E1E"/>
          <w:sz w:val="22"/>
        </w:rPr>
        <w:t xml:space="preserve">Business Purpose: </w:t>
      </w:r>
      <w:r>
        <w:rPr>
          <w:rFonts w:ascii="Calibri" w:hAnsi="Calibri"/>
          <w:color w:val="282828"/>
          <w:sz w:val="22"/>
        </w:rPr>
        <w:t>Combines Cost Position and Price Volatility into a single strategic tier rating.</w:t>
      </w:r>
    </w:p>
    <w:p>
      <w:pPr>
        <w:spacing w:after="80"/>
      </w:pPr>
      <w:r>
        <w:rPr>
          <w:rFonts w:ascii="Calibri" w:hAnsi="Calibri"/>
          <w:b/>
          <w:color w:val="1E1E1E"/>
          <w:sz w:val="22"/>
        </w:rPr>
        <w:t xml:space="preserve">Classification Matrix: </w:t>
      </w:r>
      <w:r>
        <w:rPr>
          <w:rFonts w:ascii="Calibri" w:hAnsi="Calibri"/>
          <w:color w:val="282828"/>
          <w:sz w:val="22"/>
        </w:rPr>
        <w:t>Tier 1 Preferred Supplier: Cheaper (Variance &lt; -4%) AND High Stability (CV &lt; 12%).</w:t>
        <w:br/>
        <w:t>Tier 2 (Renegotiation Target): Premium Cost (Variance &gt; +4%).</w:t>
        <w:br/>
        <w:t>Tier 2 Commercial Supplier: Market Aligned OR Cheaper but Volatile (CV &gt;= 12%).</w:t>
      </w:r>
    </w:p>
    <w:p>
      <w:pPr>
        <w:spacing w:before="280" w:after="120"/>
      </w:pPr>
      <w:r>
        <w:rPr>
          <w:rFonts w:ascii="Calibri" w:hAnsi="Calibri"/>
          <w:b/>
          <w:color w:val="102C57"/>
          <w:sz w:val="32"/>
        </w:rPr>
        <w:t>3. Vendor 360 (Tech + Comm SS27 Sourcing Logics)</w:t>
      </w:r>
    </w:p>
    <w:p>
      <w:pPr>
        <w:spacing w:before="200" w:after="80"/>
      </w:pPr>
      <w:r>
        <w:rPr>
          <w:rFonts w:ascii="Calibri" w:hAnsi="Calibri"/>
          <w:b/>
          <w:color w:val="B42828"/>
          <w:sz w:val="26"/>
        </w:rPr>
        <w:t>KPI 5: SS27 Cost vs Category Benchmark (Seasonal Cost Variance %)</w:t>
      </w:r>
    </w:p>
    <w:p>
      <w:pPr>
        <w:spacing w:after="80"/>
      </w:pPr>
      <w:r>
        <w:rPr>
          <w:rFonts w:ascii="Calibri" w:hAnsi="Calibri"/>
          <w:b/>
          <w:color w:val="1E1E1E"/>
          <w:sz w:val="22"/>
        </w:rPr>
        <w:t xml:space="preserve">Business Purpose: </w:t>
      </w:r>
      <w:r>
        <w:rPr>
          <w:rFonts w:ascii="Calibri" w:hAnsi="Calibri"/>
          <w:color w:val="282828"/>
          <w:sz w:val="22"/>
        </w:rPr>
        <w:t>Measures vendor SS27 quoted NLC against all SS27 quotes in the same fabric category.</w:t>
      </w:r>
    </w:p>
    <w:p>
      <w:pPr>
        <w:spacing w:after="80"/>
      </w:pPr>
      <w:r>
        <w:rPr>
          <w:rFonts w:ascii="Calibri" w:hAnsi="Calibri"/>
          <w:b/>
          <w:color w:val="1E1E1E"/>
          <w:sz w:val="22"/>
        </w:rPr>
        <w:t xml:space="preserve">Formula: </w:t>
      </w:r>
      <w:r>
        <w:rPr>
          <w:rFonts w:ascii="Calibri" w:hAnsi="Calibri"/>
          <w:color w:val="282828"/>
          <w:sz w:val="22"/>
        </w:rPr>
        <w:t>SS27 Cost Variance % = [(Vendor SS27 Quoted NLC - SS27 Category Benchmark NLC) / SS27 Category Benchmark NLC] * 100</w:t>
      </w:r>
    </w:p>
    <w:p>
      <w:pPr>
        <w:spacing w:after="80"/>
      </w:pPr>
      <w:r>
        <w:rPr>
          <w:rFonts w:ascii="Calibri" w:hAnsi="Calibri"/>
          <w:b/>
          <w:color w:val="1E1E1E"/>
          <w:sz w:val="22"/>
        </w:rPr>
        <w:t xml:space="preserve">Sample Data Step-by-Step Example: </w:t>
      </w:r>
      <w:r>
        <w:rPr>
          <w:rFonts w:ascii="Calibri" w:hAnsi="Calibri"/>
          <w:color w:val="282828"/>
          <w:sz w:val="22"/>
        </w:rPr>
        <w:t>Vendor Leadle Textile Co Ltd quotes Rs. 396.00/m for 60% Cotton 40% Polyester:</w:t>
      </w:r>
    </w:p>
    <w:p>
      <w:pPr>
        <w:spacing w:after="80"/>
      </w:pPr>
      <w:r>
        <w:rPr>
          <w:rFonts w:ascii="Calibri" w:hAnsi="Calibri"/>
          <w:color w:val="282828"/>
          <w:sz w:val="22"/>
        </w:rPr>
        <w:t>Step 1 (Vendor Quote): Leadle Quoted NLC = Rs. 396.00 per meter.</w:t>
      </w:r>
    </w:p>
    <w:p>
      <w:pPr>
        <w:spacing w:after="80"/>
      </w:pPr>
      <w:r>
        <w:rPr>
          <w:rFonts w:ascii="Calibri" w:hAnsi="Calibri"/>
          <w:color w:val="282828"/>
          <w:sz w:val="22"/>
        </w:rPr>
        <w:t>Step 2 (SS27 Benchmark): Average of ALL SS27 quotes for 60% Cotton 40% Polyester = Rs. 294.64 per meter.</w:t>
      </w:r>
    </w:p>
    <w:p>
      <w:pPr>
        <w:spacing w:after="80"/>
      </w:pPr>
      <w:r>
        <w:rPr>
          <w:rFonts w:ascii="Calibri" w:hAnsi="Calibri"/>
          <w:color w:val="282828"/>
          <w:sz w:val="22"/>
        </w:rPr>
        <w:t>Step 3 (Apply Formula): Variance % = [(396.00 - 294.64) / 294.64] * 100 = (101.36 / 294.64) * 100 = +34.40% (approx +34.4%).</w:t>
      </w:r>
    </w:p>
    <w:p>
      <w:pPr>
        <w:spacing w:after="80"/>
      </w:pPr>
      <w:r>
        <w:rPr>
          <w:rFonts w:ascii="Calibri" w:hAnsi="Calibri"/>
          <w:color w:val="282828"/>
          <w:sz w:val="22"/>
        </w:rPr>
        <w:t>Step 4 (Interpretation): Leadle quote is 34.4% above category benchmark (Premium cost).</w:t>
      </w:r>
    </w:p>
    <w:p>
      <w:pPr>
        <w:spacing w:after="80"/>
      </w:pPr>
      <w:r>
        <w:rPr>
          <w:rFonts w:ascii="Calibri" w:hAnsi="Calibri"/>
          <w:b/>
          <w:color w:val="1E1E1E"/>
          <w:sz w:val="22"/>
        </w:rPr>
        <w:t xml:space="preserve">Threshold Rules: </w:t>
      </w:r>
      <w:r>
        <w:rPr>
          <w:rFonts w:ascii="Calibri" w:hAnsi="Calibri"/>
          <w:color w:val="282828"/>
          <w:sz w:val="22"/>
        </w:rPr>
        <w:t>Variance &lt; -3%  --&gt; Green: Best-in-Class Cost (Cheaper than SS27 average)</w:t>
        <w:br/>
        <w:t>-3% &lt;= Variance &lt;= +3% --&gt; Yellow: Market Competitive</w:t>
        <w:br/>
        <w:t>Variance &gt; +3%  --&gt; Red: Premium Cost (Target for price renegotiation)</w:t>
      </w:r>
    </w:p>
    <w:p>
      <w:pPr>
        <w:spacing w:before="200" w:after="80"/>
      </w:pPr>
      <w:r>
        <w:rPr>
          <w:rFonts w:ascii="Calibri" w:hAnsi="Calibri"/>
          <w:b/>
          <w:color w:val="B42828"/>
          <w:sz w:val="26"/>
        </w:rPr>
        <w:t>KPI 6: Minimum Order Quantity (MOQ) Risk</w:t>
      </w:r>
    </w:p>
    <w:p>
      <w:pPr>
        <w:spacing w:after="80"/>
      </w:pPr>
      <w:r>
        <w:rPr>
          <w:rFonts w:ascii="Calibri" w:hAnsi="Calibri"/>
          <w:b/>
          <w:color w:val="1E1E1E"/>
          <w:sz w:val="22"/>
        </w:rPr>
        <w:t xml:space="preserve">Business Purpose: </w:t>
      </w:r>
      <w:r>
        <w:rPr>
          <w:rFonts w:ascii="Calibri" w:hAnsi="Calibri"/>
          <w:color w:val="282828"/>
          <w:sz w:val="22"/>
        </w:rPr>
        <w:t>Evaluates inventory commitment risk required by vendor MOQ.</w:t>
      </w:r>
    </w:p>
    <w:p>
      <w:pPr>
        <w:spacing w:after="80"/>
      </w:pPr>
      <w:r>
        <w:rPr>
          <w:rFonts w:ascii="Calibri" w:hAnsi="Calibri"/>
          <w:b/>
          <w:color w:val="1E1E1E"/>
          <w:sz w:val="22"/>
        </w:rPr>
        <w:t xml:space="preserve">Threshold Rules: </w:t>
      </w:r>
      <w:r>
        <w:rPr>
          <w:rFonts w:ascii="Calibri" w:hAnsi="Calibri"/>
          <w:color w:val="282828"/>
          <w:sz w:val="22"/>
        </w:rPr>
        <w:t>MOQ &lt;= 1,000m  --&gt; Green: Low Volume Risk (High sampling flexibility)</w:t>
        <w:br/>
        <w:t>1,001m to 5,000m --&gt; Yellow: Medium Volume Risk (Standard production batch)</w:t>
        <w:br/>
        <w:t>MOQ &gt; 5,000m   --&gt; Red: High Volume Risk (High inventory commitment)</w:t>
      </w:r>
    </w:p>
    <w:p>
      <w:pPr>
        <w:spacing w:before="200" w:after="80"/>
      </w:pPr>
      <w:r>
        <w:rPr>
          <w:rFonts w:ascii="Calibri" w:hAnsi="Calibri"/>
          <w:b/>
          <w:color w:val="B42828"/>
          <w:sz w:val="26"/>
        </w:rPr>
        <w:t>KPI 7: Production Lead Time Agility</w:t>
      </w:r>
    </w:p>
    <w:p>
      <w:pPr>
        <w:spacing w:after="80"/>
      </w:pPr>
      <w:r>
        <w:rPr>
          <w:rFonts w:ascii="Calibri" w:hAnsi="Calibri"/>
          <w:b/>
          <w:color w:val="1E1E1E"/>
          <w:sz w:val="22"/>
        </w:rPr>
        <w:t xml:space="preserve">Business Purpose: </w:t>
      </w:r>
      <w:r>
        <w:rPr>
          <w:rFonts w:ascii="Calibri" w:hAnsi="Calibri"/>
          <w:color w:val="282828"/>
          <w:sz w:val="22"/>
        </w:rPr>
        <w:t>Evaluates supplier execution turnaround speed in ex-mill dispatch days.</w:t>
      </w:r>
    </w:p>
    <w:p>
      <w:pPr>
        <w:spacing w:after="80"/>
      </w:pPr>
      <w:r>
        <w:rPr>
          <w:rFonts w:ascii="Calibri" w:hAnsi="Calibri"/>
          <w:b/>
          <w:color w:val="1E1E1E"/>
          <w:sz w:val="22"/>
        </w:rPr>
        <w:t xml:space="preserve">Threshold Rules: </w:t>
      </w:r>
      <w:r>
        <w:rPr>
          <w:rFonts w:ascii="Calibri" w:hAnsi="Calibri"/>
          <w:color w:val="282828"/>
          <w:sz w:val="22"/>
        </w:rPr>
        <w:t>Lead Time &lt;= 45 Days --&gt; Green: Fast Turnaround (Ideal for chase / fast fashion)</w:t>
        <w:br/>
        <w:t>46 to 75 Days       --&gt; Yellow: Standard Turnaround (e.g. 65 Days)</w:t>
        <w:br/>
        <w:t>Lead Time &gt; 75 Days  --&gt; Red: Long Lead Time (Requires early planning)</w:t>
      </w:r>
    </w:p>
    <w:p>
      <w:pPr>
        <w:spacing w:before="200" w:after="80"/>
      </w:pPr>
      <w:r>
        <w:rPr>
          <w:rFonts w:ascii="Calibri" w:hAnsi="Calibri"/>
          <w:b/>
          <w:color w:val="B42828"/>
          <w:sz w:val="26"/>
        </w:rPr>
        <w:t>KPI 8: SS27 Strategic Sourcing Action</w:t>
      </w:r>
    </w:p>
    <w:p>
      <w:pPr>
        <w:spacing w:after="80"/>
      </w:pPr>
      <w:r>
        <w:rPr>
          <w:rFonts w:ascii="Calibri" w:hAnsi="Calibri"/>
          <w:b/>
          <w:color w:val="1E1E1E"/>
          <w:sz w:val="22"/>
        </w:rPr>
        <w:t xml:space="preserve">Business Purpose: </w:t>
      </w:r>
      <w:r>
        <w:rPr>
          <w:rFonts w:ascii="Calibri" w:hAnsi="Calibri"/>
          <w:color w:val="282828"/>
          <w:sz w:val="22"/>
        </w:rPr>
        <w:t>Automated action recommendation for SS27 volume allocation.</w:t>
      </w:r>
    </w:p>
    <w:p>
      <w:pPr>
        <w:spacing w:after="80"/>
      </w:pPr>
      <w:r>
        <w:rPr>
          <w:rFonts w:ascii="Calibri" w:hAnsi="Calibri"/>
          <w:b/>
          <w:color w:val="1E1E1E"/>
          <w:sz w:val="22"/>
        </w:rPr>
        <w:t xml:space="preserve">Action Rules: </w:t>
      </w:r>
      <w:r>
        <w:rPr>
          <w:rFonts w:ascii="Calibri" w:hAnsi="Calibri"/>
          <w:color w:val="282828"/>
          <w:sz w:val="22"/>
        </w:rPr>
        <w:t>SS27 Preferred Partner: Best Cost (Variance &lt; -3%) AND Lead Time &lt;= 60 Days.</w:t>
        <w:br/>
        <w:t>Price Negotiation Required: Premium Cost (Variance &gt; +3%).</w:t>
        <w:br/>
        <w:t>Core SS27 Supplier: Market Competitive Pricing.</w:t>
      </w:r>
    </w:p>
    <w:p>
      <w:pPr>
        <w:spacing w:before="280" w:after="120"/>
      </w:pPr>
      <w:r>
        <w:rPr>
          <w:rFonts w:ascii="Calibri" w:hAnsi="Calibri"/>
          <w:b/>
          <w:color w:val="102C57"/>
          <w:sz w:val="32"/>
        </w:rPr>
        <w:t>4. Fibre Market Intelligence Logics</w:t>
      </w:r>
    </w:p>
    <w:p>
      <w:pPr>
        <w:spacing w:before="200" w:after="80"/>
      </w:pPr>
      <w:r>
        <w:rPr>
          <w:rFonts w:ascii="Calibri" w:hAnsi="Calibri"/>
          <w:b/>
          <w:color w:val="B42828"/>
          <w:sz w:val="26"/>
        </w:rPr>
        <w:t>KPI 9: 52-Week Percentile Rank &amp; Recommended Buying Action</w:t>
      </w:r>
    </w:p>
    <w:p>
      <w:pPr>
        <w:spacing w:after="80"/>
      </w:pPr>
      <w:r>
        <w:rPr>
          <w:rFonts w:ascii="Calibri" w:hAnsi="Calibri"/>
          <w:b/>
          <w:color w:val="1E1E1E"/>
          <w:sz w:val="22"/>
        </w:rPr>
        <w:t xml:space="preserve">Business Purpose: </w:t>
      </w:r>
      <w:r>
        <w:rPr>
          <w:rFonts w:ascii="Calibri" w:hAnsi="Calibri"/>
          <w:color w:val="282828"/>
          <w:sz w:val="22"/>
        </w:rPr>
        <w:t>Positions current commodity price within its 12-month trading range to issue automated buying action signals.</w:t>
      </w:r>
    </w:p>
    <w:p>
      <w:pPr>
        <w:spacing w:after="80"/>
      </w:pPr>
      <w:r>
        <w:rPr>
          <w:rFonts w:ascii="Calibri" w:hAnsi="Calibri"/>
          <w:b/>
          <w:color w:val="1E1E1E"/>
          <w:sz w:val="22"/>
        </w:rPr>
        <w:t xml:space="preserve">Formula: </w:t>
      </w:r>
      <w:r>
        <w:rPr>
          <w:rFonts w:ascii="Calibri" w:hAnsi="Calibri"/>
          <w:color w:val="282828"/>
          <w:sz w:val="22"/>
        </w:rPr>
        <w:t>Percentile Rank = [(Current Price - 52_Wk_Min) / (52_Wk_Max - 52_Wk_Min)] * 100</w:t>
      </w:r>
    </w:p>
    <w:p>
      <w:pPr>
        <w:spacing w:after="80"/>
      </w:pPr>
      <w:r>
        <w:rPr>
          <w:rFonts w:ascii="Calibri" w:hAnsi="Calibri"/>
          <w:b/>
          <w:color w:val="1E1E1E"/>
          <w:sz w:val="22"/>
        </w:rPr>
        <w:t xml:space="preserve">Sample Data Step-by-Step Example: </w:t>
      </w:r>
      <w:r>
        <w:rPr>
          <w:rFonts w:ascii="Calibri" w:hAnsi="Calibri"/>
          <w:color w:val="282828"/>
          <w:sz w:val="22"/>
        </w:rPr>
        <w:t>US Upland Cotton 52-Week Trading Data:</w:t>
      </w:r>
    </w:p>
    <w:p>
      <w:pPr>
        <w:spacing w:after="80"/>
      </w:pPr>
      <w:r>
        <w:rPr>
          <w:rFonts w:ascii="Calibri" w:hAnsi="Calibri"/>
          <w:color w:val="282828"/>
          <w:sz w:val="22"/>
        </w:rPr>
        <w:t>Step 1 (Extract Prices): 52-Week Low = Rs. 55,755 / Candy | 52-Week High = Rs. 66,158 / Candy | Current Price = Rs. 57,334 / Candy.</w:t>
      </w:r>
    </w:p>
    <w:p>
      <w:pPr>
        <w:spacing w:after="80"/>
      </w:pPr>
      <w:r>
        <w:rPr>
          <w:rFonts w:ascii="Calibri" w:hAnsi="Calibri"/>
          <w:color w:val="282828"/>
          <w:sz w:val="22"/>
        </w:rPr>
        <w:t>Step 2 (Calculate Trading Range): 66,158 - 55,755 = Rs. 10,403 / Candy.</w:t>
      </w:r>
    </w:p>
    <w:p>
      <w:pPr>
        <w:spacing w:after="80"/>
      </w:pPr>
      <w:r>
        <w:rPr>
          <w:rFonts w:ascii="Calibri" w:hAnsi="Calibri"/>
          <w:color w:val="282828"/>
          <w:sz w:val="22"/>
        </w:rPr>
        <w:t>Step 3 (Calculate Current Distance): 57,334 - 55,755 = Rs. 1,579 / Candy.</w:t>
      </w:r>
    </w:p>
    <w:p>
      <w:pPr>
        <w:spacing w:after="80"/>
      </w:pPr>
      <w:r>
        <w:rPr>
          <w:rFonts w:ascii="Calibri" w:hAnsi="Calibri"/>
          <w:color w:val="282828"/>
          <w:sz w:val="22"/>
        </w:rPr>
        <w:t>Step 4 (Apply Formula): Percentile Rank = (1,579 / 10,403) * 100 = 15.17% (approx 15th Percentile).</w:t>
      </w:r>
    </w:p>
    <w:p>
      <w:pPr>
        <w:spacing w:after="80"/>
      </w:pPr>
      <w:r>
        <w:rPr>
          <w:rFonts w:ascii="Calibri" w:hAnsi="Calibri"/>
          <w:color w:val="282828"/>
          <w:sz w:val="22"/>
        </w:rPr>
        <w:t>Step 5 (Buying Signal): Since 15% &lt;= 35%, trigger Green: LOCK CONTRACTS (Bargain buying window).</w:t>
      </w:r>
    </w:p>
    <w:p>
      <w:pPr>
        <w:spacing w:after="80"/>
      </w:pPr>
      <w:r>
        <w:rPr>
          <w:rFonts w:ascii="Calibri" w:hAnsi="Calibri"/>
          <w:b/>
          <w:color w:val="1E1E1E"/>
          <w:sz w:val="22"/>
        </w:rPr>
        <w:t xml:space="preserve">Buying Action Rules: </w:t>
      </w:r>
      <w:r>
        <w:rPr>
          <w:rFonts w:ascii="Calibri" w:hAnsi="Calibri"/>
          <w:color w:val="282828"/>
          <w:sz w:val="22"/>
        </w:rPr>
        <w:t>Percentile &lt;= 35% --&gt; Green: LOCK CONTRACTS (Buy signal - Bottom of price curve)</w:t>
        <w:br/>
        <w:t>35% &lt; Percentile &lt; 70% --&gt; Yellow: SPOT BUYING (Normal trading band)</w:t>
        <w:br/>
        <w:t>Percentile &gt;= 70% --&gt; Red: HOLD BULK POs (Hold signal - Near 12-month high)</w:t>
      </w:r>
    </w:p>
    <w:p>
      <w:pPr>
        <w:spacing w:before="280" w:after="120"/>
      </w:pPr>
      <w:r>
        <w:rPr>
          <w:rFonts w:ascii="Calibri" w:hAnsi="Calibri"/>
          <w:b/>
          <w:color w:val="102C57"/>
          <w:sz w:val="32"/>
        </w:rPr>
        <w:t>5. Decision Center Composite Commercial Score</w:t>
      </w:r>
    </w:p>
    <w:p>
      <w:pPr>
        <w:spacing w:before="200" w:after="80"/>
      </w:pPr>
      <w:r>
        <w:rPr>
          <w:rFonts w:ascii="Calibri" w:hAnsi="Calibri"/>
          <w:b/>
          <w:color w:val="B42828"/>
          <w:sz w:val="26"/>
        </w:rPr>
        <w:t>KPI 10: Composite Commercial Decision Score (0 - 100)</w:t>
      </w:r>
    </w:p>
    <w:p>
      <w:pPr>
        <w:spacing w:after="80"/>
      </w:pPr>
      <w:r>
        <w:rPr>
          <w:rFonts w:ascii="Calibri" w:hAnsi="Calibri"/>
          <w:b/>
          <w:color w:val="1E1E1E"/>
          <w:sz w:val="22"/>
        </w:rPr>
        <w:t xml:space="preserve">Business Purpose: </w:t>
      </w:r>
      <w:r>
        <w:rPr>
          <w:rFonts w:ascii="Calibri" w:hAnsi="Calibri"/>
          <w:color w:val="282828"/>
          <w:sz w:val="22"/>
        </w:rPr>
        <w:t>Combines Cost, Lead Time, MOQ, and Price Stability into a single headline supplier score out of 100 for side-by-side vendor ranking.</w:t>
      </w:r>
    </w:p>
    <w:p>
      <w:pPr>
        <w:spacing w:after="80"/>
      </w:pPr>
      <w:r>
        <w:rPr>
          <w:rFonts w:ascii="Calibri" w:hAnsi="Calibri"/>
          <w:b/>
          <w:color w:val="1E1E1E"/>
          <w:sz w:val="22"/>
        </w:rPr>
        <w:t xml:space="preserve">Formula: </w:t>
      </w:r>
      <w:r>
        <w:rPr>
          <w:rFonts w:ascii="Calibri" w:hAnsi="Calibri"/>
          <w:color w:val="282828"/>
          <w:sz w:val="22"/>
        </w:rPr>
        <w:t>Commercial Score = (0.40 * CostScore) + (0.25 * LeadTimeScore) + (0.15 * MOQScore) + (0.20 * StabilityScore)</w:t>
      </w:r>
    </w:p>
    <w:p>
      <w:pPr>
        <w:spacing w:after="80"/>
      </w:pPr>
      <w:r>
        <w:rPr>
          <w:rFonts w:ascii="Calibri" w:hAnsi="Calibri"/>
          <w:color w:val="282828"/>
          <w:sz w:val="22"/>
        </w:rPr>
        <w:t>Vendor Evaluation Parameters:</w:t>
        <w:br/>
        <w:t>CostScore = 100 if Variance &lt; -3%, 70 if Aligned, 30 if Premium.</w:t>
        <w:br/>
        <w:t>LeadTimeScore = 100 if &lt;= 45d, 70 if 46-75d, 30 if &gt; 75d.</w:t>
        <w:br/>
        <w:t>MOQScore = 100 if &lt;= 1000m, 70 if 1001-5000m, 30 if &gt; 5000m.</w:t>
        <w:br/>
        <w:t>StabilityScore = 100 if CV &lt; 5%, 70 if 5-12%, 30 if &gt; 12%.</w:t>
      </w:r>
    </w:p>
    <w:p>
      <w:pPr>
        <w:spacing w:after="80"/>
      </w:pPr>
      <w:r>
        <w:rPr>
          <w:rFonts w:ascii="Calibri" w:hAnsi="Calibri"/>
          <w:b/>
          <w:color w:val="1E1E1E"/>
          <w:sz w:val="22"/>
        </w:rPr>
        <w:t xml:space="preserve">Sample Calculation: </w:t>
      </w:r>
      <w:r>
        <w:rPr>
          <w:rFonts w:ascii="Calibri" w:hAnsi="Calibri"/>
          <w:color w:val="282828"/>
          <w:sz w:val="22"/>
        </w:rPr>
        <w:t>Supplier with Best Cost (100), Standard Lead Time (70), Standard MOQ (70), and High Stability (100):</w:t>
        <w:br/>
        <w:t>Commercial Score = (0.40 * 100) + (0.25 * 70) + (0.15 * 70) + (0.20 * 100)</w:t>
        <w:br/>
        <w:t>Commercial Score = 40 + 17.5 + 10.5 + 20 = 88.0 out of 100 (Blue: Preferred Supplier).</w:t>
      </w:r>
    </w:p>
    <w:p>
      <w:pPr>
        <w:spacing w:after="80"/>
      </w:pPr>
      <w:r>
        <w:rPr>
          <w:rFonts w:ascii="Calibri" w:hAnsi="Calibri"/>
          <w:b/>
          <w:color w:val="1E1E1E"/>
          <w:sz w:val="22"/>
        </w:rPr>
        <w:t xml:space="preserve">Score Tier Ratings: </w:t>
      </w:r>
      <w:r>
        <w:rPr>
          <w:rFonts w:ascii="Calibri" w:hAnsi="Calibri"/>
          <w:color w:val="282828"/>
          <w:sz w:val="22"/>
        </w:rPr>
        <w:t>90 to 100 --&gt; Green: Excellent Supplier</w:t>
        <w:br/>
        <w:t>75 to 89  --&gt; Blue: Preferred Supplier</w:t>
        <w:br/>
        <w:t>60 to 74  --&gt; Yellow: Approved Supplier</w:t>
        <w:br/>
        <w:t>40 to 59  --&gt; Orange: Review Required</w:t>
        <w:br/>
        <w:t>Below 40   --&gt; Red: High Commercial Risk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