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C1D18"/>
          <w:sz w:val="20"/>
          <w:szCs w:val="20"/>
        </w:rPr>
        <w:t xml:space="preserve">CVS HEALTH — NETWORK SECURITY ENGINEERING</w:t>
      </w:r>
    </w:p>
    <w:p>
      <w:pPr>
        <w:spacing w:after="100" w:before="100"/>
      </w:pPr>
      <w:r>
        <w:rPr>
          <w:b/>
          <w:bCs/>
          <w:sz w:val="30"/>
          <w:szCs w:val="30"/>
        </w:rPr>
        <w:t xml:space="preserve">Current-to-Target Policy Translation</w:t>
      </w:r>
    </w:p>
    <w:p>
      <w:pPr>
        <w:pBdr>
          <w:bottom w:val="single" w:color="8C1D18" w:sz="12" w:space="8"/>
        </w:pBdr>
        <w:spacing w:after="400"/>
      </w:pPr>
      <w:r>
        <w:rPr>
          <w:i/>
          <w:iCs/>
          <w:color w:val="5B6169"/>
          <w:sz w:val="19"/>
          <w:szCs w:val="19"/>
        </w:rPr>
        <w:t xml:space="preserve">Every confirmed object from this engagement, mapped against Target_Policy_and_Enforcement_Model.docx. Effort is a rough sizing (Low/Medium/High/Retire), not an estimate to commit to.</w:t>
      </w:r>
    </w:p>
    <w:p>
      <w:pPr>
        <w:pStyle w:val="Heading1"/>
        <w:spacing w:after="160" w:before="360"/>
      </w:pPr>
      <w:r>
        <w:t xml:space="preserve">1. Unified File Policy — Current Objects vs. Target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3500"/>
        <w:gridCol w:w="2500"/>
        <w:gridCol w:w="2900"/>
        <w:gridCol w:w="900"/>
      </w:tblGrid>
      <w:tr>
        <w:trPr>
          <w:tblHeader/>
        </w:trPr>
        <w:tc>
          <w:tcPr>
            <w:tcW w:type="dxa" w:w="23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Object</w:t>
            </w:r>
          </w:p>
        </w:tc>
        <w:tc>
          <w:tcPr>
            <w:tcW w:type="dxa" w:w="1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Environment</w:t>
            </w:r>
          </w:p>
        </w:tc>
        <w:tc>
          <w:tcPr>
            <w:tcW w:type="dxa" w:w="3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State</w:t>
            </w:r>
          </w:p>
        </w:tc>
        <w:tc>
          <w:tcPr>
            <w:tcW w:type="dxa" w:w="2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Target Requirement</w:t>
            </w:r>
          </w:p>
        </w:tc>
        <w:tc>
          <w:tcPr>
            <w:tcW w:type="dxa" w:w="2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Alert-All-SPG (File Blocking + Vuln)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AZ/RI/LV/Retail, 98.9% of rules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 Blocking present, alert-only. Vulnerability: 74% of signatures actually block by default despite the name — verified this session.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Full Unified File Policy: type-block + content-scan together, promoted actions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Rebuild file-blocking + DLP component; vulnerability component is already closer to target than assumed — verify and retain rather than rebuild</w:t>
            </w:r>
          </w:p>
        </w:tc>
        <w:tc>
          <w:tcPr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hcb_DMZ_security_profile / hcb_GLR_security_profile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Aetna, ~90% of rules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 Blocking, URL Filtering, DLP fields absent entirely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Full Unified File Policy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Build from scratch — no existing component to extend</w:t>
            </w:r>
          </w:p>
        </w:tc>
        <w:tc>
          <w:tcPr>
            <w:shd w:fill="B3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hcb_officeext_security_profile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Aetna, 111 rules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 Blocking absent; URL Filtering present but 0 categories actually blocked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Full Unified File Policy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Build from scratch</w:t>
            </w:r>
          </w:p>
        </w:tc>
        <w:tc>
          <w:tcPr>
            <w:shd w:fill="B3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SPG-PPOM-All / SPG-LV-Colo-All / SPG-LV-Colo-Exceptions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AZ/RI/LV, ~18 rules (NAB-scoped)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>File_Blocking_Best_Practice_SP (real block) + NAB's 22-pattern DLP (alert-only)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Closest existing match to target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Extend scope beyond NAB; promote MBI/SSN/PCI/HICN toward Block per burn-in schedule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Meritain-SPG-WG-General/HR/IT/Elevated-Rights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LV-COLO, Meritain-scoped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>Real file-blocking + same 22-pattern DLP, alert-only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Closest existing match to target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 decrypt alignment (Section 4 below); promote patterns on same schedule as PPOM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hcb_security_profile_grp-Aws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Aetna, 59 rules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File Blocking alert-only; URL Filtering real (11 categories)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Full Unified File Policy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Add DLP component; upgrade file-blocking to match target action set</w:t>
            </w:r>
          </w:p>
        </w:tc>
        <w:tc>
          <w:tcPr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7-pattern DLP set (workbook)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yet wired anywhere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>2 of 7 live (SSN and PCI, both via NAB, alert-only). 5 unwired.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All 7 wired per Section 2 of target model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Complete 2 patterns needing source data (Driver's License, Member ID); wire remaining 5; set actions per target model's promotion schedule</w:t>
            </w:r>
          </w:p>
        </w:tc>
        <w:tc>
          <w:tcPr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</w:tbl>
    <w:p>
      <w:pPr>
        <w:pStyle w:val="Heading1"/>
        <w:spacing w:after="160" w:before="360"/>
      </w:pPr>
      <w:r>
        <w:t xml:space="preserve">2. Content &amp; Domain-Filtering Policy — Current Objects vs. Target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3600"/>
        <w:gridCol w:w="2500"/>
        <w:gridCol w:w="2900"/>
        <w:gridCol w:w="900"/>
      </w:tblGrid>
      <w:tr>
        <w:trPr>
          <w:tblHeader/>
        </w:trPr>
        <w:tc>
          <w:tcPr>
            <w:tcW w:type="dxa" w:w="2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Object</w:t>
            </w:r>
          </w:p>
        </w:tc>
        <w:tc>
          <w:tcPr>
            <w:tcW w:type="dxa" w:w="1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Platform</w:t>
            </w:r>
          </w:p>
        </w:tc>
        <w:tc>
          <w:tcPr>
            <w:tcW w:type="dxa" w:w="3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State</w:t>
            </w:r>
          </w:p>
        </w:tc>
        <w:tc>
          <w:tcPr>
            <w:tcW w:type="dxa" w:w="2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Target Requirement</w:t>
            </w:r>
          </w:p>
        </w:tc>
        <w:tc>
          <w:tcPr>
            <w:tcW w:type="dxa" w:w="2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Effort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60 Security Policy deny rules (BlockMalicious, Imperva_destinations, etc.)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PA, all environments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Static, hand-maintained IP/domain objects. IP-based, category any.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 only under target model, native categories as default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Audit each against native PAN-DB category coverage; retain only what a category can't replace; assign named owner to each retained list</w:t>
            </w:r>
          </w:p>
        </w:tc>
        <w:tc>
          <w:tcPr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Proxy-Zscaler-Blacklist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 URL Filtering block field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Static, one-time import from Zscaler, no refresh mechanism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named owner, defined review cadence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Assign owner; establish refresh process or replace with live EDL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SOC-Deny-List-Domain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 Decryption Policy category list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live EDL, hourly refresh, ~18,000 entries (verified via Aetna equivalent), 2 data-quality issues found (bare .ru TLD, stray SHA-256 hash)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SOC-owned (already meets this)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Clean the 2 identified data-quality issues; confirm same list or equivalent covers AZ/RI/LV consistently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Alert-All-SPG / URL-Filtering-Alert-All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PA, AZ/RI/LV/Retail, 98.9%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Zero block actions, any category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Native-category blocking as default per target model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Build native block list (malware/phishing/ransomware/hacking baseline) and apply estate-wide, not left to the NAB minority</w:t>
            </w:r>
          </w:p>
        </w:tc>
        <w:tc>
          <w:tcPr>
            <w:shd w:fill="B3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DenyListProd / SOCDenyList (Aetna, Skyhigh)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Skyhigh (Aetna)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live, fetch-verified 08/11/2026, 16,648 + 3,009 domain entries combined across the two lists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named owner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already close to target on ownership/freshness; carry equivalent structure into whatever replaces Skyhigh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DPS_DenyListProd_AIchatbots / Claude_URLs / CVSH_DPS_Unauthorized_URLs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Zscaler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Custom categories, active DLP scoping use, well-organized naming convention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already has clear naming/ownership discipline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Use this list's governance model as the template for PA's and Skyhigh's exception-tier naming/ownership going forward</w:t>
            </w:r>
          </w:p>
        </w:tc>
        <w:tc>
          <w:tcPr>
            <w:shd w:fill="1A7A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WCCP bypass list (58 groups, PBM-ticket-numbered entries)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CVS network layer (Cisco ASA/Firepower, not PA)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Ad hoc, ticket-driven sprawl, no consistent ownership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Exception-tier, named owner, defined review cadence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Audit and consolidate; assign ownership; this sits outside the PA estate and needs its own owning team engaged</w:t>
            </w:r>
          </w:p>
        </w:tc>
        <w:tc>
          <w:tcPr>
            <w:shd w:fill="B326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t>CVSH_DPS_DLP_Approved_URL_Excludes</w:t>
            </w:r>
          </w:p>
        </w:tc>
        <w:tc>
          <w:tcPr>
            <w:tcW w:type="dxa" w:w="1500"/>
          </w:tcPr>
          <w:p>
            <w:r>
              <w:t>Zscaler DLP scan-exclusion field</w:t>
            </w:r>
          </w:p>
        </w:tc>
        <w:tc>
          <w:tcPr>
            <w:tcW w:type="dxa" w:w="3600"/>
          </w:tcPr>
          <w:p>
            <w:r>
              <w:t>9 entries excluded from DLP scanning entirely, incl. .windows.net (Azure Storage suffix, not one app) and .service.force.com (Salesforce)</w:t>
            </w:r>
          </w:p>
        </w:tc>
        <w:tc>
          <w:tcPr>
            <w:tcW w:type="dxa" w:w="2500"/>
          </w:tcPr>
          <w:p>
            <w:r>
              <w:t>Exception-tier, named owner, scoped narrowly enough not to create a blind spot</w:t>
            </w:r>
          </w:p>
        </w:tc>
        <w:tc>
          <w:tcPr>
            <w:tcW w:type="dxa" w:w="2900"/>
          </w:tcPr>
          <w:p>
            <w:r>
              <w:t>Audit whether .windows.net and .service.force.com need to be this broad; any file to any Azure storage account under that suffix currently gets zero DLP inspection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</w:tr>
      <w:tr>
        <w:tc>
          <w:tcPr>
            <w:tcW w:type="dxa" w:w="2600"/>
          </w:tcPr>
          <w:p>
            <w:r>
              <w:t>6 password-protected-file exception categories (CVSH-SupportUploads-Allow, HEDIS_Audit_PP_Uploads, SecureDrop Upload Endpoints, CVSH-CTI-PWD-EXLUDE, CVSH-Legal-PWD-Exclude, CVSH-PWD_Encrypt-Allow)</w:t>
            </w:r>
          </w:p>
        </w:tc>
        <w:tc>
          <w:tcPr>
            <w:tcW w:type="dxa" w:w="1500"/>
          </w:tcPr>
          <w:p>
            <w:r>
              <w:t>Zscaler</w:t>
            </w:r>
          </w:p>
        </w:tc>
        <w:tc>
          <w:tcPr>
            <w:tcW w:type="dxa" w:w="3600"/>
          </w:tcPr>
          <w:p>
            <w:r>
              <w:t>Each built ad hoc per individual ticket (INC/SCTASK/RITM scattered through descriptions), each implicitly owned by whoever filed that ticket</w:t>
            </w:r>
          </w:p>
        </w:tc>
        <w:tc>
          <w:tcPr>
            <w:tcW w:type="dxa" w:w="2500"/>
          </w:tcPr>
          <w:p>
            <w:r>
              <w:t>One named owner, one review cadence per list, per target model Section 3</w:t>
            </w:r>
          </w:p>
        </w:tc>
        <w:tc>
          <w:tcPr>
            <w:tcW w:type="dxa" w:w="2900"/>
          </w:tcPr>
          <w:p>
            <w:r>
              <w:t>Consolidate or cross-reference into a single tracked exception set; assign an actual named owner to each, not the ticket filer by default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</w:tr>
    </w:tbl>
    <w:p>
      <w:pPr>
        <w:pStyle w:val="Heading1"/>
        <w:spacing w:after="160" w:before="360"/>
      </w:pPr>
      <w:r>
        <w:t>3. Zscaler Content-Blocking Parity — Translation to Palo Alto</w:t>
      </w:r>
    </w:p>
    <w:p>
      <w:pPr>
        <w:pBdr>
          <w:bottom w:val="single" w:color="8C1D18" w:sz="12" w:space="8"/>
        </w:pBdr>
        <w:spacing w:after="400"/>
      </w:pPr>
      <w:r>
        <w:rPr>
          <w:i/>
          <w:iCs/>
          <w:color w:val="5B6169"/>
          <w:sz w:val="19"/>
          <w:szCs w:val="19"/>
        </w:rPr>
        <w:t>Verified directly against the live Zscaler URL Filtering policy export (29 September 2026) and the raw Panorama XML. `Proxy-Zscaler-Blacklist` (PA) and `CVSH-URL-Block` (Zscaler, the custom portion of rule 58) are confirmed the same list — 3,221 of 3,223 entries match (99.9%) — so that piece is already translated; it only needs the refresh/ownership fix already tracked in Section 2 above. Everything below is new.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3600"/>
        <w:gridCol w:w="2500"/>
        <w:gridCol w:w="2900"/>
        <w:gridCol w:w="900"/>
      </w:tblGrid>
      <w:tr>
        <w:trPr>
          <w:tblHeader/>
        </w:trPr>
        <w:tc>
          <w:tcPr>
            <w:tcW w:type="dxa" w:w="2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Object</w:t>
            </w:r>
          </w:p>
        </w:tc>
        <w:tc>
          <w:tcPr>
            <w:tcW w:type="dxa" w:w="1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Platform</w:t>
            </w:r>
          </w:p>
        </w:tc>
        <w:tc>
          <w:tcPr>
            <w:tcW w:type="dxa" w:w="3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State</w:t>
            </w:r>
          </w:p>
        </w:tc>
        <w:tc>
          <w:tcPr>
            <w:tcW w:type="dxa" w:w="25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Target Requirement</w:t>
            </w:r>
          </w:p>
        </w:tc>
        <w:tc>
          <w:tcPr>
            <w:tcW w:type="dxa" w:w="2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9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Effort</w:t>
            </w:r>
          </w:p>
        </w:tc>
      </w:tr>
      <w:tr>
        <w:tc>
          <w:tcPr>
            <w:tcW w:type="dxa" w:w="2600"/>
          </w:tcPr>
          <w:p>
            <w:r>
              <w:t>Zscaler AI governance (rules 13,18-25,38,43-49: Allow exceptions, PRD_MCP-Unsanctioned-Block, G-CVSH_AIchatbots_Isolate)</w:t>
            </w:r>
          </w:p>
        </w:tc>
        <w:tc>
          <w:tcPr>
            <w:tcW w:type="dxa" w:w="1500"/>
          </w:tcPr>
          <w:p>
            <w:r>
              <w:t>Zscaler</w:t>
            </w:r>
          </w:p>
        </w:tc>
        <w:tc>
          <w:tcPr>
            <w:tcW w:type="dxa" w:w="3600"/>
          </w:tcPr>
          <w:p>
            <w:r>
              <w:t>Default Isolate (not Block) for AI_ML_APPS + DPS_DenyListProd_AIchatbots category, 10 named Allow exceptions for sanctioned tools/teams ahead of it, separate hard Block for unsanctioned MCP endpoints</w:t>
            </w:r>
          </w:p>
        </w:tc>
        <w:tc>
          <w:tcPr>
            <w:tcW w:type="dxa" w:w="2500"/>
          </w:tcPr>
          <w:p>
            <w:r>
              <w:t>Equivalent AI-tool governance on Palo Alto, beyond the single Claude allow rule</w:t>
            </w:r>
          </w:p>
        </w:tc>
        <w:tc>
          <w:tcPr>
            <w:tcW w:type="dxa" w:w="2900"/>
          </w:tcPr>
          <w:p>
            <w:r>
              <w:t>Final build — three mechanisms combined on one rule, confirmed against PAN-OS custom signature documentation. (1) Custom Application `App-AI-Chatbots-Unsanctioned`: signature context `ssl-req-chello-sni` (SSL Client Hello SNI — unencrypted, no decryption required), Pattern Match against the 14 confirmed domains (deepseek.com, chat.openai.com, api.openai.com, openai.com, bard.google.com, gemini.google.com, kenshoo.com, skai.io, jasper.ai, writesonic.com, gong.io, you.com, quillbot.com). (2) Custom URL Category `AI-Chatbots-Unsanctioned-Block` (URL List type), same 14 domains, as a redundant match path and for URL-Filtering-log visibility. (3) Native PAN-DB categories — `artificial-intelligence`, `AI-code-assistant`, `AI-conversational-assistant`, `AI-data-and-workflow-optimizer`, `AI-media-service`, `AI-meeting-assistant`, `AI-platform-service`, `AI-website-generator`, `AI-writing-assistant` — added to the same rule's category field for broad classification beyond the 14 named tools, per Section 3's native-category-first principle. Traffic rule `Global-AI-Unsanctioned-Block`: from inside/Proxy to outside, source Internal-CVS_Aetna-Networks, application = App-AI-Chatbots-Unsanctioned, category = the 9 native categories + AI-Chatbots-Unsanctioned-Block, action deny — no decrypt rule required. Exception rule `Global-AI-Sanctioned-Allow` evaluated first, same zones/source, scoped to sanctioned tools/users mirroring Zscaler's named allow rules, action allow. Per-tool Isolation substitute (PA has no Browser Isolation): Block, Allow-with-decryption-and-DLP, or Prisma Access Browser, decided per currently-isolated tool.</w:t>
            </w:r>
          </w:p>
        </w:tc>
        <w:tc>
          <w:tcPr>
            <w:tcW w:type="dxa" w:w="900"/>
          </w:tcPr>
          <w:p>
            <w:r>
              <w:t>High</w:t>
            </w:r>
          </w:p>
        </w:tc>
      </w:tr>
      <w:tr>
        <w:tc>
          <w:tcPr>
            <w:tcW w:type="dxa" w:w="2600"/>
          </w:tcPr>
          <w:p>
            <w:r>
              <w:t>ALCOHOL_TOBACCO (Zscaler rule 58) vs. alcohol-and-tobacco (Palo CVS URL-Filtering-Proxy-AllI)</w:t>
            </w:r>
          </w:p>
        </w:tc>
        <w:tc>
          <w:tcPr>
            <w:tcW w:type="dxa" w:w="1500"/>
          </w:tcPr>
          <w:p>
            <w:r>
              <w:t>Zscaler blocks; Palo permits</w:t>
            </w:r>
          </w:p>
        </w:tc>
        <w:tc>
          <w:tcPr>
            <w:tcW w:type="dxa" w:w="3600"/>
          </w:tcPr>
          <w:p>
            <w:r>
              <w:t>Confirmed, direct mismatch — same category, opposite enforcement, no documented reason on the Palo side</w:t>
            </w:r>
          </w:p>
        </w:tc>
        <w:tc>
          <w:tcPr>
            <w:tcW w:type="dxa" w:w="2500"/>
          </w:tcPr>
          <w:p>
            <w:r>
              <w:t>One consistent enforcement decision across both platforms</w:t>
            </w:r>
          </w:p>
        </w:tc>
        <w:tc>
          <w:tcPr>
            <w:tcW w:type="dxa" w:w="2900"/>
          </w:tcPr>
          <w:p>
            <w:r>
              <w:t>No new Traffic rule. This is a Content-layer profile edit on the existing anchored rule: add `alcohol-and-tobacco` to the Block list in the `URL-Filtering-Proxy-AllI` profile (already attached to the general-population proxy rule). Condition: only valid once that rule itself is brought into compliance with the Section 1 any/any prohibition — do not attach the updated profile to a non-compliant rule.</w:t>
            </w:r>
          </w:p>
        </w:tc>
        <w:tc>
          <w:tcPr>
            <w:tcW w:type="dxa" w:w="900"/>
          </w:tcPr>
          <w:p>
            <w:r>
              <w:t>Low</w:t>
            </w:r>
          </w:p>
        </w:tc>
      </w:tr>
      <w:tr>
        <w:tc>
          <w:tcPr>
            <w:tcW w:type="dxa" w:w="2600"/>
          </w:tcPr>
          <w:p>
            <w:r>
              <w:t>streaming-media (Palo CVS deny-list, blocked) vs. rule 58 (Zscaler, explicitly removed 7/28/2023 — Vimeo on CHSH homepage)</w:t>
            </w:r>
          </w:p>
        </w:tc>
        <w:tc>
          <w:tcPr>
            <w:tcW w:type="dxa" w:w="1500"/>
          </w:tcPr>
          <w:p>
            <w:r>
              <w:t>Palo blocks; Zscaler permits</w:t>
            </w:r>
          </w:p>
        </w:tc>
        <w:tc>
          <w:tcPr>
            <w:tcW w:type="dxa" w:w="3600"/>
          </w:tcPr>
          <w:p>
            <w:r>
              <w:t>Confirmed, direct mismatch with a documented business reason on the Zscaler side only</w:t>
            </w:r>
          </w:p>
        </w:tc>
        <w:tc>
          <w:tcPr>
            <w:tcW w:type="dxa" w:w="2500"/>
          </w:tcPr>
          <w:p>
            <w:r>
              <w:t>One consistent enforcement decision, or a documented exception on the Palo side matching Zscaler's rationale</w:t>
            </w:r>
          </w:p>
        </w:tc>
        <w:tc>
          <w:tcPr>
            <w:tcW w:type="dxa" w:w="2900"/>
          </w:tcPr>
          <w:p>
            <w:r>
              <w:t>Build as an exception-then-enforcement pair (Section 7), mirroring Zscaler's Vimeo carve-out exactly. (1) Custom URL Category `Approved-Streaming-Exceptions` (URL List type), seeded with vimeo.com and any other sites Zscaler's 2023 change intended to cover. (2) Exception rule `LAN-TO-INTERNET-PROXY-STREAMING-EXCEPTION`: same zones/source/scope as the existing streaming-media rule, category Approved-Streaming-Exceptions, action allow, placed immediately above the existing streaming-media block. No change to the existing enforcement rule itself.</w:t>
            </w:r>
          </w:p>
        </w:tc>
        <w:tc>
          <w:tcPr>
            <w:tcW w:type="dxa" w:w="900"/>
          </w:tcPr>
          <w:p>
            <w:r>
              <w:t>Low</w:t>
            </w:r>
          </w:p>
        </w:tc>
      </w:tr>
      <w:tr>
        <w:tc>
          <w:tcPr>
            <w:tcW w:type="dxa" w:w="2600"/>
          </w:tcPr>
          <w:p>
            <w:r>
              <w:t>PROFANITY, WEB_BANNERS, FILE_HOST, TASTELESS, VIOLENCE, ENCR_WEB_CONTENT, SOCIAL_ADULT, SOCIAL_NETWORKING_GAMES (Zscaler rule 58)</w:t>
            </w:r>
          </w:p>
        </w:tc>
        <w:tc>
          <w:tcPr>
            <w:tcW w:type="dxa" w:w="1500"/>
          </w:tcPr>
          <w:p>
            <w:r>
              <w:t>Zscaler</w:t>
            </w:r>
          </w:p>
        </w:tc>
        <w:tc>
          <w:tcPr>
            <w:tcW w:type="dxa" w:w="3600"/>
          </w:tcPr>
          <w:p>
            <w:r>
              <w:t>8 categories blocked on Zscaler with no corresponding PAN-DB category on Palo — finer-grained than Palo's taxonomy</w:t>
            </w:r>
          </w:p>
        </w:tc>
        <w:tc>
          <w:tcPr>
            <w:tcW w:type="dxa" w:w="2500"/>
          </w:tcPr>
          <w:p>
            <w:r>
              <w:t>Equivalent blocking coverage on Palo for categories PAN-DB doesn't natively define</w:t>
            </w:r>
          </w:p>
        </w:tc>
        <w:tc>
          <w:tcPr>
            <w:tcW w:type="dxa" w:w="2900"/>
          </w:tcPr>
          <w:p>
            <w:r>
              <w:t>No new Traffic rule — a Content-layer profile edit. Build one consolidated custom URL Category `PA-Supplemental-Block-Categories` (Category Match or URL List type) covering the 8 categories' equivalent content, and add it to the Block list of the URL Filtering profile already attached to the existing general-population proxy rule(s). Do not build 8 separate categories unless differentiated action per category is required.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</w:tr>
      <w:tr>
        <w:tc>
          <w:tcPr>
            <w:tcW w:type="dxa" w:w="2600"/>
          </w:tcPr>
          <w:p>
            <w:r>
              <w:t>dating, dynamic-dns, encrypted-dns, online-storage-and-backup, internet-communications-and-telephony (Palo CVS deny-list)</w:t>
            </w:r>
          </w:p>
        </w:tc>
        <w:tc>
          <w:tcPr>
            <w:tcW w:type="dxa" w:w="1500"/>
          </w:tcPr>
          <w:p>
            <w:r>
              <w:t>Palo blocks/decrypt-flags; Zscaler's rule 58 does not block</w:t>
            </w:r>
          </w:p>
        </w:tc>
        <w:tc>
          <w:tcPr>
            <w:tcW w:type="dxa" w:w="3600"/>
          </w:tcPr>
          <w:p>
            <w:r>
              <w:t>Genuine divergence — not an expected security-layer split like malware/phishing/ransomware (which Zscaler handles via ATP, not URL Filtering)</w:t>
            </w:r>
          </w:p>
        </w:tc>
        <w:tc>
          <w:tcPr>
            <w:tcW w:type="dxa" w:w="2500"/>
          </w:tcPr>
          <w:p>
            <w:r>
              <w:t>One consistent enforcement decision per category across both platforms</w:t>
            </w:r>
          </w:p>
        </w:tc>
        <w:tc>
          <w:tcPr>
            <w:tcW w:type="dxa" w:w="2900"/>
          </w:tcPr>
          <w:p>
            <w:r>
              <w:t>Decision determines which side changes, but the mechanism is a Content-layer profile edit either way — no new Traffic rule. If Zscaler is to match Palo: add DATING, DYNAMIC_DNS, DNS_OVER_HTTPS, and the nearest equivalents for online-storage-and-backup/internet-communications-and-telephony to Zscaler rule 58's `urlCategories` array. If Palo is to match Zscaler: remove the corresponding categories from the Block list in `URL-Filtering-Proxy-AllI` (moves them to Allow/Alert, not a new rule).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</w:tr>
      <w:tr>
        <w:tc>
          <w:tcPr>
            <w:tcW w:type="dxa" w:w="2600"/>
          </w:tcPr>
          <w:p>
            <w:r>
              <w:t>CUSTOM_17 (Zscaler rule 58, second custom category)</w:t>
            </w:r>
          </w:p>
        </w:tc>
        <w:tc>
          <w:tcPr>
            <w:tcW w:type="dxa" w:w="1500"/>
          </w:tcPr>
          <w:p>
            <w:r>
              <w:t>Zscaler</w:t>
            </w:r>
          </w:p>
        </w:tc>
        <w:tc>
          <w:tcPr>
            <w:tcW w:type="dxa" w:w="3600"/>
          </w:tcPr>
          <w:p>
            <w:r>
              <w:t>Referenced in rule 58 but absent from the Custom URL Categories export — almost certainly a TLD-type object (likely PRD-CVSH-TLD-Block), a different object type the URL-category export doesn't capture</w:t>
            </w:r>
          </w:p>
        </w:tc>
        <w:tc>
          <w:tcPr>
            <w:tcW w:type="dxa" w:w="2500"/>
          </w:tcPr>
          <w:p>
            <w:r>
              <w:t>Confirmed content and a Palo-side equivalent if one is needed</w:t>
            </w:r>
          </w:p>
        </w:tc>
        <w:tc>
          <w:tcPr>
            <w:tcW w:type="dxa" w:w="2900"/>
          </w:tcPr>
          <w:p>
            <w:r>
              <w:t>Not yet actionable as a Palo build — this is a data-gathering step, not a rule spec. Pull the Zscaler TLD Categories export (`Policies &gt; Access Control &gt; Internet &amp; SaaS &gt; URL Categories`, TLD type) to get CUSTOM_17's actual contents. Once confirmed, if a Palo equivalent is needed it would be a Custom URL Category of the nearest matching type (Palo doesn't have a distinct TLD-category object type — a domain-pattern custom category is the closest equivalent) added to the same profile as row 4.</w:t>
            </w:r>
          </w:p>
        </w:tc>
        <w:tc>
          <w:tcPr>
            <w:tcW w:type="dxa" w:w="900"/>
          </w:tcPr>
          <w:p>
            <w:r>
              <w:t>Low</w:t>
            </w:r>
          </w:p>
        </w:tc>
      </w:tr>
    </w:tbl>
    <w:p>
      <w:pPr>
        <w:pStyle w:val="Heading1"/>
        <w:spacing w:after="160" w:before="360"/>
      </w:pPr>
      <w:r>
        <w:t>4. Tenant Restriction Policy — Current Objects vs. Target</w:t>
      </w:r>
    </w:p>
    <w:p>
      <w:pPr>
        <w:pBdr>
          <w:bottom w:val="single" w:color="8C1D18" w:sz="12" w:space="8"/>
        </w:pBdr>
        <w:spacing w:after="400"/>
      </w:pPr>
      <w:r>
        <w:rPr>
          <w:i/>
          <w:iCs/>
          <w:color w:val="5B6169"/>
          <w:sz w:val="19"/>
          <w:szCs w:val="19"/>
        </w:rPr>
        <w:t>Note: unlike File Policy and Content/Domain-Filtering Policy, Tenant Restriction is not a one-time project with a closeable end state. New vendors (Microsoft, Claude, and Google so far) are added on an ongoing basis as the business requires tenant-level control over additional SaaS platforms. The rows below reflect the vendors onboarded to date; track this as a standing, repeatable workstream using the four-step onboarding procedure in Target_Policy_and_Enforcement_Model Section 4, not as a backlog to be emptied.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50"/>
        <w:gridCol w:w="3100"/>
        <w:gridCol w:w="2600"/>
        <w:gridCol w:w="3650"/>
      </w:tblGrid>
      <w:tr>
        <w:trPr>
          <w:tblHeader/>
        </w:trPr>
        <w:tc>
          <w:tcPr>
            <w:tcW w:type="dxa" w:w="28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Object</w:t>
            </w:r>
          </w:p>
        </w:tc>
        <w:tc>
          <w:tcPr>
            <w:tcW w:type="dxa" w:w="185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Environment</w:t>
            </w:r>
          </w:p>
        </w:tc>
        <w:tc>
          <w:tcPr>
            <w:tcW w:type="dxa" w:w="31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Current State</w:t>
            </w:r>
          </w:p>
        </w:tc>
        <w:tc>
          <w:tcPr>
            <w:tcW w:type="dxa" w:w="260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Gap Against Target</w:t>
            </w:r>
          </w:p>
        </w:tc>
        <w:tc>
          <w:tcPr>
            <w:tcW w:type="dxa" w:w="3650"/>
            <w:shd w:fill="8C1D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LAN-TO-INTERNET-DECRYPT-MS-LOGIN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Aetna (Middletown + Windsor)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Rule exists, matches correct category, confirmed disabled=yes on both instances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Decrypt layer not enabled — fails Section 4, condition 1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Enable; this is the lowest-effort fix of any Tenant Restriction gap — the rule already exists correctly built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MERITAIN-TO-INTERNET-MICROSOFT-LOGIN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LV-COLO (Meritain-scoped)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enabled, correctly matches the 4 target domains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Scope doesn't align with header-insertion rule — fails Section 4, condition 2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Re-scope Block-MS-Personal-Accounts to Meritain-Users-Subnets, or build a matching header rule for this population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Block-MS-Personal-Accounts / TEMPORARY-DLP-TEST-URL-CAT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AZ/RI/LV, single test host (10.47.152.25)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Header-insertion correctly built, scoped to one host outside any enabled decrypt population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Fails Section 4, conditions 1 and 2 simultaneously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Retire this pilot; rebuild per target model with decrypt and header-insertion co-scoped to the intended real population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Block-Personal-Accounts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AZ/RI/LV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Second header-insertion object found, targets login.live.com, wiring status not verified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Unknown — requires the same verification as above before any conclusion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Locate the referencing rule and its scope before deciding whether to retire or extend this one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RI Tenant Restriction rollout attempt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RI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Per Firewall Engineering: implemented, hit a proxy-related bug, rolled back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current implementation; prior attempt undocumented in the config itself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Do not treat as "never attempted" — investigate the specific bug before reattempting, or the same failure likely recurs</w:t>
            </w:r>
          </w:p>
        </w:tc>
      </w:tr>
      <w:tr>
        <w:tc>
          <w:tcPr>
            <w:tcW w:type="dxa" w:w="2800"/>
          </w:tcPr>
          <w:p>
            <w:r>
              <w:t>Palo Alto tenant-restriction mechanism — Microsoft and Claude alike</w:t>
            </w:r>
          </w:p>
        </w:tc>
        <w:tc>
          <w:tcPr>
            <w:tcW w:type="dxa" w:w="1850"/>
          </w:tcPr>
          <w:p>
            <w:r>
              <w:t>CVS and Aetna Panorama, all segments</w:t>
            </w:r>
          </w:p>
        </w:tc>
        <w:tc>
          <w:tcPr>
            <w:tcW w:type="dxa" w:w="3100"/>
          </w:tcPr>
          <w:p>
            <w:r>
              <w:t>No native tenant-restriction feature exists on Palo Alto for any vendor. Every tenant restriction (Microsoft, Claude) is a manually-built decrypt-rule-plus-header-insertion pair — same mechanism, same limitation, regardless of vendor.</w:t>
            </w:r>
          </w:p>
        </w:tc>
        <w:tc>
          <w:tcPr>
            <w:tcW w:type="dxa" w:w="2600"/>
          </w:tcPr>
          <w:p>
            <w:r>
              <w:t>Not itself a gap — a platform ceiling to design around, same as Skyhigh's TRv1 ceiling below</w:t>
            </w:r>
          </w:p>
        </w:tc>
        <w:tc>
          <w:tcPr>
            <w:tcW w:type="dxa" w:w="3650"/>
          </w:tcPr>
          <w:p>
            <w:r>
              <w:t>Budget every future Palo tenant-restriction rollout (any vendor) as a manual-build, not as configuration of an existing feature</w:t>
            </w:r>
          </w:p>
        </w:tc>
      </w:tr>
      <w:tr>
        <w:tc>
          <w:tcPr>
            <w:tcW w:type="dxa" w:w="2800"/>
          </w:tcPr>
          <w:p>
            <w:r>
              <w:t>ALL-TO-INTERNET-DECRYPT-CLAUDE / ALL-USERS-TO-INTERNET-DECRYPT-CLAUDE</w:t>
            </w:r>
          </w:p>
        </w:tc>
        <w:tc>
          <w:tcPr>
            <w:tcW w:type="dxa" w:w="1850"/>
          </w:tcPr>
          <w:p>
            <w:r>
              <w:t>RI, AZ, Vegas</w:t>
            </w:r>
          </w:p>
        </w:tc>
        <w:tc>
          <w:tcPr>
            <w:tcW w:type="dxa" w:w="3100"/>
          </w:tcPr>
          <w:p>
            <w:r>
              <w:t>Claude header-insertion rule is built and attached on all three, but the Claude decrypt rule is confirmed disabled on all three — no exceptions found</w:t>
            </w:r>
          </w:p>
        </w:tc>
        <w:tc>
          <w:tcPr>
            <w:tcW w:type="dxa" w:w="2600"/>
          </w:tcPr>
          <w:p>
            <w:r>
              <w:t>Same failure mode as Section 4 condition 1 (decrypt not enabled) — header can never insert with decrypt off</w:t>
            </w:r>
          </w:p>
        </w:tc>
        <w:tc>
          <w:tcPr>
            <w:tcW w:type="dxa" w:w="3650"/>
          </w:tcPr>
          <w:p>
            <w:r>
              <w:t>Enable the Claude decrypt rule on at least one segment as a pilot, same sequencing as the Microsoft TRv2 pilot recommendation</w:t>
            </w:r>
          </w:p>
        </w:tc>
      </w:tr>
      <w:tr>
        <w:tc>
          <w:tcPr>
            <w:tcW w:type="dxa" w:w="2800"/>
          </w:tcPr>
          <w:p>
            <w:r>
              <w:t>CVSH-MS365_Tenant (Zscaler, rule 25) / Tenant Profile object</w:t>
            </w:r>
          </w:p>
        </w:tc>
        <w:tc>
          <w:tcPr>
            <w:tcW w:type="dxa" w:w="1850"/>
          </w:tcPr>
          <w:p>
            <w:r>
              <w:t>Zscaler, Road Warrior</w:t>
            </w:r>
          </w:p>
        </w:tc>
        <w:tc>
          <w:tcPr>
            <w:tcW w:type="dxa" w:w="3100"/>
          </w:tcPr>
          <w:p>
            <w:r>
              <w:t>Native Tenant Profile feature under Cloud App Control — not a manually-built header rule. Functionally live (decrypt side enabled), but the Tenant Profile's actual authorized-tenant-ID contents are not in the policy export</w:t>
            </w:r>
          </w:p>
        </w:tc>
        <w:tc>
          <w:tcPr>
            <w:tcW w:type="dxa" w:w="2600"/>
          </w:tcPr>
          <w:p>
            <w:r>
              <w:t>Not a gap in mechanism — Zscaler has this feature natively for Microsoft (and a newer Google pilot). Open item is verifying the profile's actual contents</w:t>
            </w:r>
          </w:p>
        </w:tc>
        <w:tc>
          <w:tcPr>
            <w:tcW w:type="dxa" w:w="3650"/>
          </w:tcPr>
          <w:p>
            <w:r>
              <w:t>Pull the Tenant Profile object directly from the Zscaler admin console to confirm authorized tenant IDs match CVS Health's actual tenant</w:t>
            </w:r>
          </w:p>
        </w:tc>
      </w:tr>
      <w:tr>
        <w:tc>
          <w:tcPr>
            <w:tcW w:type="dxa" w:w="2800"/>
          </w:tcPr>
          <w:p>
            <w:r>
              <w:t>Skyhigh TRv1 header pair (Restrict-Access-To-Tenants / Restrict-Access-Context)</w:t>
            </w:r>
          </w:p>
        </w:tc>
        <w:tc>
          <w:tcPr>
            <w:tcW w:type="dxa" w:w="1850"/>
          </w:tcPr>
          <w:p>
            <w:r>
              <w:t>Aetna and CVS proxies, identical tenant-context GUID on both</w:t>
            </w:r>
          </w:p>
        </w:tc>
        <w:tc>
          <w:tcPr>
            <w:tcW w:type="dxa" w:w="3100"/>
          </w:tcPr>
          <w:p>
            <w:r>
              <w:t>Skyhigh supports TRv1 only — this is a platform ceiling, not a configuration gap. TRv2 was never available on Skyhigh for any vendor</w:t>
            </w:r>
          </w:p>
        </w:tc>
        <w:tc>
          <w:tcPr>
            <w:tcW w:type="dxa" w:w="2600"/>
          </w:tcPr>
          <w:p>
            <w:r>
              <w:t>N/A while Skyhigh remains in the path — becomes moot once fully replaced by Palo Alto/Zscaler</w:t>
            </w:r>
          </w:p>
        </w:tc>
        <w:tc>
          <w:tcPr>
            <w:tcW w:type="dxa" w:w="3650"/>
          </w:tcPr>
          <w:p>
            <w:r>
              <w:t>Do not carry a TRv2 expectation into any interim Skyhigh state; track TRv1-to-TRv2 as a platform migration outcome, not a rule fix</w:t>
            </w:r>
          </w:p>
        </w:tc>
      </w:tr>
    </w:tbl>
    <w:p>
      <w:pPr>
        <w:pBdr>
          <w:top w:val="single" w:color="CCCCCC" w:sz="6" w:space="8"/>
        </w:pBdr>
        <w:spacing w:before="400"/>
      </w:pPr>
      <w:r>
        <w:rPr>
          <w:i/>
          <w:iCs/>
          <w:color w:val="5B6169"/>
          <w:sz w:val="17"/>
          <w:szCs w:val="17"/>
        </w:rPr>
        <w:t xml:space="preserve">Segmentation (server/user/business-unit) and the exception-then-enforcement rule pattern (Target Policy Sections 5-6) apply universally to every row above and are not restated per-object — every "Action" in this document is expected to be implemented as an exception-rule-plus-enforcement-rule pair, not a single rule edit.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2026-09-18T01:15:27.224Z</dcterms:created>
  <dcterms:modified xsi:type="dcterms:W3CDTF">2026-09-18T01:15:27.224Z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