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Target Policy &amp; Enforcement Model</w:t>
      </w:r>
    </w:p>
    <w:p>
      <w:pPr>
        <w:pBdr>
          <w:bottom w:val="single" w:color="8C1D18" w:sz="12" w:space="8"/>
        </w:pBdr>
        <w:spacing w:after="400"/>
      </w:pPr>
      <w:r>
        <w:rPr>
          <w:i/>
          <w:iCs/>
          <w:color w:val="5B6169"/>
          <w:sz w:val="19"/>
          <w:szCs w:val="19"/>
        </w:rPr>
        <w:t xml:space="preserve">This document states the target design directly, as policy — not as a list of findings. Current-state gaps are measured against this model, not the reverse.</w:t>
      </w:r>
    </w:p>
    <w:p>
      <w:pPr>
        <w:pStyle w:val="Heading1"/>
        <w:spacing w:after="160" w:before="360"/>
      </w:pPr>
      <w:r>
        <w:t xml:space="preserve">1. The Enforcement Model — Three Layers, Always</w:t>
      </w:r>
    </w:p>
    <w:p>
      <w:pPr>
        <w:spacing w:after="120"/>
      </w:pPr>
      <w:r>
        <w:t xml:space="preserve">Every control in this estate — file inspection, content filtering, tenant restriction, threat prevention — is built from the same three layers, in the same order, every time. This is not optional structure; it is how the platform works, and every policy below is defined in these terms.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00"/>
      </w:tblGrid>
      <w:tr>
        <w:trPr>
          <w:tblHeader/>
        </w:trPr>
        <w:tc>
          <w:tcPr>
            <w:tcW w:type="dxa" w:w="2200"/>
            <w:shd w:fill="8C1D18" w:val="clear"/>
            <w:tcMar>
              <w:top w:type="dxa" w:w="100"/>
              <w:left w:type="dxa" w:w="120"/>
              <w:bottom w:type="dxa" w:w="100"/>
              <w:right w:type="dxa" w:w="120"/>
            </w:tcMar>
          </w:tcPr>
          <w:p>
            <w:r>
              <w:rPr>
                <w:b/>
                <w:bCs/>
                <w:color w:val="FFFFFF"/>
                <w:sz w:val="19"/>
                <w:szCs w:val="19"/>
              </w:rPr>
              <w:t xml:space="preserve">Layer</w:t>
            </w:r>
          </w:p>
        </w:tc>
        <w:tc>
          <w:tcPr>
            <w:tcW w:type="dxa" w:w="4200"/>
            <w:shd w:fill="8C1D18" w:val="clear"/>
            <w:tcMar>
              <w:top w:type="dxa" w:w="100"/>
              <w:left w:type="dxa" w:w="120"/>
              <w:bottom w:type="dxa" w:w="100"/>
              <w:right w:type="dxa" w:w="120"/>
            </w:tcMar>
          </w:tcPr>
          <w:p>
            <w:r>
              <w:rPr>
                <w:b/>
                <w:bCs/>
                <w:color w:val="FFFFFF"/>
                <w:sz w:val="19"/>
                <w:szCs w:val="19"/>
              </w:rPr>
              <w:t xml:space="preserve">Question It Answers</w:t>
            </w:r>
          </w:p>
        </w:tc>
        <w:tc>
          <w:tcPr>
            <w:tcW w:type="dxa" w:w="3800"/>
            <w:shd w:fill="8C1D18" w:val="clear"/>
            <w:tcMar>
              <w:top w:type="dxa" w:w="100"/>
              <w:left w:type="dxa" w:w="120"/>
              <w:bottom w:type="dxa" w:w="100"/>
              <w:right w:type="dxa" w:w="120"/>
            </w:tcMar>
          </w:tcPr>
          <w:p>
            <w:r>
              <w:rPr>
                <w:b/>
                <w:bCs/>
                <w:color w:val="FFFFFF"/>
                <w:sz w:val="19"/>
                <w:szCs w:val="19"/>
              </w:rPr>
              <w:t xml:space="preserve">Where It Lives</w:t>
            </w:r>
          </w:p>
        </w:tc>
      </w:tr>
      <w:tr>
        <w:tc>
          <w:tcPr>
            <w:tcW w:type="dxa" w:w="2200"/>
            <w:tcMar>
              <w:top w:type="dxa" w:w="100"/>
              <w:left w:type="dxa" w:w="120"/>
              <w:bottom w:type="dxa" w:w="100"/>
              <w:right w:type="dxa" w:w="120"/>
            </w:tcMar>
          </w:tcPr>
          <w:p>
            <w:r>
              <w:rPr>
                <w:b w:val="false"/>
                <w:bCs w:val="false"/>
                <w:sz w:val="19"/>
                <w:szCs w:val="19"/>
              </w:rPr>
              <w:t xml:space="preserve">1. Traffic</w:t>
            </w:r>
          </w:p>
        </w:tc>
        <w:tc>
          <w:tcPr>
            <w:tcW w:type="dxa" w:w="4200"/>
            <w:tcMar>
              <w:top w:type="dxa" w:w="100"/>
              <w:left w:type="dxa" w:w="120"/>
              <w:bottom w:type="dxa" w:w="100"/>
              <w:right w:type="dxa" w:w="120"/>
            </w:tcMar>
          </w:tcPr>
          <w:p>
            <w:r>
              <w:rPr>
                <w:b w:val="false"/>
                <w:bCs w:val="false"/>
                <w:sz w:val="19"/>
                <w:szCs w:val="19"/>
              </w:rPr>
              <w:t xml:space="preserve">Is this session permitted to exist?</w:t>
            </w:r>
          </w:p>
        </w:tc>
        <w:tc>
          <w:tcPr>
            <w:tcW w:type="dxa" w:w="3800"/>
            <w:tcMar>
              <w:top w:type="dxa" w:w="100"/>
              <w:left w:type="dxa" w:w="120"/>
              <w:bottom w:type="dxa" w:w="100"/>
              <w:right w:type="dxa" w:w="120"/>
            </w:tcMar>
          </w:tcPr>
          <w:p>
            <w:r>
              <w:rPr>
                <w:b w:val="false"/>
                <w:bCs w:val="false"/>
                <w:sz w:val="19"/>
                <w:szCs w:val="19"/>
              </w:rPr>
              <w:t xml:space="preserve">Security Policy — action allow/deny</w:t>
            </w:r>
          </w:p>
        </w:tc>
      </w:tr>
      <w:tr>
        <w:tc>
          <w:tcPr>
            <w:tcW w:type="dxa" w:w="2200"/>
            <w:tcMar>
              <w:top w:type="dxa" w:w="100"/>
              <w:left w:type="dxa" w:w="120"/>
              <w:bottom w:type="dxa" w:w="100"/>
              <w:right w:type="dxa" w:w="120"/>
            </w:tcMar>
          </w:tcPr>
          <w:p>
            <w:r>
              <w:rPr>
                <w:b w:val="false"/>
                <w:bCs w:val="false"/>
                <w:sz w:val="19"/>
                <w:szCs w:val="19"/>
              </w:rPr>
              <w:t xml:space="preserve">2. Decrypt</w:t>
            </w:r>
          </w:p>
        </w:tc>
        <w:tc>
          <w:tcPr>
            <w:tcW w:type="dxa" w:w="4200"/>
            <w:tcMar>
              <w:top w:type="dxa" w:w="100"/>
              <w:left w:type="dxa" w:w="120"/>
              <w:bottom w:type="dxa" w:w="100"/>
              <w:right w:type="dxa" w:w="120"/>
            </w:tcMar>
          </w:tcPr>
          <w:p>
            <w:r>
              <w:rPr>
                <w:b w:val="false"/>
                <w:bCs w:val="false"/>
                <w:sz w:val="19"/>
                <w:szCs w:val="19"/>
              </w:rPr>
              <w:t xml:space="preserve">Can inspection see inside this session?</w:t>
            </w:r>
          </w:p>
        </w:tc>
        <w:tc>
          <w:tcPr>
            <w:tcW w:type="dxa" w:w="3800"/>
            <w:tcMar>
              <w:top w:type="dxa" w:w="100"/>
              <w:left w:type="dxa" w:w="120"/>
              <w:bottom w:type="dxa" w:w="100"/>
              <w:right w:type="dxa" w:w="120"/>
            </w:tcMar>
          </w:tcPr>
          <w:p>
            <w:r>
              <w:rPr>
                <w:b w:val="false"/>
                <w:bCs w:val="false"/>
                <w:sz w:val="19"/>
                <w:szCs w:val="19"/>
              </w:rPr>
              <w:t xml:space="preserve">Decryption Policy — action decrypt/no-decrypt</w:t>
            </w:r>
          </w:p>
        </w:tc>
      </w:tr>
      <w:tr>
        <w:tc>
          <w:tcPr>
            <w:tcW w:type="dxa" w:w="2200"/>
            <w:tcMar>
              <w:top w:type="dxa" w:w="100"/>
              <w:left w:type="dxa" w:w="120"/>
              <w:bottom w:type="dxa" w:w="100"/>
              <w:right w:type="dxa" w:w="120"/>
            </w:tcMar>
          </w:tcPr>
          <w:p>
            <w:r>
              <w:rPr>
                <w:b w:val="false"/>
                <w:bCs w:val="false"/>
                <w:sz w:val="19"/>
                <w:szCs w:val="19"/>
              </w:rPr>
              <w:t xml:space="preserve">3. Content</w:t>
            </w:r>
          </w:p>
        </w:tc>
        <w:tc>
          <w:tcPr>
            <w:tcW w:type="dxa" w:w="4200"/>
            <w:tcMar>
              <w:top w:type="dxa" w:w="100"/>
              <w:left w:type="dxa" w:w="120"/>
              <w:bottom w:type="dxa" w:w="100"/>
              <w:right w:type="dxa" w:w="120"/>
            </w:tcMar>
          </w:tcPr>
          <w:p>
            <w:r>
              <w:rPr>
                <w:b w:val="false"/>
                <w:bCs w:val="false"/>
                <w:sz w:val="19"/>
                <w:szCs w:val="19"/>
              </w:rPr>
              <w:t xml:space="preserve">Given visibility, what happens to this content?</w:t>
            </w:r>
          </w:p>
        </w:tc>
        <w:tc>
          <w:tcPr>
            <w:tcW w:type="dxa" w:w="3800"/>
            <w:tcMar>
              <w:top w:type="dxa" w:w="100"/>
              <w:left w:type="dxa" w:w="120"/>
              <w:bottom w:type="dxa" w:w="100"/>
              <w:right w:type="dxa" w:w="120"/>
            </w:tcMar>
          </w:tcPr>
          <w:p>
            <w:r>
              <w:rPr>
                <w:b w:val="false"/>
                <w:bCs w:val="false"/>
                <w:sz w:val="19"/>
                <w:szCs w:val="19"/>
              </w:rPr>
              <w:t xml:space="preserve">Profiles attached to the Security rule — DLP, File Blocking, URL Filtering, AV</w:t>
            </w:r>
          </w:p>
        </w:tc>
      </w:tr>
    </w:tbl>
    <w:p>
      <w:pPr>
        <w:spacing w:after="120"/>
      </w:pPr>
      <w:r>
        <w:rPr>
          <w:b/>
          <w:bCs/>
        </w:rPr>
        <w:t xml:space="preserve">A policy is not complete until all three layers are defined for it, together, as one unit. A content-filtering rule with no matching decrypt rule is not a partial policy — it is not a policy at all; it does nothing. This is the single largest failure mode found in the current estate and the reason nothing below is described as "done" until all three layers are confirmed.</w:t>
      </w:r>
    </w:p>
    <w:p>
      <w:pPr>
        <w:spacing w:after="120"/>
      </w:pPr>
      <w:r>
        <w:rPr>
          <w:b/>
          <w:bCs/>
        </w:rPr>
        <w:t>An "any/any"-style rule — service, application, category, and User-ID all set to `any` — is not permitted anywhere in this environment, independent of whether DLP or File inspection is involved. This is not a DLP-specific limitation; it is a baseline Traffic-layer requirement (Section 1, Layer 1: "is this session permitted to exist at all?"). A rule that answers that question with "anything, from this source, to anywhere, using any application or service" has not made a traffic-permission decision in any meaningful sense, and no amount of Decrypt- or Content-layer configuration on top of it corrects that. Every Traffic rule must be scoped by at least one of application, category, or User-ID, in addition to source — this applies to every rule in the estate, not only rules intended to carry a DLP or File policy. This requirement extends to addressing, not only to application/category/User-ID. A rule may use `any` or a network range broader than /25 on one side — source or destination — only if the other side is scoped to a most-specific IP address-group. Broad-on-both-sides is what is prohibited: source `any` (or a range broader than /25) paired with destination `any` (or a range broader than /25) is not permitted, regardless of how tightly application, category, or User-ID are scoped. A large aggregate address object (e.g. an entire internal-network supernet) on both sides has the same practical effect as literal `any` on both sides and does not satisfy this requirement. There is a second, alternate path to compliance: an any/any/any rule (source, destination, and service/port all `any`) may be applied if — and only if — the Traffic rule is scoped by at least one of User-ID, URL List (category), or Content-Class (application). Narrow addressing and identity/content-based scoping are two separate, independently sufficient paths — a rule needs one of them, not both. A rule with neither (broad addressing on both sides, and no User-ID, URL List, or Content-Class defined) is an outright any/any/any violation, not a partial one. `LAN-TO-INTERNET-PROXY-ALL` fails on both paths simultaneously: source is a broad aggregate, destination is `any`, and category/application/source-user are all also `any` — no identity or content scoping compensates for the broad addressing. `Global-Claude-Rule`, by contrast, has the same broad-addressing profile (broad source, destination `any`) but satisfies the second path — it is scoped by both Content-Class (`application: claude, google-base, ssl`) and URL List (`category: Claude`) — which is why it is a compliant rule despite its addressing looking similar to the non-compliant example.</w:t>
      </w:r>
    </w:p>
    <w:p>
      <w:pPr>
        <w:pStyle w:val="Heading1"/>
        <w:spacing w:after="160" w:before="360"/>
      </w:pPr>
      <w:r>
        <w:t xml:space="preserve">2. Unified File Policy</w:t>
      </w:r>
    </w:p>
    <w:p>
      <w:pPr>
        <w:spacing w:after="120"/>
      </w:pPr>
      <w:r>
        <w:t xml:space="preserve">File type blocking and content-pattern inspection are one policy, not two. Every file-egress rule carries both components together:</w:t>
      </w:r>
    </w:p>
    <w:p>
      <w:pPr>
        <w:spacing w:after="100"/>
        <w:ind w:left="200"/>
      </w:pPr>
      <w:r>
        <w:rPr>
          <w:b/>
          <w:bCs/>
        </w:rPr>
        <w:t xml:space="preserve">1. </w:t>
      </w:r>
      <w:r>
        <w:t xml:space="preserve">File Type Component — block by extension/signature/container type, regardless of content: high-risk executables, encrypted archives, encrypted Office/PDF documents.</w:t>
      </w:r>
    </w:p>
    <w:p>
      <w:pPr>
        <w:spacing w:after="100"/>
        <w:ind w:left="200"/>
      </w:pPr>
      <w:r>
        <w:rPr>
          <w:b/>
          <w:bCs/>
        </w:rPr>
        <w:t xml:space="preserve">2. </w:t>
      </w:r>
      <w:r>
        <w:t xml:space="preserve">Content Component — the 7 approved DLP patterns (SSN, PCI, Driver's License, Member ID, MBI, SSN-Masked, HICN), scanned against file content on the same traffic.</w:t>
      </w:r>
    </w:p>
    <w:p>
      <w:pPr>
        <w:spacing w:after="120"/>
      </w:pPr>
      <w:r>
        <w:rPr>
          <w:b/>
          <w:bCs/>
        </w:rPr>
        <w:t>Both components attach to the same rule, via one profile-group, applied to the same scope. There is no environment where file-type blocking exists without content inspection, or the reverse — a location either has the unified File Policy, or it does not have a file policy. This requires the same three-layer anchor as every other policy in this model (Section 1): a dedicated Traffic rule that the intended population's sessions actually match, a Decrypt rule scoped to that same population, and the profile-group carrying both components attached to that Traffic rule. A DLP or file-blocking profile with no Traffic rule matching real sessions inspects nothing, the same way a Tenant Restriction header with no anchoring Traffic rule enforces nothing. Confirmed current-state contrast: on CVS RI/AZ, the Traffic layer is correctly built — the `LAN-TO-INTERNET-PROXY-*` rules exist, match real user traffic, and carry the DLP/file-blocking profile group. The gap there is Decrypt — no permit-side decrypt rule exists, so the Traffic and Content layers are built but have no decrypted traffic to act on for most categories. On Aetna, no Traffic rule anywhere carries a DLP profile at all — the Traffic layer itself is missing for DLP, not just Decrypt. These are different failures requiring different fixes, even though both produce the same symptom (no working content inspection). An any/any-style rule is not permitted under this policy at all (see Section 1) — and even setting that baseline prohibition aside, such a rule could never support attributable DLP or File detections, because there would be no way to tell which data type or content class a given session belonged to. Confirmed example, currently in violation: `LAN-TO-INTERNET-PROXY-ALL` (CVS RI/AZ) matches `category: any`, `application: any`, `source-user: any`, `service: any`, `destination: any` — scoped by source network alone — and carries the NAB profile group with all 22 patterns bundled into one data profile. This is the direct cause of the logging gap already identified: the firewall log can name the rule, but the rule itself never differentiated the traffic, so there was never a data type to log in the first place.</w:t>
      </w:r>
    </w:p>
    <w:p>
      <w:pPr>
        <w:spacing w:after="120"/>
      </w:pPr>
      <w:r>
        <w:t>Scope: web/proxy-based file egress only. Mail-based file egress (Outlook attachments) is explicitly out of scope — that channel is owned by the mail-DLP control plane, not this policy. In-scope traffic includes general web uploads, named cloud-storage/collaboration platforms (SharePoint, OneDrive, Dropbox, Google Drive, and equivalents), webmail accessed via browser (distinct from the Outlook/SMTP channel above), and AI/chatbot traffic (e.g. Claude, ChatGPT and equivalents) — named explicitly because it is a live upload path today and was previously unaddressed by this policy. Category-based proxy rules that are neither general web nor a named platform in this list (e.g. gambling, social-networking, IM, shareware, streaming-media, remote-access) are out of scope for this policy unless and until a business owner requests otherwise — silence on a category means excluded, not an oversight to be inferred.</w:t>
      </w:r>
    </w:p>
    <w:p>
      <w:pPr>
        <w:spacing w:after="120"/>
      </w:pPr>
      <w:r>
        <w:rPr>
          <w:b/>
          <w:bCs/>
        </w:rPr>
        <w:t xml:space="preserve">Pattern actions, standardized: MBI enters at Block (highest-confidence pattern). SSN, PCI, SSN-Masked, HICN enter at Alert with a defined burn-in period, then promote to Block. Driver's License and Member ID require their source data finalized (state-regex set; existing parity object) before wiring — they do not enter at any action until that data is confirmed.</w:t>
      </w:r>
    </w:p>
    <w:p>
      <w:pPr>
        <w:spacing w:after="120"/>
      </w:pPr>
      <w:r>
        <w:rPr>
          <w:b/>
          <w:bCs/>
        </w:rPr>
        <w:t>Worked example — a DLP/File inspection rule intended to apply to all users: "all users" does not mean User-ID `any`. It is anchored to User-ID `known-user` (authenticated users specifically, excluding anonymous/unidentified traffic) combined with a Content-Category — e.g. Public File Sharing — or a specific URL/domain list (the named cloud-storage/collaboration platforms in scope per this section). User-ID `known-user` plus a Content-Category or URL list together satisfy the identity/content-based compliance path from Section 1, even though the rule's intended population is broad. This is the pattern every DLP/File Policy rule in this model should follow — breadth of population is not an exception to the any/any/any prohibition, it is satisfied by User-ID plus Content-Category/URL scoping, not by leaving those fields at `any`.</w:t>
      </w:r>
    </w:p>
    <w:p>
      <w:pPr>
        <w:spacing w:after="120"/>
      </w:pPr>
      <w:r>
        <w:rPr>
          <w:b/>
          <w:bCs/>
        </w:rPr>
        <w:t>Logging architecture — two technically distinct capabilities, both called "DLP" by the business, must be documented and reported on separately. "DLP" in business usage spans two architecturally different PAN-OS mechanisms: the File Type Component (File Blocking — extension/signature/container-type matches) and the Content Component (Data Filtering, whether Classic regex-based or Enterprise/Advanced DLP — content-pattern matches). These are not the same capability wearing two names; they log to different places. File Blocking matches are Threat-log events, subtype `file`. Data Filtering and Enterprise DLP matches are **Data Filtering-log events** — a separate log type from the Threat log entirely, with its own field schema; Enterprise DLP incidents specifically are filtered via `subtype eq dlp` within that log. A dashboard or report built against only the Threat log's `file` subtype will never show a DLP content-pattern match, regardless of how well the underlying rule and profile are built — the event simply is not there; it is in the other log. Reporting and correlation work must pull both log types and join them by rule/session, not assume one log contains both capabilities. Open item: confirm whether Classic (non-Enterprise) Data Filtering logs under the same `dlp` subtype as Enterprise DLP within the Data Filtering log, or under a different subtype — verify against actual Data Filtering log output from the CVS/Aetna Panoramas before this is stated as fact rather than vendor-documentation inference. Both capabilities are still subject to the same three-layer anchor and any/any prohibition already stated in this model — the logging distinction changes where you look for the evidence, not what the rule-build requirement is.</w:t>
      </w:r>
    </w:p>
    <w:p>
      <w:pPr>
        <w:pStyle w:val="Heading1"/>
        <w:spacing w:after="160" w:before="360"/>
      </w:pPr>
      <w:r>
        <w:t xml:space="preserve">3. Unified Content &amp; Domain-Filtering Policy</w:t>
      </w:r>
    </w:p>
    <w:p>
      <w:pPr>
        <w:spacing w:after="120"/>
      </w:pPr>
      <w:r>
        <w:t xml:space="preserve">One governance model, not four independent ones. Today, PA, Skyhigh, and Zscaler each maintain their own separate domain/category lists with no shared ownership. The target model:</w:t>
      </w:r>
    </w:p>
    <w:p>
      <w:pPr>
        <w:spacing w:after="100"/>
        <w:ind w:left="200"/>
      </w:pPr>
      <w:r>
        <w:rPr>
          <w:b/>
          <w:bCs/>
        </w:rPr>
        <w:t xml:space="preserve">1. </w:t>
      </w:r>
      <w:r>
        <w:t xml:space="preserve">Native vendor categories are the default classification mechanism on every platform. Custom domain lists are the exception, used only where a vendor category doesn't exist for a specific, named business need (e.g., a named AI-chatbot denylist, a named approved-cloud-storage watchlist).</w:t>
      </w:r>
    </w:p>
    <w:p>
      <w:pPr>
        <w:spacing w:after="100"/>
        <w:ind w:left="200"/>
      </w:pPr>
      <w:r>
        <w:rPr>
          <w:b/>
          <w:bCs/>
        </w:rPr>
        <w:t xml:space="preserve">2. </w:t>
      </w:r>
      <w:r>
        <w:t xml:space="preserve">Every custom list has one named owner and one review cadence. A list with no confirmed owner is not part of this policy — it is a legacy artifact scheduled for retirement or adoption, not silently left in production.</w:t>
      </w:r>
    </w:p>
    <w:p>
      <w:pPr>
        <w:spacing w:after="100"/>
        <w:ind w:left="200"/>
      </w:pPr>
      <w:r>
        <w:rPr>
          <w:b/>
          <w:bCs/>
        </w:rPr>
        <w:t xml:space="preserve">3. </w:t>
      </w:r>
      <w:r>
        <w:t xml:space="preserve">One category taxonomy is used across all three platforms for the same content classes — malware, phishing, adult, gambling, ransomware, hacking, and the other currently-overlapping categories get one common definition, not three independently-maintained versions that happen to look similar.</w:t>
      </w:r>
    </w:p>
    <w:p>
      <w:pPr>
        <w:spacing w:after="120"/>
      </w:pPr>
      <w:r>
        <w:rPr>
          <w:i/>
          <w:iCs/>
          <w:color w:val="5B6169"/>
          <w:sz w:val="19"/>
          <w:szCs w:val="19"/>
        </w:rPr>
        <w:t xml:space="preserve">This directly addresses the standing critique that current enforcement runs on custom lists instead of native platform capability. Custom lists remain available under this model — but as a scoped exception mechanism, not as the primary way content gets classified.</w:t>
      </w:r>
    </w:p>
    <w:p>
      <w:pPr>
        <w:pStyle w:val="Heading1"/>
        <w:spacing w:after="160" w:before="360"/>
      </w:pPr>
      <w:r>
        <w:rPr>
          <w:b/>
          <w:i w:val="0"/>
        </w:rPr>
        <w:t>4. Content Policy Management — Category Blocking Does Not Require Decryption</w:t>
      </w:r>
    </w:p>
    <w:p>
      <w:pPr>
        <w:spacing w:after="120"/>
      </w:pPr>
      <w:r>
        <w:rPr>
          <w:i w:val="0"/>
          <w:iCs/>
          <w:color w:val="5B6169"/>
          <w:sz w:val="19"/>
          <w:szCs w:val="19"/>
        </w:rPr>
        <w:t>Category- and domain-based content blocking is architecturally independent of the Decrypt layer — this is a genuine exception to the general rule that nothing in the Content layer works without decryption first, and it needs to be stated as its own policy, not folded into the broader Content &amp; Domain-Filtering governance above or confused with the DLP/File/AV/Vulnerability inspection stack, which does require decryption.</w:t>
      </w:r>
    </w:p>
    <w:p>
      <w:pPr>
        <w:spacing w:after="120"/>
      </w:pPr>
      <w:r>
        <w:rPr>
          <w:i w:val="0"/>
          <w:iCs/>
          <w:color w:val="5B6169"/>
          <w:sz w:val="19"/>
          <w:szCs w:val="19"/>
        </w:rPr>
        <w:t>Confirmed on two platforms, two different ways. Zscaler already operates this way in production today — its last-rule category blocklist and isolation rules classify and act on traffic by SNI/category without a dependency on the SSL Inspection rulebase; category blocking and SSL decryption are evaluated as separate policy layers on that platform, and category blocking does not wait on decrypt. Palo Alto supports the equivalent capability natively: PAN-OS can classify a session's destination by SNI/certificate alone, without a matching Decryption Policy rule, which is sufficient for simple allow/block-by-category decisions. For blocks that also need to show the user a response page over HTTPS, PAN-OS has a purpose-built mechanism for exactly this — the `ssl-decrypt url-proxy` setting — which completes a TLS handshake at the firewall (using the Forward Trust certificate) just far enough to serve a block page, without a standing Decryption Policy "decrypt" rule, a decryption profile, or any of the DLP/File/AV/Vulnerability inspection that a full decrypt rule would otherwise enable.</w:t>
      </w:r>
    </w:p>
    <w:p>
      <w:pPr>
        <w:spacing w:after="120"/>
      </w:pPr>
      <w:r>
        <w:rPr>
          <w:i w:val="0"/>
          <w:iCs/>
          <w:color w:val="5B6169"/>
          <w:sz w:val="19"/>
          <w:szCs w:val="19"/>
        </w:rPr>
        <w:t>Practical implication: a content-category blocking policy can be designed, built, and enforced on Palo Alto today independent of the Decrypt-layer gaps already documented elsewhere in this model — for example, CVS's missing permit-side decrypt policy (Section 1) blocks DLP/File/AV visibility into permitted traffic, but it does not block building a broader category-based allow/block policy across that same traffic, because category blocking does not need that decrypt layer in the first place. Do not treat "no decrypt policy for permitted traffic" as a blocker for expanding category-based content management — it is only a blocker for the deeper inspection capabilities.</w:t>
      </w:r>
    </w:p>
    <w:p>
      <w:pPr>
        <w:spacing w:after="120"/>
      </w:pPr>
      <w:r>
        <w:rPr>
          <w:i w:val="0"/>
          <w:iCs/>
          <w:color w:val="5B6169"/>
          <w:sz w:val="19"/>
          <w:szCs w:val="19"/>
        </w:rPr>
        <w:t>Scope of this exception: this applies to category/domain-based allow-or-block decisions and response-page delivery only. It does not extend to any capability that needs to see inside the session content — URL Filtering actions beyond simple category block/allow (e.g., Safe Search enforcement, credential-submission detection) and all DLP/File/AV/Vulnerability inspection still require the full Decrypt layer exactly as stated in Section 1.</w:t>
      </w:r>
    </w:p>
    <w:p>
      <w:pPr>
        <w:pStyle w:val="Heading1"/>
        <w:spacing w:after="160" w:before="360"/>
      </w:pPr>
      <w:r>
        <w:t>5. Tenant Restriction Policy</w:t>
      </w:r>
    </w:p>
    <w:p>
      <w:pPr>
        <w:spacing w:after="120"/>
      </w:pPr>
      <w:r>
        <w:t>Scope: this policy applies to every vendor the business requires tenant-level access control for — currently Microsoft/Azure and Claude, with Google under pilot. For Microsoft: four named authentication domains only — login.live.com, login.microsoft.com, login.microsoftonline.com, login.windows.net. Not a general Microsoft/O365 decrypt policy. For Claude: the Claude_URLs category (claude.ai, anthropic.com, claude.com and their subdomains — confirm apex-domain entries are present for each, not just the subdomain wildcard form). Each vendor gets its own narrowly-scoped decrypt rule under this policy; none of them get a general decrypt-everything rule for that vendor's full traffic. This is not a fixed, closeable list — new vendors will be added on an ongoing basis as the business requires tenant-level control over additional SaaS platforms, and this policy is the standing procedure for each new one, not a one-time project scoped to today's three vendors. Onboarding a new vendor under this policy means, every time: (1) build the dedicated App-ID/URL-category traffic rule per point 1, (2) confirm which platform mechanism applies per point 5, (3) build or configure the narrowly-scoped decrypt rule for that vendor's authentication/access domains specifically, (4) build the co-scoped header-insertion or native tenant-profile rule, (5) pilot on one segment end-to-end before wider rollout per point 4. Adding a vendor to this policy is the same four steps regardless of which vendor it is.</w:t>
      </w:r>
    </w:p>
    <w:p>
      <w:pPr>
        <w:spacing w:after="100"/>
        <w:ind w:left="200"/>
      </w:pPr>
      <w:r>
        <w:rPr>
          <w:b/>
          <w:bCs/>
        </w:rPr>
        <w:t>1. A dedicated Traffic (Security Policy) rule, scoped by App-ID and/or URL category to the vendor's specific authentication domains, must exist and anchor the other two layers — this is not optional or implied by the decrypt rule existing. Confirmed reference implementation: Claude's tenant restriction has exactly this — `Global-Claude-Rule`, an App-ID + URL rule matching application `claude`/`google-base`/`ssl` and category `Claude`, with the decrypt rule and content profile both scoped to the identical category object. Confirmed gap: Microsoft's tenant restriction has no equivalent — the `Microsoft-Login-SSL-Inspection` category object exists and the decrypt rules reference it, but zero security rules in either the CVS or Aetna rulebase are scoped to it. A decrypt rule and a header object with no anchoring traffic rule between them is not a partial build of this layer — the traffic layer is simply missing.</w:t>
      </w:r>
      <w:r/>
    </w:p>
    <w:p>
      <w:pPr>
        <w:spacing w:after="100"/>
        <w:ind w:left="200"/>
      </w:pPr>
      <w:r>
        <w:rPr>
          <w:b/>
          <w:bCs/>
        </w:rPr>
        <w:t>2. A decrypt rule matching these four domains (or the category built from them) is required, enabled, and scoped to the intended population — the entire prior estate's failures on this policy trace to one of these three conditions not being met.</w:t>
      </w:r>
      <w:r/>
    </w:p>
    <w:p>
      <w:pPr>
        <w:spacing w:after="100"/>
        <w:ind w:left="200"/>
      </w:pPr>
      <w:r>
        <w:rPr>
          <w:b/>
          <w:bCs/>
        </w:rPr>
        <w:t>3. The header-insertion rule enforcing tenant restriction must be scoped to the identical population as the decrypt rule in step 2. Same source, same destination, same scope — not two independently-built rules that happen to reference the same feature.</w:t>
      </w:r>
      <w:r/>
    </w:p>
    <w:p>
      <w:pPr>
        <w:spacing w:after="100"/>
        <w:ind w:left="200"/>
      </w:pPr>
      <w:r>
        <w:rPr>
          <w:b/>
          <w:bCs/>
        </w:rPr>
        <w:t>4. Given the prior RI implementation attempt failed on a proxy-related interaction bug, any new rollout is piloted on a single defined segment first, verified end-to-end (redirection reaches the inspection point, decrypt fires, header is inserted, Microsoft enforces it), before wider rollout — not deployed broadly on the assumption that config correctness alone is sufficient.</w:t>
      </w:r>
      <w:r/>
    </w:p>
    <w:p>
      <w:pPr>
        <w:spacing w:after="100"/>
        <w:ind w:left="200"/>
      </w:pPr>
      <w:r>
        <w:rPr>
          <w:b/>
          <w:bCs/>
        </w:rPr>
        <w:t>5. Platform mechanism differs by vendor and by platform — confirm which applies before designing a rule. Palo Alto has no native tenant-restriction feature for any vendor: every tenant restriction on Palo Alto, for every vendor, is a manually-built decrypt-rule-plus-header-insertion pair. Zscaler has a native Tenant Profile feature under Cloud App Control for some vendors (confirmed for Microsoft, piloted for Google) but requires the same manual header-insertion approach as Palo Alto for vendors without native support (confirmed for Claude). Skyhigh supports TRv1 only, for any vendor, and was never capable of TRv2 — do not design an interim Skyhigh-based TRv2 state for any vendor; track the TRv1-to-TRv2 gap as a platform migration outcome, not a rule to fix on Skyhigh itself.</w:t>
      </w:r>
      <w:r/>
    </w:p>
    <w:p>
      <w:pPr>
        <w:pStyle w:val="Heading1"/>
        <w:spacing w:after="160" w:before="360"/>
      </w:pPr>
      <w:r>
        <w:t>6. Segmentation Model — Server vs. User, by Business Unit</w:t>
      </w:r>
    </w:p>
    <w:p>
      <w:pPr>
        <w:spacing w:after="120"/>
      </w:pPr>
      <w:r>
        <w:t xml:space="preserve">Two independent segmentation axes, both required before enforcement rules are built:</w:t>
      </w:r>
    </w:p>
    <w:p>
      <w:pPr>
        <w:pStyle w:val="ListParagraph"/>
        <w:numPr>
          <w:ilvl w:val="0"/>
          <w:numId w:val="1"/>
        </w:numPr>
        <w:spacing w:after="80"/>
      </w:pPr>
      <w:r>
        <w:t xml:space="preserve">Server segmentation — a defined server-class address space, per environment, with its own default posture distinct from user traffic. Servers do not inherit the general user rulebase by default; they get a purpose-built policy reflecting that they have no legitimate need for general internet browsing.</w:t>
      </w:r>
    </w:p>
    <w:p>
      <w:pPr>
        <w:pStyle w:val="ListParagraph"/>
        <w:numPr>
          <w:ilvl w:val="0"/>
          <w:numId w:val="1"/>
        </w:numPr>
        <w:spacing w:after="80"/>
      </w:pPr>
      <w:r>
        <w:t xml:space="preserve">User segmentation — CVS, Aetna, and Retail users classified into distinct address/identity scopes, enabling business-unit-specific policy where needed (e.g., Retail's high-trust audit scope) without collapsing all three into one undifferentiated population.</w:t>
      </w:r>
    </w:p>
    <w:p>
      <w:pPr>
        <w:spacing w:after="120"/>
      </w:pPr>
      <w:r>
        <w:rPr>
          <w:b/>
          <w:bCs/>
        </w:rPr>
        <w:t xml:space="preserve">Retail specifically requires its own infrastructure assessment before either segmentation axis can be applied to it — Retail's current firewalls are end-of-life and have not been examined in this engagement; office-location data is in progress separately. Retail's segmentation is a dependency on that infrastructure work completing, not a parallel workstream.</w:t>
      </w:r>
    </w:p>
    <w:p>
      <w:pPr>
        <w:pStyle w:val="Heading1"/>
        <w:spacing w:after="160" w:before="360"/>
      </w:pPr>
      <w:r>
        <w:t>7. The Universal Implementation Pattern — Exception, Then Enforcement</w:t>
      </w:r>
    </w:p>
    <w:p>
      <w:pPr>
        <w:spacing w:after="120"/>
      </w:pPr>
      <w:r>
        <w:t xml:space="preserve">Every policy above (File, Content/Domain, Tenant Restriction) is implemented using the same two-rule pattern, per function, every time: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5000"/>
      </w:tblGrid>
      <w:tr>
        <w:trPr>
          <w:tblHeader/>
        </w:trPr>
        <w:tc>
          <w:tcPr>
            <w:tcW w:type="dxa" w:w="2600"/>
            <w:shd w:fill="8C1D18" w:val="clear"/>
            <w:tcMar>
              <w:top w:type="dxa" w:w="100"/>
              <w:left w:type="dxa" w:w="120"/>
              <w:bottom w:type="dxa" w:w="100"/>
              <w:right w:type="dxa" w:w="120"/>
            </w:tcMar>
          </w:tcPr>
          <w:p>
            <w:r>
              <w:rPr>
                <w:b/>
                <w:bCs/>
                <w:color w:val="FFFFFF"/>
                <w:sz w:val="19"/>
                <w:szCs w:val="19"/>
              </w:rPr>
              <w:t xml:space="preserve">Order</w:t>
            </w:r>
          </w:p>
        </w:tc>
        <w:tc>
          <w:tcPr>
            <w:tcW w:type="dxa" w:w="2600"/>
            <w:shd w:fill="8C1D18" w:val="clear"/>
            <w:tcMar>
              <w:top w:type="dxa" w:w="100"/>
              <w:left w:type="dxa" w:w="120"/>
              <w:bottom w:type="dxa" w:w="100"/>
              <w:right w:type="dxa" w:w="120"/>
            </w:tcMar>
          </w:tcPr>
          <w:p>
            <w:r>
              <w:rPr>
                <w:b/>
                <w:bCs/>
                <w:color w:val="FFFFFF"/>
                <w:sz w:val="19"/>
                <w:szCs w:val="19"/>
              </w:rPr>
              <w:t xml:space="preserve">Rule</w:t>
            </w:r>
          </w:p>
        </w:tc>
        <w:tc>
          <w:tcPr>
            <w:tcW w:type="dxa" w:w="5000"/>
            <w:shd w:fill="8C1D18" w:val="clear"/>
            <w:tcMar>
              <w:top w:type="dxa" w:w="100"/>
              <w:left w:type="dxa" w:w="120"/>
              <w:bottom w:type="dxa" w:w="100"/>
              <w:right w:type="dxa" w:w="120"/>
            </w:tcMar>
          </w:tcPr>
          <w:p>
            <w:r>
              <w:rPr>
                <w:b/>
                <w:bCs/>
                <w:color w:val="FFFFFF"/>
                <w:sz w:val="19"/>
                <w:szCs w:val="19"/>
              </w:rPr>
              <w:t xml:space="preserve">Function</w:t>
            </w:r>
          </w:p>
        </w:tc>
      </w:tr>
      <w:tr>
        <w:tc>
          <w:tcPr>
            <w:tcW w:type="dxa" w:w="2600"/>
            <w:tcMar>
              <w:top w:type="dxa" w:w="100"/>
              <w:left w:type="dxa" w:w="120"/>
              <w:bottom w:type="dxa" w:w="100"/>
              <w:right w:type="dxa" w:w="120"/>
            </w:tcMar>
          </w:tcPr>
          <w:p>
            <w:r>
              <w:rPr>
                <w:b w:val="false"/>
                <w:bCs w:val="false"/>
                <w:sz w:val="19"/>
                <w:szCs w:val="19"/>
              </w:rPr>
              <w:t xml:space="preserve">1st (evaluated first)</w:t>
            </w:r>
          </w:p>
        </w:tc>
        <w:tc>
          <w:tcPr>
            <w:tcW w:type="dxa" w:w="2600"/>
            <w:tcMar>
              <w:top w:type="dxa" w:w="100"/>
              <w:left w:type="dxa" w:w="120"/>
              <w:bottom w:type="dxa" w:w="100"/>
              <w:right w:type="dxa" w:w="120"/>
            </w:tcMar>
          </w:tcPr>
          <w:p>
            <w:r>
              <w:rPr>
                <w:b w:val="false"/>
                <w:bCs w:val="false"/>
                <w:sz w:val="19"/>
                <w:szCs w:val="19"/>
              </w:rPr>
              <w:t xml:space="preserve">Exception rule</w:t>
            </w:r>
          </w:p>
        </w:tc>
        <w:tc>
          <w:tcPr>
            <w:tcW w:type="dxa" w:w="5000"/>
            <w:tcMar>
              <w:top w:type="dxa" w:w="100"/>
              <w:left w:type="dxa" w:w="120"/>
              <w:bottom w:type="dxa" w:w="100"/>
              <w:right w:type="dxa" w:w="120"/>
            </w:tcMar>
          </w:tcPr>
          <w:p>
            <w:r>
              <w:rPr>
                <w:b w:val="false"/>
                <w:bCs w:val="false"/>
                <w:sz w:val="19"/>
                <w:szCs w:val="19"/>
              </w:rPr>
              <w:t xml:space="preserve">Scoped narrower than the enforcement rule below it — same zone/destination/application, restricted source (e.g., a specific user group or business exception). Carries no profile, or a deliberately lighter one. Documented reason required in the rule description.</w:t>
            </w:r>
          </w:p>
        </w:tc>
      </w:tr>
      <w:tr>
        <w:tc>
          <w:tcPr>
            <w:tcW w:type="dxa" w:w="2600"/>
            <w:tcMar>
              <w:top w:type="dxa" w:w="100"/>
              <w:left w:type="dxa" w:w="120"/>
              <w:bottom w:type="dxa" w:w="100"/>
              <w:right w:type="dxa" w:w="120"/>
            </w:tcMar>
          </w:tcPr>
          <w:p>
            <w:r>
              <w:rPr>
                <w:b w:val="false"/>
                <w:bCs w:val="false"/>
                <w:sz w:val="19"/>
                <w:szCs w:val="19"/>
              </w:rPr>
              <w:t xml:space="preserve">2nd (evaluated second)</w:t>
            </w:r>
          </w:p>
        </w:tc>
        <w:tc>
          <w:tcPr>
            <w:tcW w:type="dxa" w:w="2600"/>
            <w:tcMar>
              <w:top w:type="dxa" w:w="100"/>
              <w:left w:type="dxa" w:w="120"/>
              <w:bottom w:type="dxa" w:w="100"/>
              <w:right w:type="dxa" w:w="120"/>
            </w:tcMar>
          </w:tcPr>
          <w:p>
            <w:r>
              <w:rPr>
                <w:b w:val="false"/>
                <w:bCs w:val="false"/>
                <w:sz w:val="19"/>
                <w:szCs w:val="19"/>
              </w:rPr>
              <w:t xml:space="preserve">Enforcement rule</w:t>
            </w:r>
          </w:p>
        </w:tc>
        <w:tc>
          <w:tcPr>
            <w:tcW w:type="dxa" w:w="5000"/>
            <w:tcMar>
              <w:top w:type="dxa" w:w="100"/>
              <w:left w:type="dxa" w:w="120"/>
              <w:bottom w:type="dxa" w:w="100"/>
              <w:right w:type="dxa" w:w="120"/>
            </w:tcMar>
          </w:tcPr>
          <w:p>
            <w:r>
              <w:rPr>
                <w:b w:val="false"/>
                <w:bCs w:val="false"/>
                <w:sz w:val="19"/>
                <w:szCs w:val="19"/>
              </w:rPr>
              <w:t xml:space="preserve">The general-population rule for this function, carrying the full profile-group for the policy being implemented.</w:t>
            </w:r>
          </w:p>
        </w:tc>
      </w:tr>
    </w:tbl>
    <w:p>
      <w:pPr>
        <w:spacing w:after="120"/>
      </w:pPr>
      <w:r>
        <w:rPr>
          <w:b/>
          <w:bCs/>
        </w:rPr>
        <w:t xml:space="preserve">This is not additive — every enforcement rule that needs an exception becomes two rules, not one plus a modification. Rule count and review time for any new policy should be budgeted on this basis from the start, not discovered after the first exception request arrives.</w:t>
      </w:r>
    </w:p>
    <w:p>
      <w:pPr>
        <w:pStyle w:val="Heading1"/>
        <w:spacing w:after="160" w:before="360"/>
      </w:pPr>
      <w:r>
        <w:t>8. What "Done" Means, Per Policy</w:t>
      </w:r>
    </w:p>
    <w:p>
      <w:pPr>
        <w:spacing w:after="120"/>
      </w:pPr>
      <w:r>
        <w:t xml:space="preserve">A policy is complete only when all of the following are independently confirmed — not assumed from correct-looking configuration:</w:t>
      </w:r>
    </w:p>
    <w:p>
      <w:pPr>
        <w:pStyle w:val="ListParagraph"/>
        <w:numPr>
          <w:ilvl w:val="0"/>
          <w:numId w:val="1"/>
        </w:numPr>
        <w:spacing w:after="80"/>
      </w:pPr>
      <w:r>
        <w:t xml:space="preserve">The Traffic layer permits the intended population and denies everything else by design, not by omission.</w:t>
      </w:r>
    </w:p>
    <w:p>
      <w:pPr>
        <w:pStyle w:val="ListParagraph"/>
        <w:numPr>
          <w:ilvl w:val="0"/>
          <w:numId w:val="1"/>
        </w:numPr>
        <w:spacing w:after="80"/>
      </w:pPr>
      <w:r>
        <w:t xml:space="preserve">The Decrypt layer is confirmed enabled (not just present) and scoped to the same population as the Content layer below it.</w:t>
      </w:r>
    </w:p>
    <w:p>
      <w:pPr>
        <w:pStyle w:val="ListParagraph"/>
        <w:numPr>
          <w:ilvl w:val="0"/>
          <w:numId w:val="1"/>
        </w:numPr>
        <w:spacing w:after="80"/>
      </w:pPr>
      <w:r>
        <w:t xml:space="preserve">The Content layer's action (Alert or Block) matches the stated rollout stage for that pattern, and has been verified against real traffic — not only against the rulebase.</w:t>
      </w:r>
    </w:p>
    <w:p>
      <w:pPr>
        <w:pStyle w:val="ListParagraph"/>
        <w:numPr>
          <w:ilvl w:val="0"/>
          <w:numId w:val="1"/>
        </w:numPr>
        <w:spacing w:after="80"/>
      </w:pPr>
      <w:r>
        <w:t xml:space="preserve">Any exception rule pattern (Section 6) required for this population has been built and documented, not left for the first complaint to surface.</w:t>
      </w:r>
    </w:p>
    <w:p>
      <w:pPr>
        <w:pStyle w:val="ListParagraph"/>
        <w:numPr>
          <w:ilvl w:val="0"/>
          <w:numId w:val="1"/>
        </w:numPr>
        <w:spacing w:after="80"/>
      </w:pPr>
      <w:r>
        <w:t xml:space="preserve">Aetna, CVS Enterprise, and Retail are each independently confirmed against this checklist — a policy verified on one is not assumed to hold on the others.</w:t>
      </w:r>
    </w:p>
    <w:p>
      <w:pPr>
        <w:pBdr>
          <w:top w:val="single" w:color="CCCCCC" w:sz="6" w:space="8"/>
        </w:pBdr>
        <w:spacing w:before="400"/>
      </w:pPr>
      <w:r>
        <w:rPr>
          <w:i/>
          <w:iCs/>
          <w:color w:val="5B6169"/>
          <w:sz w:val="17"/>
          <w:szCs w:val="17"/>
        </w:rPr>
        <w:t xml:space="preserve">This document defines the target model. Current-state findings against this model are tracked separately in Capability_Coverage_by_Location.docx and Status_and_Next_Steps.docx.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2026-09-18T01:10:36.141Z</dcterms:created>
  <dcterms:modified xsi:type="dcterms:W3CDTF">2026-09-18T01:10:36.154Z</dcterms:modified>
</cp:coreProperties>
</file>

<file path=docProps/custom.xml><?xml version="1.0" encoding="utf-8"?>
<Properties xmlns="http://schemas.openxmlformats.org/officeDocument/2006/custom-properties" xmlns:vt="http://schemas.openxmlformats.org/officeDocument/2006/docPropsVTypes"/>
</file>