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color="17447C" w:sz="24" w:space="12"/>
        </w:pBdr>
        <w:spacing w:after="40"/>
        <w:ind w:left="280"/>
      </w:pPr>
      <w:r>
        <w:rPr>
          <w:rFonts w:ascii="Arial" w:cs="Arial" w:eastAsia="Arial" w:hAnsi="Arial"/>
          <w:b w:val="false"/>
          <w:bCs w:val="false"/>
          <w:color w:val="595959"/>
          <w:sz w:val="18"/>
          <w:szCs w:val="18"/>
        </w:rPr>
        <w:t xml:space="preserve">CVS Health  |  Network Security Engineering</w:t>
      </w:r>
    </w:p>
    <w:p>
      <w:pPr>
        <w:pBdr>
          <w:left w:val="single" w:color="17447C" w:sz="24" w:space="12"/>
        </w:pBdr>
        <w:spacing w:after="40"/>
        <w:ind w:left="280"/>
      </w:pPr>
      <w:r>
        <w:rPr>
          <w:rFonts w:ascii="Arial" w:cs="Arial" w:eastAsia="Arial" w:hAnsi="Arial"/>
          <w:b w:val="false"/>
          <w:bCs w:val="false"/>
          <w:color w:val="404040"/>
          <w:sz w:val="36"/>
          <w:szCs w:val="36"/>
        </w:rPr>
        <w:t xml:space="preserve">DLP and Content Inspection</w:t>
      </w:r>
    </w:p>
    <w:p>
      <w:pPr>
        <w:pBdr>
          <w:left w:val="single" w:color="17447C" w:sz="24" w:space="12"/>
        </w:pBdr>
        <w:spacing w:after="40"/>
        <w:ind w:left="280"/>
      </w:pPr>
      <w:r>
        <w:rPr>
          <w:rFonts w:ascii="Arial" w:cs="Arial" w:eastAsia="Arial" w:hAnsi="Arial"/>
          <w:b w:val="false"/>
          <w:bCs w:val="false"/>
          <w:color w:val="17447C"/>
          <w:sz w:val="26"/>
          <w:szCs w:val="26"/>
        </w:rPr>
        <w:t xml:space="preserve">Current State and Path to Palo Alto</w:t>
      </w:r>
    </w:p>
    <w:p>
      <w:pPr>
        <w:pBdr>
          <w:left w:val="single" w:color="17447C" w:sz="24" w:space="12"/>
        </w:pBdr>
        <w:spacing w:after="160"/>
        <w:ind w:left="280"/>
      </w:pPr>
      <w:r>
        <w:rPr>
          <w:rFonts w:ascii="Arial" w:cs="Arial" w:eastAsia="Arial" w:hAnsi="Arial"/>
          <w:b w:val="false"/>
          <w:bCs w:val="false"/>
          <w:color w:val="595959"/>
          <w:sz w:val="18"/>
          <w:szCs w:val="18"/>
        </w:rPr>
        <w:t xml:space="preserve">October 2, 2026  |  Michael J. Martin</w:t>
      </w:r>
    </w:p>
    <w:p>
      <w:pPr>
        <w:spacing w:after="70"/>
      </w:pPr>
      <w:r>
        <w:rPr>
          <w:rFonts w:ascii="Arial" w:cs="Arial" w:eastAsia="Arial" w:hAnsi="Arial"/>
          <w:color w:val="595959"/>
          <w:sz w:val="19"/>
          <w:szCs w:val="19"/>
        </w:rPr>
        <w:t xml:space="preserve">Following up on our meeting earlier this week, we ran a spot analysis of the current state of DLP and content inspection. Those capabilities remain in place as they were before the Palo Alto firewalls were introduced, with one narrow change at Rhode Island described below. Moving them onto Palo Alto is the next phase of work, and it will need a license commitment and a lab environment for testing.</w:t>
      </w:r>
    </w:p>
    <w:p>
      <w:pPr>
        <w:pStyle w:val="Heading1"/>
        <w:pBdr>
          <w:bottom w:val="single" w:color="17447C" w:sz="4" w:space="4"/>
        </w:pBdr>
      </w:pPr>
      <w:r>
        <w:rPr>
          <w:rFonts w:ascii="Arial" w:cs="Arial" w:eastAsia="Arial" w:hAnsi="Arial"/>
          <w:b w:val="false"/>
          <w:bCs w:val="false"/>
          <w:color w:val="404040"/>
          <w:sz w:val="26"/>
          <w:szCs w:val="26"/>
        </w:rPr>
        <w:t xml:space="preserve">1. Current state</w:t>
      </w:r>
    </w:p>
    <w:p>
      <w:pPr>
        <w:spacing w:after="70"/>
      </w:pPr>
      <w:r>
        <w:rPr>
          <w:rFonts w:ascii="Arial" w:cs="Arial" w:eastAsia="Arial" w:hAnsi="Arial"/>
          <w:color w:val="595959"/>
          <w:sz w:val="19"/>
          <w:szCs w:val="19"/>
        </w:rPr>
        <w:t xml:space="preserve">Web traffic is steered to the proxies by WCCP in the CVS environment (Shea and Rhode Island) and by the proxy PAC file in the Aetna environment.</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102"/>
        <w:gridCol w:w="3679"/>
        <w:gridCol w:w="4731"/>
      </w:tblGrid>
      <w:tr>
        <w:trPr>
          <w:tblHeader/>
        </w:trPr>
        <w:tc>
          <w:tcPr>
            <w:tcW w:type="dxa" w:w="2102"/>
            <w:tcBorders>
              <w:top w:val="single" w:color="CCCCCC" w:sz="1"/>
              <w:left w:val="single" w:color="CCCCCC" w:sz="1"/>
              <w:bottom w:val="single" w:color="CCCCCC" w:sz="1"/>
              <w:right w:val="single" w:color="CCCCCC" w:sz="1"/>
            </w:tcBorders>
            <w:shd w:fill="17447C" w:val="clear"/>
            <w:tcMar>
              <w:top w:type="dxa" w:w="30"/>
              <w:left w:type="dxa" w:w="80"/>
              <w:bottom w:type="dxa" w:w="30"/>
              <w:right w:type="dxa" w:w="80"/>
            </w:tcMar>
          </w:tcPr>
          <w:p>
            <w:r>
              <w:rPr>
                <w:rFonts w:ascii="Arial" w:cs="Arial" w:eastAsia="Arial" w:hAnsi="Arial"/>
                <w:b/>
                <w:bCs/>
                <w:color w:val="FFFFFF"/>
                <w:sz w:val="16"/>
                <w:szCs w:val="16"/>
              </w:rPr>
              <w:t xml:space="preserve">Environment</w:t>
            </w:r>
          </w:p>
        </w:tc>
        <w:tc>
          <w:tcPr>
            <w:tcW w:type="dxa" w:w="3679"/>
            <w:tcBorders>
              <w:top w:val="single" w:color="CCCCCC" w:sz="1"/>
              <w:left w:val="single" w:color="CCCCCC" w:sz="1"/>
              <w:bottom w:val="single" w:color="CCCCCC" w:sz="1"/>
              <w:right w:val="single" w:color="CCCCCC" w:sz="1"/>
            </w:tcBorders>
            <w:shd w:fill="17447C" w:val="clear"/>
            <w:tcMar>
              <w:top w:type="dxa" w:w="30"/>
              <w:left w:type="dxa" w:w="80"/>
              <w:bottom w:type="dxa" w:w="30"/>
              <w:right w:type="dxa" w:w="80"/>
            </w:tcMar>
          </w:tcPr>
          <w:p>
            <w:r>
              <w:rPr>
                <w:rFonts w:ascii="Arial" w:cs="Arial" w:eastAsia="Arial" w:hAnsi="Arial"/>
                <w:b/>
                <w:bCs/>
                <w:color w:val="FFFFFF"/>
                <w:sz w:val="16"/>
                <w:szCs w:val="16"/>
              </w:rPr>
              <w:t xml:space="preserve">Traffic steering</w:t>
            </w:r>
          </w:p>
        </w:tc>
        <w:tc>
          <w:tcPr>
            <w:tcW w:type="dxa" w:w="4731"/>
            <w:tcBorders>
              <w:top w:val="single" w:color="CCCCCC" w:sz="1"/>
              <w:left w:val="single" w:color="CCCCCC" w:sz="1"/>
              <w:bottom w:val="single" w:color="CCCCCC" w:sz="1"/>
              <w:right w:val="single" w:color="CCCCCC" w:sz="1"/>
            </w:tcBorders>
            <w:shd w:fill="17447C" w:val="clear"/>
            <w:tcMar>
              <w:top w:type="dxa" w:w="30"/>
              <w:left w:type="dxa" w:w="80"/>
              <w:bottom w:type="dxa" w:w="30"/>
              <w:right w:type="dxa" w:w="80"/>
            </w:tcMar>
          </w:tcPr>
          <w:p>
            <w:r>
              <w:rPr>
                <w:rFonts w:ascii="Arial" w:cs="Arial" w:eastAsia="Arial" w:hAnsi="Arial"/>
                <w:b/>
                <w:bCs/>
                <w:color w:val="FFFFFF"/>
                <w:sz w:val="16"/>
                <w:szCs w:val="16"/>
              </w:rPr>
              <w:t xml:space="preserve">Inspection today</w:t>
            </w:r>
          </w:p>
        </w:tc>
      </w:tr>
      <w:tr>
        <w:tc>
          <w:tcPr>
            <w:tcW w:type="dxa" w:w="2102"/>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jc w:val="left"/>
            </w:pPr>
            <w:r>
              <w:rPr>
                <w:rFonts w:ascii="Arial" w:cs="Arial" w:eastAsia="Arial" w:hAnsi="Arial"/>
                <w:b w:val="false"/>
                <w:bCs w:val="false"/>
                <w:color w:val="404040"/>
                <w:sz w:val="16"/>
                <w:szCs w:val="16"/>
              </w:rPr>
              <w:t xml:space="preserve">CVS – Shea</w:t>
            </w:r>
          </w:p>
        </w:tc>
        <w:tc>
          <w:tcPr>
            <w:tcW w:type="dxa" w:w="3679"/>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jc w:val="left"/>
            </w:pPr>
            <w:r>
              <w:rPr>
                <w:rFonts w:ascii="Arial" w:cs="Arial" w:eastAsia="Arial" w:hAnsi="Arial"/>
                <w:b w:val="false"/>
                <w:bCs w:val="false"/>
                <w:color w:val="404040"/>
                <w:sz w:val="16"/>
                <w:szCs w:val="16"/>
              </w:rPr>
              <w:t xml:space="preserve">WCCP to the Skyhigh proxies; both remain in place</w:t>
            </w:r>
          </w:p>
        </w:tc>
        <w:tc>
          <w:tcPr>
            <w:tcW w:type="dxa" w:w="4731"/>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jc w:val="left"/>
            </w:pPr>
            <w:r>
              <w:rPr>
                <w:rFonts w:ascii="Arial" w:cs="Arial" w:eastAsia="Arial" w:hAnsi="Arial"/>
                <w:b w:val="false"/>
                <w:bCs w:val="false"/>
                <w:color w:val="404040"/>
                <w:sz w:val="16"/>
                <w:szCs w:val="16"/>
              </w:rPr>
              <w:t xml:space="preserve">SSL decryption configured for content restrictions; DLP not enabled</w:t>
            </w:r>
          </w:p>
        </w:tc>
      </w:tr>
      <w:tr>
        <w:tc>
          <w:tcPr>
            <w:tcW w:type="dxa" w:w="2102"/>
            <w:tcBorders>
              <w:top w:val="single" w:color="CCCCCC" w:sz="1"/>
              <w:left w:val="single" w:color="CCCCCC" w:sz="1"/>
              <w:bottom w:val="single" w:color="CCCCCC" w:sz="1"/>
              <w:right w:val="single" w:color="CCCCCC" w:sz="1"/>
            </w:tcBorders>
            <w:shd w:fill="F2F2F2" w:val="clear"/>
            <w:tcMar>
              <w:top w:type="dxa" w:w="30"/>
              <w:left w:type="dxa" w:w="80"/>
              <w:bottom w:type="dxa" w:w="30"/>
              <w:right w:type="dxa" w:w="80"/>
            </w:tcMar>
          </w:tcPr>
          <w:p>
            <w:pPr>
              <w:jc w:val="left"/>
            </w:pPr>
            <w:r>
              <w:rPr>
                <w:rFonts w:ascii="Arial" w:cs="Arial" w:eastAsia="Arial" w:hAnsi="Arial"/>
                <w:b w:val="false"/>
                <w:bCs w:val="false"/>
                <w:color w:val="404040"/>
                <w:sz w:val="16"/>
                <w:szCs w:val="16"/>
              </w:rPr>
              <w:t xml:space="preserve">CVS – Rhode Island</w:t>
            </w:r>
          </w:p>
        </w:tc>
        <w:tc>
          <w:tcPr>
            <w:tcW w:type="dxa" w:w="3679"/>
            <w:tcBorders>
              <w:top w:val="single" w:color="CCCCCC" w:sz="1"/>
              <w:left w:val="single" w:color="CCCCCC" w:sz="1"/>
              <w:bottom w:val="single" w:color="CCCCCC" w:sz="1"/>
              <w:right w:val="single" w:color="CCCCCC" w:sz="1"/>
            </w:tcBorders>
            <w:shd w:fill="F2F2F2" w:val="clear"/>
            <w:tcMar>
              <w:top w:type="dxa" w:w="30"/>
              <w:left w:type="dxa" w:w="80"/>
              <w:bottom w:type="dxa" w:w="30"/>
              <w:right w:type="dxa" w:w="80"/>
            </w:tcMar>
          </w:tcPr>
          <w:p>
            <w:pPr>
              <w:jc w:val="left"/>
            </w:pPr>
            <w:r>
              <w:rPr>
                <w:rFonts w:ascii="Arial" w:cs="Arial" w:eastAsia="Arial" w:hAnsi="Arial"/>
                <w:b w:val="false"/>
                <w:bCs w:val="false"/>
                <w:color w:val="404040"/>
                <w:sz w:val="16"/>
                <w:szCs w:val="16"/>
              </w:rPr>
              <w:t xml:space="preserve">WCCP has been disabled; the Skyhigh proxies remain operational for servers configured to use them</w:t>
            </w:r>
          </w:p>
        </w:tc>
        <w:tc>
          <w:tcPr>
            <w:tcW w:type="dxa" w:w="4731"/>
            <w:tcBorders>
              <w:top w:val="single" w:color="CCCCCC" w:sz="1"/>
              <w:left w:val="single" w:color="CCCCCC" w:sz="1"/>
              <w:bottom w:val="single" w:color="CCCCCC" w:sz="1"/>
              <w:right w:val="single" w:color="CCCCCC" w:sz="1"/>
            </w:tcBorders>
            <w:shd w:fill="F2F2F2" w:val="clear"/>
            <w:tcMar>
              <w:top w:type="dxa" w:w="30"/>
              <w:left w:type="dxa" w:w="80"/>
              <w:bottom w:type="dxa" w:w="30"/>
              <w:right w:type="dxa" w:w="80"/>
            </w:tcMar>
          </w:tcPr>
          <w:p>
            <w:pPr>
              <w:jc w:val="left"/>
            </w:pPr>
            <w:r>
              <w:rPr>
                <w:rFonts w:ascii="Arial" w:cs="Arial" w:eastAsia="Arial" w:hAnsi="Arial"/>
                <w:b w:val="false"/>
                <w:bCs w:val="false"/>
                <w:color w:val="404040"/>
                <w:sz w:val="16"/>
                <w:szCs w:val="16"/>
              </w:rPr>
              <w:t xml:space="preserve">Traffic WCCP used to redirect is now processed by Zscaler or directly by the Palo Alto, which provides the decryption and content blocking the proxy did; servers configured with the proxy address still use the Skyhigh proxies (about 1.25 million connections over 15 days)</w:t>
            </w:r>
          </w:p>
        </w:tc>
      </w:tr>
      <w:tr>
        <w:tc>
          <w:tcPr>
            <w:tcW w:type="dxa" w:w="2102"/>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jc w:val="left"/>
            </w:pPr>
            <w:r>
              <w:rPr>
                <w:rFonts w:ascii="Arial" w:cs="Arial" w:eastAsia="Arial" w:hAnsi="Arial"/>
                <w:b w:val="false"/>
                <w:bCs w:val="false"/>
                <w:color w:val="404040"/>
                <w:sz w:val="16"/>
                <w:szCs w:val="16"/>
              </w:rPr>
              <w:t xml:space="preserve">CVS – Las Vegas COLO</w:t>
            </w:r>
          </w:p>
        </w:tc>
        <w:tc>
          <w:tcPr>
            <w:tcW w:type="dxa" w:w="3679"/>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jc w:val="left"/>
            </w:pPr>
            <w:r>
              <w:rPr>
                <w:rFonts w:ascii="Arial" w:cs="Arial" w:eastAsia="Arial" w:hAnsi="Arial"/>
                <w:b w:val="false"/>
                <w:bCs w:val="false"/>
                <w:color w:val="404040"/>
                <w:sz w:val="16"/>
                <w:szCs w:val="16"/>
              </w:rPr>
              <w:t xml:space="preserve">Direct to the Palo Alto; some Citrix and application servers still send traffic to the Aetna, Shea and Rhode Island proxies</w:t>
            </w:r>
          </w:p>
        </w:tc>
        <w:tc>
          <w:tcPr>
            <w:tcW w:type="dxa" w:w="4731"/>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jc w:val="left"/>
            </w:pPr>
            <w:r>
              <w:rPr>
                <w:rFonts w:ascii="Arial" w:cs="Arial" w:eastAsia="Arial" w:hAnsi="Arial"/>
                <w:b w:val="false"/>
                <w:bCs w:val="false"/>
                <w:color w:val="404040"/>
                <w:sz w:val="16"/>
                <w:szCs w:val="16"/>
              </w:rPr>
              <w:t xml:space="preserve">SSL decryption enabled; a test DLP policy using the temporary Advanced DLP license; a 22-pattern DLP policy supports the Aetna affiliates</w:t>
            </w:r>
          </w:p>
        </w:tc>
      </w:tr>
      <w:tr>
        <w:tc>
          <w:tcPr>
            <w:tcW w:type="dxa" w:w="2102"/>
            <w:tcBorders>
              <w:top w:val="single" w:color="CCCCCC" w:sz="1"/>
              <w:left w:val="single" w:color="CCCCCC" w:sz="1"/>
              <w:bottom w:val="single" w:color="CCCCCC" w:sz="1"/>
              <w:right w:val="single" w:color="CCCCCC" w:sz="1"/>
            </w:tcBorders>
            <w:shd w:fill="F2F2F2" w:val="clear"/>
            <w:tcMar>
              <w:top w:type="dxa" w:w="30"/>
              <w:left w:type="dxa" w:w="80"/>
              <w:bottom w:type="dxa" w:w="30"/>
              <w:right w:type="dxa" w:w="80"/>
            </w:tcMar>
          </w:tcPr>
          <w:p>
            <w:pPr>
              <w:jc w:val="left"/>
            </w:pPr>
            <w:r>
              <w:rPr>
                <w:rFonts w:ascii="Arial" w:cs="Arial" w:eastAsia="Arial" w:hAnsi="Arial"/>
                <w:b w:val="false"/>
                <w:bCs w:val="false"/>
                <w:color w:val="404040"/>
                <w:sz w:val="16"/>
                <w:szCs w:val="16"/>
              </w:rPr>
              <w:t xml:space="preserve">Aetna – Middletown, Windsor</w:t>
            </w:r>
          </w:p>
        </w:tc>
        <w:tc>
          <w:tcPr>
            <w:tcW w:type="dxa" w:w="3679"/>
            <w:tcBorders>
              <w:top w:val="single" w:color="CCCCCC" w:sz="1"/>
              <w:left w:val="single" w:color="CCCCCC" w:sz="1"/>
              <w:bottom w:val="single" w:color="CCCCCC" w:sz="1"/>
              <w:right w:val="single" w:color="CCCCCC" w:sz="1"/>
            </w:tcBorders>
            <w:shd w:fill="F2F2F2" w:val="clear"/>
            <w:tcMar>
              <w:top w:type="dxa" w:w="30"/>
              <w:left w:type="dxa" w:w="80"/>
              <w:bottom w:type="dxa" w:w="30"/>
              <w:right w:type="dxa" w:w="80"/>
            </w:tcMar>
          </w:tcPr>
          <w:p>
            <w:pPr>
              <w:jc w:val="left"/>
            </w:pPr>
            <w:r>
              <w:rPr>
                <w:rFonts w:ascii="Arial" w:cs="Arial" w:eastAsia="Arial" w:hAnsi="Arial"/>
                <w:b w:val="false"/>
                <w:bCs w:val="false"/>
                <w:color w:val="404040"/>
                <w:sz w:val="16"/>
                <w:szCs w:val="16"/>
              </w:rPr>
              <w:t xml:space="preserve">Proxy PAC file to the Skyhigh proxies</w:t>
            </w:r>
          </w:p>
        </w:tc>
        <w:tc>
          <w:tcPr>
            <w:tcW w:type="dxa" w:w="4731"/>
            <w:tcBorders>
              <w:top w:val="single" w:color="CCCCCC" w:sz="1"/>
              <w:left w:val="single" w:color="CCCCCC" w:sz="1"/>
              <w:bottom w:val="single" w:color="CCCCCC" w:sz="1"/>
              <w:right w:val="single" w:color="CCCCCC" w:sz="1"/>
            </w:tcBorders>
            <w:shd w:fill="F2F2F2" w:val="clear"/>
            <w:tcMar>
              <w:top w:type="dxa" w:w="30"/>
              <w:left w:type="dxa" w:w="80"/>
              <w:bottom w:type="dxa" w:w="30"/>
              <w:right w:type="dxa" w:w="80"/>
            </w:tcMar>
          </w:tcPr>
          <w:p>
            <w:pPr>
              <w:jc w:val="left"/>
            </w:pPr>
            <w:r>
              <w:rPr>
                <w:rFonts w:ascii="Arial" w:cs="Arial" w:eastAsia="Arial" w:hAnsi="Arial"/>
                <w:b w:val="false"/>
                <w:bCs w:val="false"/>
                <w:color w:val="404040"/>
                <w:sz w:val="16"/>
                <w:szCs w:val="16"/>
              </w:rPr>
              <w:t xml:space="preserve">Unchanged: SSL decryption governed by static URL and domain lists; DLP on uploads (SSN, payment card, masked SSN, HICN)</w:t>
            </w:r>
          </w:p>
        </w:tc>
      </w:tr>
      <w:tr>
        <w:tc>
          <w:tcPr>
            <w:tcW w:type="dxa" w:w="2102"/>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jc w:val="left"/>
            </w:pPr>
            <w:r>
              <w:rPr>
                <w:rFonts w:ascii="Arial" w:cs="Arial" w:eastAsia="Arial" w:hAnsi="Arial"/>
                <w:b w:val="false"/>
                <w:bCs w:val="false"/>
                <w:color w:val="404040"/>
                <w:sz w:val="16"/>
                <w:szCs w:val="16"/>
              </w:rPr>
              <w:t xml:space="preserve">Users on managed devices (both companies)</w:t>
            </w:r>
          </w:p>
        </w:tc>
        <w:tc>
          <w:tcPr>
            <w:tcW w:type="dxa" w:w="3679"/>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jc w:val="left"/>
            </w:pPr>
            <w:r>
              <w:rPr>
                <w:rFonts w:ascii="Arial" w:cs="Arial" w:eastAsia="Arial" w:hAnsi="Arial"/>
                <w:b w:val="false"/>
                <w:bCs w:val="false"/>
                <w:color w:val="404040"/>
                <w:sz w:val="16"/>
                <w:szCs w:val="16"/>
              </w:rPr>
              <w:t xml:space="preserve">Zscaler client</w:t>
            </w:r>
          </w:p>
        </w:tc>
        <w:tc>
          <w:tcPr>
            <w:tcW w:type="dxa" w:w="4731"/>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jc w:val="left"/>
            </w:pPr>
            <w:r>
              <w:rPr>
                <w:rFonts w:ascii="Arial" w:cs="Arial" w:eastAsia="Arial" w:hAnsi="Arial"/>
                <w:b w:val="false"/>
                <w:bCs w:val="false"/>
                <w:color w:val="404040"/>
                <w:sz w:val="16"/>
                <w:szCs w:val="16"/>
              </w:rPr>
              <w:t xml:space="preserve">Zscaler content policy and DLP; 64% of user devices use it</w:t>
            </w:r>
          </w:p>
        </w:tc>
      </w:tr>
    </w:tbl>
    <w:p>
      <w:pPr>
        <w:spacing w:after="0"/>
      </w:pPr>
      <w:r>
        <w:rPr>
          <w:sz w:val="8"/>
          <w:szCs w:val="8"/>
        </w:rPr>
        <w:t xml:space="preserve"/>
      </w:r>
    </w:p>
    <w:p>
      <w:pPr>
        <w:spacing w:after="70"/>
      </w:pPr>
      <w:r>
        <w:rPr>
          <w:rFonts w:ascii="Arial" w:cs="Arial" w:eastAsia="Arial" w:hAnsi="Arial"/>
          <w:color w:val="595959"/>
          <w:sz w:val="19"/>
          <w:szCs w:val="19"/>
        </w:rPr>
        <w:t xml:space="preserve">The one capability reduced with WCCP disabled at Rhode Island is content inspection of plain HTTP traffic there, about 3% of Rhode Island's web traffic. Everything else the proxy did at Rhode Island is covered by Zscaler or the Palo Alto.</w:t>
      </w:r>
    </w:p>
    <w:p>
      <w:pPr>
        <w:spacing w:after="70"/>
      </w:pPr>
      <w:r>
        <w:rPr>
          <w:rFonts w:ascii="Arial" w:cs="Arial" w:eastAsia="Arial" w:hAnsi="Arial"/>
          <w:color w:val="595959"/>
          <w:sz w:val="19"/>
          <w:szCs w:val="19"/>
        </w:rPr>
        <w:t xml:space="preserve">At Las Vegas, the Palo Alto DLP policy for the Aetna affiliates has 22 patterns, four of which align directly with the nine DLP classes the Aetna Skyhigh proxy enforces. Citrix and application servers there still send a significant amount of traffic to the Aetna, Shea and Rhode Island proxies: about 132,000 connections from 791 servers over 15 days.</w:t>
      </w:r>
    </w:p>
    <w:p>
      <w:pPr>
        <w:spacing w:after="70"/>
      </w:pPr>
      <w:r>
        <w:rPr>
          <w:rFonts w:ascii="Arial" w:cs="Arial" w:eastAsia="Arial" w:hAnsi="Arial"/>
          <w:color w:val="595959"/>
          <w:sz w:val="19"/>
          <w:szCs w:val="19"/>
        </w:rPr>
        <w:t xml:space="preserve">The inspection posture is the same split-tunnel model on every platform. Traffic to Microsoft, Azure, AWS and Google is bypassed and not inspected, by design; decryption and DLP are applied to targeted URL and domain lists. This posture predates the Palo Alto rollout and was not changed by it.</w:t>
      </w:r>
    </w:p>
    <w:p>
      <w:pPr>
        <w:spacing w:after="70"/>
      </w:pPr>
      <w:r>
        <w:rPr>
          <w:rFonts w:ascii="Arial" w:cs="Arial" w:eastAsia="Arial" w:hAnsi="Arial"/>
          <w:color w:val="595959"/>
          <w:sz w:val="19"/>
          <w:szCs w:val="19"/>
        </w:rPr>
        <w:t xml:space="preserve">About 96% of direct server web traffic is HTTPS, so on every platform inspection reaches the traffic that is decrypted. That has been true throughout and is what the Palo Alto program builds on.</w:t>
      </w:r>
    </w:p>
    <w:p>
      <w:pPr>
        <w:pStyle w:val="Heading1"/>
        <w:pBdr>
          <w:bottom w:val="single" w:color="17447C" w:sz="4" w:space="4"/>
        </w:pBdr>
      </w:pPr>
      <w:r>
        <w:rPr>
          <w:rFonts w:ascii="Arial" w:cs="Arial" w:eastAsia="Arial" w:hAnsi="Arial"/>
          <w:b w:val="false"/>
          <w:bCs w:val="false"/>
          <w:color w:val="404040"/>
          <w:sz w:val="26"/>
          <w:szCs w:val="26"/>
        </w:rPr>
        <w:t xml:space="preserve">2. Who still uses the proxies</w:t>
      </w:r>
    </w:p>
    <w:p>
      <w:pPr>
        <w:spacing w:after="70"/>
      </w:pPr>
      <w:r>
        <w:rPr>
          <w:rFonts w:ascii="Arial" w:cs="Arial" w:eastAsia="Arial" w:hAnsi="Arial"/>
          <w:color w:val="595959"/>
          <w:sz w:val="19"/>
          <w:szCs w:val="19"/>
        </w:rPr>
        <w:t xml:space="preserve">About 19,300 servers sent 4.2 million connections to the proxies over 15 days, and Azure is the largest user. Every environment still depends on them, so they stay in service until each capability moves to Palo Alto.</w:t>
      </w:r>
    </w:p>
    <w:p>
      <w:pPr>
        <w:spacing w:after="70"/>
      </w:pPr>
      <w:r>
        <w:rPr>
          <w:rFonts w:ascii="Arial" w:cs="Arial" w:eastAsia="Arial" w:hAnsi="Arial"/>
          <w:b/>
          <w:bCs/>
          <w:color w:val="404040"/>
          <w:sz w:val="19"/>
          <w:szCs w:val="19"/>
        </w:rPr>
        <w:t xml:space="preserve">Data basis. </w:t>
      </w:r>
      <w:r>
        <w:rPr>
          <w:rFonts w:ascii="Arial" w:cs="Arial" w:eastAsia="Arial" w:hAnsi="Arial"/>
          <w:color w:val="595959"/>
          <w:sz w:val="19"/>
          <w:szCs w:val="19"/>
        </w:rPr>
        <w:t xml:space="preserve">These figures come from Tanium flow data for the application server and Citrix server environments (15 days, approx. Sept 1–16, 2026), cross-referenced against Palo Alto egress firewall logs of Zscaler and CrowdStrike traffic. Together they show how server traffic moves through the egress firewalls and through the proxies.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253"/>
        <w:gridCol w:w="1377"/>
        <w:gridCol w:w="1377"/>
        <w:gridCol w:w="1377"/>
        <w:gridCol w:w="1377"/>
        <w:gridCol w:w="1377"/>
        <w:gridCol w:w="1374"/>
      </w:tblGrid>
      <w:tr>
        <w:trPr>
          <w:tblHeader/>
        </w:trPr>
        <w:tc>
          <w:tcPr>
            <w:tcW w:type="dxa" w:w="2253"/>
            <w:tcBorders>
              <w:top w:val="single" w:color="CCCCCC" w:sz="1"/>
              <w:left w:val="single" w:color="CCCCCC" w:sz="1"/>
              <w:bottom w:val="single" w:color="CCCCCC" w:sz="1"/>
              <w:right w:val="single" w:color="CCCCCC" w:sz="1"/>
            </w:tcBorders>
            <w:shd w:fill="17447C" w:val="clear"/>
            <w:tcMar>
              <w:top w:type="dxa" w:w="30"/>
              <w:left w:type="dxa" w:w="80"/>
              <w:bottom w:type="dxa" w:w="30"/>
              <w:right w:type="dxa" w:w="80"/>
            </w:tcMar>
          </w:tcPr>
          <w:p>
            <w:r>
              <w:rPr>
                <w:rFonts w:ascii="Arial" w:cs="Arial" w:eastAsia="Arial" w:hAnsi="Arial"/>
                <w:b/>
                <w:bCs/>
                <w:color w:val="FFFFFF"/>
                <w:sz w:val="16"/>
                <w:szCs w:val="16"/>
              </w:rPr>
              <w:t xml:space="preserve">Environment (where the servers are)</w:t>
            </w:r>
          </w:p>
        </w:tc>
        <w:tc>
          <w:tcPr>
            <w:tcW w:type="dxa" w:w="1377"/>
            <w:tcBorders>
              <w:top w:val="single" w:color="CCCCCC" w:sz="1"/>
              <w:left w:val="single" w:color="CCCCCC" w:sz="1"/>
              <w:bottom w:val="single" w:color="CCCCCC" w:sz="1"/>
              <w:right w:val="single" w:color="CCCCCC" w:sz="1"/>
            </w:tcBorders>
            <w:shd w:fill="17447C" w:val="clear"/>
            <w:tcMar>
              <w:top w:type="dxa" w:w="30"/>
              <w:left w:type="dxa" w:w="80"/>
              <w:bottom w:type="dxa" w:w="30"/>
              <w:right w:type="dxa" w:w="80"/>
            </w:tcMar>
          </w:tcPr>
          <w:p>
            <w:r>
              <w:rPr>
                <w:rFonts w:ascii="Arial" w:cs="Arial" w:eastAsia="Arial" w:hAnsi="Arial"/>
                <w:b/>
                <w:bCs/>
                <w:color w:val="FFFFFF"/>
                <w:sz w:val="16"/>
                <w:szCs w:val="16"/>
              </w:rPr>
              <w:t xml:space="preserve">Servers using a proxy</w:t>
            </w:r>
          </w:p>
        </w:tc>
        <w:tc>
          <w:tcPr>
            <w:tcW w:type="dxa" w:w="1377"/>
            <w:tcBorders>
              <w:top w:val="single" w:color="CCCCCC" w:sz="1"/>
              <w:left w:val="single" w:color="CCCCCC" w:sz="1"/>
              <w:bottom w:val="single" w:color="CCCCCC" w:sz="1"/>
              <w:right w:val="single" w:color="CCCCCC" w:sz="1"/>
            </w:tcBorders>
            <w:shd w:fill="17447C" w:val="clear"/>
            <w:tcMar>
              <w:top w:type="dxa" w:w="30"/>
              <w:left w:type="dxa" w:w="80"/>
              <w:bottom w:type="dxa" w:w="30"/>
              <w:right w:type="dxa" w:w="80"/>
            </w:tcMar>
          </w:tcPr>
          <w:p>
            <w:r>
              <w:rPr>
                <w:rFonts w:ascii="Arial" w:cs="Arial" w:eastAsia="Arial" w:hAnsi="Arial"/>
                <w:b/>
                <w:bCs/>
                <w:color w:val="FFFFFF"/>
                <w:sz w:val="16"/>
                <w:szCs w:val="16"/>
              </w:rPr>
              <w:t xml:space="preserve">Proxy connections (15 days)</w:t>
            </w:r>
          </w:p>
        </w:tc>
        <w:tc>
          <w:tcPr>
            <w:tcW w:type="dxa" w:w="1377"/>
            <w:tcBorders>
              <w:top w:val="single" w:color="CCCCCC" w:sz="1"/>
              <w:left w:val="single" w:color="CCCCCC" w:sz="1"/>
              <w:bottom w:val="single" w:color="CCCCCC" w:sz="1"/>
              <w:right w:val="single" w:color="CCCCCC" w:sz="1"/>
            </w:tcBorders>
            <w:shd w:fill="17447C" w:val="clear"/>
            <w:tcMar>
              <w:top w:type="dxa" w:w="30"/>
              <w:left w:type="dxa" w:w="80"/>
              <w:bottom w:type="dxa" w:w="30"/>
              <w:right w:type="dxa" w:w="80"/>
            </w:tcMar>
          </w:tcPr>
          <w:p>
            <w:r>
              <w:rPr>
                <w:rFonts w:ascii="Arial" w:cs="Arial" w:eastAsia="Arial" w:hAnsi="Arial"/>
                <w:b/>
                <w:bCs/>
                <w:color w:val="FFFFFF"/>
                <w:sz w:val="16"/>
                <w:szCs w:val="16"/>
              </w:rPr>
              <w:t xml:space="preserve">Share of all proxy traffic</w:t>
            </w:r>
          </w:p>
        </w:tc>
        <w:tc>
          <w:tcPr>
            <w:tcW w:type="dxa" w:w="1377"/>
            <w:tcBorders>
              <w:top w:val="single" w:color="CCCCCC" w:sz="1"/>
              <w:left w:val="single" w:color="CCCCCC" w:sz="1"/>
              <w:bottom w:val="single" w:color="CCCCCC" w:sz="1"/>
              <w:right w:val="single" w:color="CCCCCC" w:sz="1"/>
            </w:tcBorders>
            <w:shd w:fill="17447C" w:val="clear"/>
            <w:tcMar>
              <w:top w:type="dxa" w:w="30"/>
              <w:left w:type="dxa" w:w="80"/>
              <w:bottom w:type="dxa" w:w="30"/>
              <w:right w:type="dxa" w:w="80"/>
            </w:tcMar>
          </w:tcPr>
          <w:p>
            <w:r>
              <w:rPr>
                <w:rFonts w:ascii="Arial" w:cs="Arial" w:eastAsia="Arial" w:hAnsi="Arial"/>
                <w:b/>
                <w:bCs/>
                <w:color w:val="FFFFFF"/>
                <w:sz w:val="16"/>
                <w:szCs w:val="16"/>
              </w:rPr>
              <w:t xml:space="preserve">Aetna proxies</w:t>
            </w:r>
          </w:p>
        </w:tc>
        <w:tc>
          <w:tcPr>
            <w:tcW w:type="dxa" w:w="1377"/>
            <w:tcBorders>
              <w:top w:val="single" w:color="CCCCCC" w:sz="1"/>
              <w:left w:val="single" w:color="CCCCCC" w:sz="1"/>
              <w:bottom w:val="single" w:color="CCCCCC" w:sz="1"/>
              <w:right w:val="single" w:color="CCCCCC" w:sz="1"/>
            </w:tcBorders>
            <w:shd w:fill="17447C" w:val="clear"/>
            <w:tcMar>
              <w:top w:type="dxa" w:w="30"/>
              <w:left w:type="dxa" w:w="80"/>
              <w:bottom w:type="dxa" w:w="30"/>
              <w:right w:type="dxa" w:w="80"/>
            </w:tcMar>
          </w:tcPr>
          <w:p>
            <w:r>
              <w:rPr>
                <w:rFonts w:ascii="Arial" w:cs="Arial" w:eastAsia="Arial" w:hAnsi="Arial"/>
                <w:b/>
                <w:bCs/>
                <w:color w:val="FFFFFF"/>
                <w:sz w:val="16"/>
                <w:szCs w:val="16"/>
              </w:rPr>
              <w:t xml:space="preserve">Skyhigh Shea</w:t>
            </w:r>
          </w:p>
        </w:tc>
        <w:tc>
          <w:tcPr>
            <w:tcW w:type="dxa" w:w="1374"/>
            <w:tcBorders>
              <w:top w:val="single" w:color="CCCCCC" w:sz="1"/>
              <w:left w:val="single" w:color="CCCCCC" w:sz="1"/>
              <w:bottom w:val="single" w:color="CCCCCC" w:sz="1"/>
              <w:right w:val="single" w:color="CCCCCC" w:sz="1"/>
            </w:tcBorders>
            <w:shd w:fill="17447C" w:val="clear"/>
            <w:tcMar>
              <w:top w:type="dxa" w:w="30"/>
              <w:left w:type="dxa" w:w="80"/>
              <w:bottom w:type="dxa" w:w="30"/>
              <w:right w:type="dxa" w:w="80"/>
            </w:tcMar>
          </w:tcPr>
          <w:p>
            <w:r>
              <w:rPr>
                <w:rFonts w:ascii="Arial" w:cs="Arial" w:eastAsia="Arial" w:hAnsi="Arial"/>
                <w:b/>
                <w:bCs/>
                <w:color w:val="FFFFFF"/>
                <w:sz w:val="16"/>
                <w:szCs w:val="16"/>
              </w:rPr>
              <w:t xml:space="preserve">Skyhigh Rhode Island</w:t>
            </w:r>
          </w:p>
        </w:tc>
      </w:tr>
      <w:tr>
        <w:tc>
          <w:tcPr>
            <w:tcW w:type="dxa" w:w="2253"/>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jc w:val="left"/>
            </w:pPr>
            <w:r>
              <w:rPr>
                <w:rFonts w:ascii="Arial" w:cs="Arial" w:eastAsia="Arial" w:hAnsi="Arial"/>
                <w:b w:val="false"/>
                <w:bCs w:val="false"/>
                <w:color w:val="404040"/>
                <w:sz w:val="16"/>
                <w:szCs w:val="16"/>
              </w:rPr>
              <w:t xml:space="preserve">Azure</w:t>
            </w:r>
          </w:p>
        </w:tc>
        <w:tc>
          <w:tcPr>
            <w:tcW w:type="dxa" w:w="1377"/>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jc w:val="right"/>
            </w:pPr>
            <w:r>
              <w:rPr>
                <w:rFonts w:ascii="Arial" w:cs="Arial" w:eastAsia="Arial" w:hAnsi="Arial"/>
                <w:b w:val="false"/>
                <w:bCs w:val="false"/>
                <w:color w:val="404040"/>
                <w:sz w:val="16"/>
                <w:szCs w:val="16"/>
              </w:rPr>
              <w:t xml:space="preserve">5,244</w:t>
            </w:r>
          </w:p>
        </w:tc>
        <w:tc>
          <w:tcPr>
            <w:tcW w:type="dxa" w:w="1377"/>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jc w:val="right"/>
            </w:pPr>
            <w:r>
              <w:rPr>
                <w:rFonts w:ascii="Arial" w:cs="Arial" w:eastAsia="Arial" w:hAnsi="Arial"/>
                <w:b w:val="false"/>
                <w:bCs w:val="false"/>
                <w:color w:val="404040"/>
                <w:sz w:val="16"/>
                <w:szCs w:val="16"/>
              </w:rPr>
              <w:t xml:space="preserve">1.38M</w:t>
            </w:r>
          </w:p>
        </w:tc>
        <w:tc>
          <w:tcPr>
            <w:tcW w:type="dxa" w:w="1377"/>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jc w:val="right"/>
            </w:pPr>
            <w:r>
              <w:rPr>
                <w:rFonts w:ascii="Arial" w:cs="Arial" w:eastAsia="Arial" w:hAnsi="Arial"/>
                <w:b w:val="false"/>
                <w:bCs w:val="false"/>
                <w:color w:val="404040"/>
                <w:sz w:val="16"/>
                <w:szCs w:val="16"/>
              </w:rPr>
              <w:t xml:space="preserve">33%</w:t>
            </w:r>
          </w:p>
        </w:tc>
        <w:tc>
          <w:tcPr>
            <w:tcW w:type="dxa" w:w="1377"/>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jc w:val="right"/>
            </w:pPr>
            <w:r>
              <w:rPr>
                <w:rFonts w:ascii="Arial" w:cs="Arial" w:eastAsia="Arial" w:hAnsi="Arial"/>
                <w:b w:val="false"/>
                <w:bCs w:val="false"/>
                <w:color w:val="404040"/>
                <w:sz w:val="16"/>
                <w:szCs w:val="16"/>
              </w:rPr>
              <w:t xml:space="preserve">56%</w:t>
            </w:r>
          </w:p>
        </w:tc>
        <w:tc>
          <w:tcPr>
            <w:tcW w:type="dxa" w:w="1377"/>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jc w:val="right"/>
            </w:pPr>
            <w:r>
              <w:rPr>
                <w:rFonts w:ascii="Arial" w:cs="Arial" w:eastAsia="Arial" w:hAnsi="Arial"/>
                <w:b w:val="false"/>
                <w:bCs w:val="false"/>
                <w:color w:val="404040"/>
                <w:sz w:val="16"/>
                <w:szCs w:val="16"/>
              </w:rPr>
              <w:t xml:space="preserve">10%</w:t>
            </w:r>
          </w:p>
        </w:tc>
        <w:tc>
          <w:tcPr>
            <w:tcW w:type="dxa" w:w="1374"/>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jc w:val="right"/>
            </w:pPr>
            <w:r>
              <w:rPr>
                <w:rFonts w:ascii="Arial" w:cs="Arial" w:eastAsia="Arial" w:hAnsi="Arial"/>
                <w:b w:val="false"/>
                <w:bCs w:val="false"/>
                <w:color w:val="404040"/>
                <w:sz w:val="16"/>
                <w:szCs w:val="16"/>
              </w:rPr>
              <w:t xml:space="preserve">34%</w:t>
            </w:r>
          </w:p>
        </w:tc>
      </w:tr>
      <w:tr>
        <w:tc>
          <w:tcPr>
            <w:tcW w:type="dxa" w:w="2253"/>
            <w:tcBorders>
              <w:top w:val="single" w:color="CCCCCC" w:sz="1"/>
              <w:left w:val="single" w:color="CCCCCC" w:sz="1"/>
              <w:bottom w:val="single" w:color="CCCCCC" w:sz="1"/>
              <w:right w:val="single" w:color="CCCCCC" w:sz="1"/>
            </w:tcBorders>
            <w:shd w:fill="F2F2F2" w:val="clear"/>
            <w:tcMar>
              <w:top w:type="dxa" w:w="30"/>
              <w:left w:type="dxa" w:w="80"/>
              <w:bottom w:type="dxa" w:w="30"/>
              <w:right w:type="dxa" w:w="80"/>
            </w:tcMar>
          </w:tcPr>
          <w:p>
            <w:pPr>
              <w:jc w:val="left"/>
            </w:pPr>
            <w:r>
              <w:rPr>
                <w:rFonts w:ascii="Arial" w:cs="Arial" w:eastAsia="Arial" w:hAnsi="Arial"/>
                <w:b w:val="false"/>
                <w:bCs w:val="false"/>
                <w:color w:val="404040"/>
                <w:sz w:val="16"/>
                <w:szCs w:val="16"/>
              </w:rPr>
              <w:t xml:space="preserve">Middletown</w:t>
            </w:r>
          </w:p>
        </w:tc>
        <w:tc>
          <w:tcPr>
            <w:tcW w:type="dxa" w:w="1377"/>
            <w:tcBorders>
              <w:top w:val="single" w:color="CCCCCC" w:sz="1"/>
              <w:left w:val="single" w:color="CCCCCC" w:sz="1"/>
              <w:bottom w:val="single" w:color="CCCCCC" w:sz="1"/>
              <w:right w:val="single" w:color="CCCCCC" w:sz="1"/>
            </w:tcBorders>
            <w:shd w:fill="F2F2F2" w:val="clear"/>
            <w:tcMar>
              <w:top w:type="dxa" w:w="30"/>
              <w:left w:type="dxa" w:w="80"/>
              <w:bottom w:type="dxa" w:w="30"/>
              <w:right w:type="dxa" w:w="80"/>
            </w:tcMar>
          </w:tcPr>
          <w:p>
            <w:pPr>
              <w:jc w:val="right"/>
            </w:pPr>
            <w:r>
              <w:rPr>
                <w:rFonts w:ascii="Arial" w:cs="Arial" w:eastAsia="Arial" w:hAnsi="Arial"/>
                <w:b w:val="false"/>
                <w:bCs w:val="false"/>
                <w:color w:val="404040"/>
                <w:sz w:val="16"/>
                <w:szCs w:val="16"/>
              </w:rPr>
              <w:t xml:space="preserve">4,231</w:t>
            </w:r>
          </w:p>
        </w:tc>
        <w:tc>
          <w:tcPr>
            <w:tcW w:type="dxa" w:w="1377"/>
            <w:tcBorders>
              <w:top w:val="single" w:color="CCCCCC" w:sz="1"/>
              <w:left w:val="single" w:color="CCCCCC" w:sz="1"/>
              <w:bottom w:val="single" w:color="CCCCCC" w:sz="1"/>
              <w:right w:val="single" w:color="CCCCCC" w:sz="1"/>
            </w:tcBorders>
            <w:shd w:fill="F2F2F2" w:val="clear"/>
            <w:tcMar>
              <w:top w:type="dxa" w:w="30"/>
              <w:left w:type="dxa" w:w="80"/>
              <w:bottom w:type="dxa" w:w="30"/>
              <w:right w:type="dxa" w:w="80"/>
            </w:tcMar>
          </w:tcPr>
          <w:p>
            <w:pPr>
              <w:jc w:val="right"/>
            </w:pPr>
            <w:r>
              <w:rPr>
                <w:rFonts w:ascii="Arial" w:cs="Arial" w:eastAsia="Arial" w:hAnsi="Arial"/>
                <w:b w:val="false"/>
                <w:bCs w:val="false"/>
                <w:color w:val="404040"/>
                <w:sz w:val="16"/>
                <w:szCs w:val="16"/>
              </w:rPr>
              <w:t xml:space="preserve">0.96M</w:t>
            </w:r>
          </w:p>
        </w:tc>
        <w:tc>
          <w:tcPr>
            <w:tcW w:type="dxa" w:w="1377"/>
            <w:tcBorders>
              <w:top w:val="single" w:color="CCCCCC" w:sz="1"/>
              <w:left w:val="single" w:color="CCCCCC" w:sz="1"/>
              <w:bottom w:val="single" w:color="CCCCCC" w:sz="1"/>
              <w:right w:val="single" w:color="CCCCCC" w:sz="1"/>
            </w:tcBorders>
            <w:shd w:fill="F2F2F2" w:val="clear"/>
            <w:tcMar>
              <w:top w:type="dxa" w:w="30"/>
              <w:left w:type="dxa" w:w="80"/>
              <w:bottom w:type="dxa" w:w="30"/>
              <w:right w:type="dxa" w:w="80"/>
            </w:tcMar>
          </w:tcPr>
          <w:p>
            <w:pPr>
              <w:jc w:val="right"/>
            </w:pPr>
            <w:r>
              <w:rPr>
                <w:rFonts w:ascii="Arial" w:cs="Arial" w:eastAsia="Arial" w:hAnsi="Arial"/>
                <w:b w:val="false"/>
                <w:bCs w:val="false"/>
                <w:color w:val="404040"/>
                <w:sz w:val="16"/>
                <w:szCs w:val="16"/>
              </w:rPr>
              <w:t xml:space="preserve">23%</w:t>
            </w:r>
          </w:p>
        </w:tc>
        <w:tc>
          <w:tcPr>
            <w:tcW w:type="dxa" w:w="1377"/>
            <w:tcBorders>
              <w:top w:val="single" w:color="CCCCCC" w:sz="1"/>
              <w:left w:val="single" w:color="CCCCCC" w:sz="1"/>
              <w:bottom w:val="single" w:color="CCCCCC" w:sz="1"/>
              <w:right w:val="single" w:color="CCCCCC" w:sz="1"/>
            </w:tcBorders>
            <w:shd w:fill="F2F2F2" w:val="clear"/>
            <w:tcMar>
              <w:top w:type="dxa" w:w="30"/>
              <w:left w:type="dxa" w:w="80"/>
              <w:bottom w:type="dxa" w:w="30"/>
              <w:right w:type="dxa" w:w="80"/>
            </w:tcMar>
          </w:tcPr>
          <w:p>
            <w:pPr>
              <w:jc w:val="right"/>
            </w:pPr>
            <w:r>
              <w:rPr>
                <w:rFonts w:ascii="Arial" w:cs="Arial" w:eastAsia="Arial" w:hAnsi="Arial"/>
                <w:b w:val="false"/>
                <w:bCs w:val="false"/>
                <w:color w:val="404040"/>
                <w:sz w:val="16"/>
                <w:szCs w:val="16"/>
              </w:rPr>
              <w:t xml:space="preserve">96%</w:t>
            </w:r>
          </w:p>
        </w:tc>
        <w:tc>
          <w:tcPr>
            <w:tcW w:type="dxa" w:w="1377"/>
            <w:tcBorders>
              <w:top w:val="single" w:color="CCCCCC" w:sz="1"/>
              <w:left w:val="single" w:color="CCCCCC" w:sz="1"/>
              <w:bottom w:val="single" w:color="CCCCCC" w:sz="1"/>
              <w:right w:val="single" w:color="CCCCCC" w:sz="1"/>
            </w:tcBorders>
            <w:shd w:fill="F2F2F2" w:val="clear"/>
            <w:tcMar>
              <w:top w:type="dxa" w:w="30"/>
              <w:left w:type="dxa" w:w="80"/>
              <w:bottom w:type="dxa" w:w="30"/>
              <w:right w:type="dxa" w:w="80"/>
            </w:tcMar>
          </w:tcPr>
          <w:p>
            <w:pPr>
              <w:jc w:val="right"/>
            </w:pPr>
            <w:r>
              <w:rPr>
                <w:rFonts w:ascii="Arial" w:cs="Arial" w:eastAsia="Arial" w:hAnsi="Arial"/>
                <w:b w:val="false"/>
                <w:bCs w:val="false"/>
                <w:color w:val="404040"/>
                <w:sz w:val="16"/>
                <w:szCs w:val="16"/>
              </w:rPr>
              <w:t xml:space="preserve">–</w:t>
            </w:r>
          </w:p>
        </w:tc>
        <w:tc>
          <w:tcPr>
            <w:tcW w:type="dxa" w:w="1374"/>
            <w:tcBorders>
              <w:top w:val="single" w:color="CCCCCC" w:sz="1"/>
              <w:left w:val="single" w:color="CCCCCC" w:sz="1"/>
              <w:bottom w:val="single" w:color="CCCCCC" w:sz="1"/>
              <w:right w:val="single" w:color="CCCCCC" w:sz="1"/>
            </w:tcBorders>
            <w:shd w:fill="F2F2F2" w:val="clear"/>
            <w:tcMar>
              <w:top w:type="dxa" w:w="30"/>
              <w:left w:type="dxa" w:w="80"/>
              <w:bottom w:type="dxa" w:w="30"/>
              <w:right w:type="dxa" w:w="80"/>
            </w:tcMar>
          </w:tcPr>
          <w:p>
            <w:pPr>
              <w:jc w:val="right"/>
            </w:pPr>
            <w:r>
              <w:rPr>
                <w:rFonts w:ascii="Arial" w:cs="Arial" w:eastAsia="Arial" w:hAnsi="Arial"/>
                <w:b w:val="false"/>
                <w:bCs w:val="false"/>
                <w:color w:val="404040"/>
                <w:sz w:val="16"/>
                <w:szCs w:val="16"/>
              </w:rPr>
              <w:t xml:space="preserve">4%</w:t>
            </w:r>
          </w:p>
        </w:tc>
      </w:tr>
      <w:tr>
        <w:tc>
          <w:tcPr>
            <w:tcW w:type="dxa" w:w="2253"/>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jc w:val="left"/>
            </w:pPr>
            <w:r>
              <w:rPr>
                <w:rFonts w:ascii="Arial" w:cs="Arial" w:eastAsia="Arial" w:hAnsi="Arial"/>
                <w:b w:val="false"/>
                <w:bCs w:val="false"/>
                <w:color w:val="404040"/>
                <w:sz w:val="16"/>
                <w:szCs w:val="16"/>
              </w:rPr>
              <w:t xml:space="preserve">Shea</w:t>
            </w:r>
          </w:p>
        </w:tc>
        <w:tc>
          <w:tcPr>
            <w:tcW w:type="dxa" w:w="1377"/>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jc w:val="right"/>
            </w:pPr>
            <w:r>
              <w:rPr>
                <w:rFonts w:ascii="Arial" w:cs="Arial" w:eastAsia="Arial" w:hAnsi="Arial"/>
                <w:b w:val="false"/>
                <w:bCs w:val="false"/>
                <w:color w:val="404040"/>
                <w:sz w:val="16"/>
                <w:szCs w:val="16"/>
              </w:rPr>
              <w:t xml:space="preserve">2,808</w:t>
            </w:r>
          </w:p>
        </w:tc>
        <w:tc>
          <w:tcPr>
            <w:tcW w:type="dxa" w:w="1377"/>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jc w:val="right"/>
            </w:pPr>
            <w:r>
              <w:rPr>
                <w:rFonts w:ascii="Arial" w:cs="Arial" w:eastAsia="Arial" w:hAnsi="Arial"/>
                <w:b w:val="false"/>
                <w:bCs w:val="false"/>
                <w:color w:val="404040"/>
                <w:sz w:val="16"/>
                <w:szCs w:val="16"/>
              </w:rPr>
              <w:t xml:space="preserve">0.53M</w:t>
            </w:r>
          </w:p>
        </w:tc>
        <w:tc>
          <w:tcPr>
            <w:tcW w:type="dxa" w:w="1377"/>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jc w:val="right"/>
            </w:pPr>
            <w:r>
              <w:rPr>
                <w:rFonts w:ascii="Arial" w:cs="Arial" w:eastAsia="Arial" w:hAnsi="Arial"/>
                <w:b w:val="false"/>
                <w:bCs w:val="false"/>
                <w:color w:val="404040"/>
                <w:sz w:val="16"/>
                <w:szCs w:val="16"/>
              </w:rPr>
              <w:t xml:space="preserve">13%</w:t>
            </w:r>
          </w:p>
        </w:tc>
        <w:tc>
          <w:tcPr>
            <w:tcW w:type="dxa" w:w="1377"/>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jc w:val="right"/>
            </w:pPr>
            <w:r>
              <w:rPr>
                <w:rFonts w:ascii="Arial" w:cs="Arial" w:eastAsia="Arial" w:hAnsi="Arial"/>
                <w:b w:val="false"/>
                <w:bCs w:val="false"/>
                <w:color w:val="404040"/>
                <w:sz w:val="16"/>
                <w:szCs w:val="16"/>
              </w:rPr>
              <w:t xml:space="preserve">7%</w:t>
            </w:r>
          </w:p>
        </w:tc>
        <w:tc>
          <w:tcPr>
            <w:tcW w:type="dxa" w:w="1377"/>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jc w:val="right"/>
            </w:pPr>
            <w:r>
              <w:rPr>
                <w:rFonts w:ascii="Arial" w:cs="Arial" w:eastAsia="Arial" w:hAnsi="Arial"/>
                <w:b w:val="false"/>
                <w:bCs w:val="false"/>
                <w:color w:val="404040"/>
                <w:sz w:val="16"/>
                <w:szCs w:val="16"/>
              </w:rPr>
              <w:t xml:space="preserve">51%</w:t>
            </w:r>
          </w:p>
        </w:tc>
        <w:tc>
          <w:tcPr>
            <w:tcW w:type="dxa" w:w="1374"/>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jc w:val="right"/>
            </w:pPr>
            <w:r>
              <w:rPr>
                <w:rFonts w:ascii="Arial" w:cs="Arial" w:eastAsia="Arial" w:hAnsi="Arial"/>
                <w:b w:val="false"/>
                <w:bCs w:val="false"/>
                <w:color w:val="404040"/>
                <w:sz w:val="16"/>
                <w:szCs w:val="16"/>
              </w:rPr>
              <w:t xml:space="preserve">42%</w:t>
            </w:r>
          </w:p>
        </w:tc>
      </w:tr>
      <w:tr>
        <w:tc>
          <w:tcPr>
            <w:tcW w:type="dxa" w:w="2253"/>
            <w:tcBorders>
              <w:top w:val="single" w:color="CCCCCC" w:sz="1"/>
              <w:left w:val="single" w:color="CCCCCC" w:sz="1"/>
              <w:bottom w:val="single" w:color="CCCCCC" w:sz="1"/>
              <w:right w:val="single" w:color="CCCCCC" w:sz="1"/>
            </w:tcBorders>
            <w:shd w:fill="F2F2F2" w:val="clear"/>
            <w:tcMar>
              <w:top w:type="dxa" w:w="30"/>
              <w:left w:type="dxa" w:w="80"/>
              <w:bottom w:type="dxa" w:w="30"/>
              <w:right w:type="dxa" w:w="80"/>
            </w:tcMar>
          </w:tcPr>
          <w:p>
            <w:pPr>
              <w:jc w:val="left"/>
            </w:pPr>
            <w:r>
              <w:rPr>
                <w:rFonts w:ascii="Arial" w:cs="Arial" w:eastAsia="Arial" w:hAnsi="Arial"/>
                <w:b w:val="false"/>
                <w:bCs w:val="false"/>
                <w:color w:val="404040"/>
                <w:sz w:val="16"/>
                <w:szCs w:val="16"/>
              </w:rPr>
              <w:t xml:space="preserve">Windsor</w:t>
            </w:r>
          </w:p>
        </w:tc>
        <w:tc>
          <w:tcPr>
            <w:tcW w:type="dxa" w:w="1377"/>
            <w:tcBorders>
              <w:top w:val="single" w:color="CCCCCC" w:sz="1"/>
              <w:left w:val="single" w:color="CCCCCC" w:sz="1"/>
              <w:bottom w:val="single" w:color="CCCCCC" w:sz="1"/>
              <w:right w:val="single" w:color="CCCCCC" w:sz="1"/>
            </w:tcBorders>
            <w:shd w:fill="F2F2F2" w:val="clear"/>
            <w:tcMar>
              <w:top w:type="dxa" w:w="30"/>
              <w:left w:type="dxa" w:w="80"/>
              <w:bottom w:type="dxa" w:w="30"/>
              <w:right w:type="dxa" w:w="80"/>
            </w:tcMar>
          </w:tcPr>
          <w:p>
            <w:pPr>
              <w:jc w:val="right"/>
            </w:pPr>
            <w:r>
              <w:rPr>
                <w:rFonts w:ascii="Arial" w:cs="Arial" w:eastAsia="Arial" w:hAnsi="Arial"/>
                <w:b w:val="false"/>
                <w:bCs w:val="false"/>
                <w:color w:val="404040"/>
                <w:sz w:val="16"/>
                <w:szCs w:val="16"/>
              </w:rPr>
              <w:t xml:space="preserve">2,110</w:t>
            </w:r>
          </w:p>
        </w:tc>
        <w:tc>
          <w:tcPr>
            <w:tcW w:type="dxa" w:w="1377"/>
            <w:tcBorders>
              <w:top w:val="single" w:color="CCCCCC" w:sz="1"/>
              <w:left w:val="single" w:color="CCCCCC" w:sz="1"/>
              <w:bottom w:val="single" w:color="CCCCCC" w:sz="1"/>
              <w:right w:val="single" w:color="CCCCCC" w:sz="1"/>
            </w:tcBorders>
            <w:shd w:fill="F2F2F2" w:val="clear"/>
            <w:tcMar>
              <w:top w:type="dxa" w:w="30"/>
              <w:left w:type="dxa" w:w="80"/>
              <w:bottom w:type="dxa" w:w="30"/>
              <w:right w:type="dxa" w:w="80"/>
            </w:tcMar>
          </w:tcPr>
          <w:p>
            <w:pPr>
              <w:jc w:val="right"/>
            </w:pPr>
            <w:r>
              <w:rPr>
                <w:rFonts w:ascii="Arial" w:cs="Arial" w:eastAsia="Arial" w:hAnsi="Arial"/>
                <w:b w:val="false"/>
                <w:bCs w:val="false"/>
                <w:color w:val="404040"/>
                <w:sz w:val="16"/>
                <w:szCs w:val="16"/>
              </w:rPr>
              <w:t xml:space="preserve">0.45M</w:t>
            </w:r>
          </w:p>
        </w:tc>
        <w:tc>
          <w:tcPr>
            <w:tcW w:type="dxa" w:w="1377"/>
            <w:tcBorders>
              <w:top w:val="single" w:color="CCCCCC" w:sz="1"/>
              <w:left w:val="single" w:color="CCCCCC" w:sz="1"/>
              <w:bottom w:val="single" w:color="CCCCCC" w:sz="1"/>
              <w:right w:val="single" w:color="CCCCCC" w:sz="1"/>
            </w:tcBorders>
            <w:shd w:fill="F2F2F2" w:val="clear"/>
            <w:tcMar>
              <w:top w:type="dxa" w:w="30"/>
              <w:left w:type="dxa" w:w="80"/>
              <w:bottom w:type="dxa" w:w="30"/>
              <w:right w:type="dxa" w:w="80"/>
            </w:tcMar>
          </w:tcPr>
          <w:p>
            <w:pPr>
              <w:jc w:val="right"/>
            </w:pPr>
            <w:r>
              <w:rPr>
                <w:rFonts w:ascii="Arial" w:cs="Arial" w:eastAsia="Arial" w:hAnsi="Arial"/>
                <w:b w:val="false"/>
                <w:bCs w:val="false"/>
                <w:color w:val="404040"/>
                <w:sz w:val="16"/>
                <w:szCs w:val="16"/>
              </w:rPr>
              <w:t xml:space="preserve">11%</w:t>
            </w:r>
          </w:p>
        </w:tc>
        <w:tc>
          <w:tcPr>
            <w:tcW w:type="dxa" w:w="1377"/>
            <w:tcBorders>
              <w:top w:val="single" w:color="CCCCCC" w:sz="1"/>
              <w:left w:val="single" w:color="CCCCCC" w:sz="1"/>
              <w:bottom w:val="single" w:color="CCCCCC" w:sz="1"/>
              <w:right w:val="single" w:color="CCCCCC" w:sz="1"/>
            </w:tcBorders>
            <w:shd w:fill="F2F2F2" w:val="clear"/>
            <w:tcMar>
              <w:top w:type="dxa" w:w="30"/>
              <w:left w:type="dxa" w:w="80"/>
              <w:bottom w:type="dxa" w:w="30"/>
              <w:right w:type="dxa" w:w="80"/>
            </w:tcMar>
          </w:tcPr>
          <w:p>
            <w:pPr>
              <w:jc w:val="right"/>
            </w:pPr>
            <w:r>
              <w:rPr>
                <w:rFonts w:ascii="Arial" w:cs="Arial" w:eastAsia="Arial" w:hAnsi="Arial"/>
                <w:b w:val="false"/>
                <w:bCs w:val="false"/>
                <w:color w:val="404040"/>
                <w:sz w:val="16"/>
                <w:szCs w:val="16"/>
              </w:rPr>
              <w:t xml:space="preserve">91%</w:t>
            </w:r>
          </w:p>
        </w:tc>
        <w:tc>
          <w:tcPr>
            <w:tcW w:type="dxa" w:w="1377"/>
            <w:tcBorders>
              <w:top w:val="single" w:color="CCCCCC" w:sz="1"/>
              <w:left w:val="single" w:color="CCCCCC" w:sz="1"/>
              <w:bottom w:val="single" w:color="CCCCCC" w:sz="1"/>
              <w:right w:val="single" w:color="CCCCCC" w:sz="1"/>
            </w:tcBorders>
            <w:shd w:fill="F2F2F2" w:val="clear"/>
            <w:tcMar>
              <w:top w:type="dxa" w:w="30"/>
              <w:left w:type="dxa" w:w="80"/>
              <w:bottom w:type="dxa" w:w="30"/>
              <w:right w:type="dxa" w:w="80"/>
            </w:tcMar>
          </w:tcPr>
          <w:p>
            <w:pPr>
              <w:jc w:val="right"/>
            </w:pPr>
            <w:r>
              <w:rPr>
                <w:rFonts w:ascii="Arial" w:cs="Arial" w:eastAsia="Arial" w:hAnsi="Arial"/>
                <w:b w:val="false"/>
                <w:bCs w:val="false"/>
                <w:color w:val="404040"/>
                <w:sz w:val="16"/>
                <w:szCs w:val="16"/>
              </w:rPr>
              <w:t xml:space="preserve">–</w:t>
            </w:r>
          </w:p>
        </w:tc>
        <w:tc>
          <w:tcPr>
            <w:tcW w:type="dxa" w:w="1374"/>
            <w:tcBorders>
              <w:top w:val="single" w:color="CCCCCC" w:sz="1"/>
              <w:left w:val="single" w:color="CCCCCC" w:sz="1"/>
              <w:bottom w:val="single" w:color="CCCCCC" w:sz="1"/>
              <w:right w:val="single" w:color="CCCCCC" w:sz="1"/>
            </w:tcBorders>
            <w:shd w:fill="F2F2F2" w:val="clear"/>
            <w:tcMar>
              <w:top w:type="dxa" w:w="30"/>
              <w:left w:type="dxa" w:w="80"/>
              <w:bottom w:type="dxa" w:w="30"/>
              <w:right w:type="dxa" w:w="80"/>
            </w:tcMar>
          </w:tcPr>
          <w:p>
            <w:pPr>
              <w:jc w:val="right"/>
            </w:pPr>
            <w:r>
              <w:rPr>
                <w:rFonts w:ascii="Arial" w:cs="Arial" w:eastAsia="Arial" w:hAnsi="Arial"/>
                <w:b w:val="false"/>
                <w:bCs w:val="false"/>
                <w:color w:val="404040"/>
                <w:sz w:val="16"/>
                <w:szCs w:val="16"/>
              </w:rPr>
              <w:t xml:space="preserve">9%</w:t>
            </w:r>
          </w:p>
        </w:tc>
      </w:tr>
      <w:tr>
        <w:tc>
          <w:tcPr>
            <w:tcW w:type="dxa" w:w="2253"/>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jc w:val="left"/>
            </w:pPr>
            <w:r>
              <w:rPr>
                <w:rFonts w:ascii="Arial" w:cs="Arial" w:eastAsia="Arial" w:hAnsi="Arial"/>
                <w:b w:val="false"/>
                <w:bCs w:val="false"/>
                <w:color w:val="404040"/>
                <w:sz w:val="16"/>
                <w:szCs w:val="16"/>
              </w:rPr>
              <w:t xml:space="preserve">Rhode Island</w:t>
            </w:r>
          </w:p>
        </w:tc>
        <w:tc>
          <w:tcPr>
            <w:tcW w:type="dxa" w:w="1377"/>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jc w:val="right"/>
            </w:pPr>
            <w:r>
              <w:rPr>
                <w:rFonts w:ascii="Arial" w:cs="Arial" w:eastAsia="Arial" w:hAnsi="Arial"/>
                <w:b w:val="false"/>
                <w:bCs w:val="false"/>
                <w:color w:val="404040"/>
                <w:sz w:val="16"/>
                <w:szCs w:val="16"/>
              </w:rPr>
              <w:t xml:space="preserve">1,828</w:t>
            </w:r>
          </w:p>
        </w:tc>
        <w:tc>
          <w:tcPr>
            <w:tcW w:type="dxa" w:w="1377"/>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jc w:val="right"/>
            </w:pPr>
            <w:r>
              <w:rPr>
                <w:rFonts w:ascii="Arial" w:cs="Arial" w:eastAsia="Arial" w:hAnsi="Arial"/>
                <w:b w:val="false"/>
                <w:bCs w:val="false"/>
                <w:color w:val="404040"/>
                <w:sz w:val="16"/>
                <w:szCs w:val="16"/>
              </w:rPr>
              <w:t xml:space="preserve">0.29M</w:t>
            </w:r>
          </w:p>
        </w:tc>
        <w:tc>
          <w:tcPr>
            <w:tcW w:type="dxa" w:w="1377"/>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jc w:val="right"/>
            </w:pPr>
            <w:r>
              <w:rPr>
                <w:rFonts w:ascii="Arial" w:cs="Arial" w:eastAsia="Arial" w:hAnsi="Arial"/>
                <w:b w:val="false"/>
                <w:bCs w:val="false"/>
                <w:color w:val="404040"/>
                <w:sz w:val="16"/>
                <w:szCs w:val="16"/>
              </w:rPr>
              <w:t xml:space="preserve">7%</w:t>
            </w:r>
          </w:p>
        </w:tc>
        <w:tc>
          <w:tcPr>
            <w:tcW w:type="dxa" w:w="1377"/>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jc w:val="right"/>
            </w:pPr>
            <w:r>
              <w:rPr>
                <w:rFonts w:ascii="Arial" w:cs="Arial" w:eastAsia="Arial" w:hAnsi="Arial"/>
                <w:b w:val="false"/>
                <w:bCs w:val="false"/>
                <w:color w:val="404040"/>
                <w:sz w:val="16"/>
                <w:szCs w:val="16"/>
              </w:rPr>
              <w:t xml:space="preserve">5%</w:t>
            </w:r>
          </w:p>
        </w:tc>
        <w:tc>
          <w:tcPr>
            <w:tcW w:type="dxa" w:w="1377"/>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jc w:val="right"/>
            </w:pPr>
            <w:r>
              <w:rPr>
                <w:rFonts w:ascii="Arial" w:cs="Arial" w:eastAsia="Arial" w:hAnsi="Arial"/>
                <w:b w:val="false"/>
                <w:bCs w:val="false"/>
                <w:color w:val="404040"/>
                <w:sz w:val="16"/>
                <w:szCs w:val="16"/>
              </w:rPr>
              <w:t xml:space="preserve">31%</w:t>
            </w:r>
          </w:p>
        </w:tc>
        <w:tc>
          <w:tcPr>
            <w:tcW w:type="dxa" w:w="1374"/>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jc w:val="right"/>
            </w:pPr>
            <w:r>
              <w:rPr>
                <w:rFonts w:ascii="Arial" w:cs="Arial" w:eastAsia="Arial" w:hAnsi="Arial"/>
                <w:b w:val="false"/>
                <w:bCs w:val="false"/>
                <w:color w:val="404040"/>
                <w:sz w:val="16"/>
                <w:szCs w:val="16"/>
              </w:rPr>
              <w:t xml:space="preserve">65%</w:t>
            </w:r>
          </w:p>
        </w:tc>
      </w:tr>
      <w:tr>
        <w:tc>
          <w:tcPr>
            <w:tcW w:type="dxa" w:w="2253"/>
            <w:tcBorders>
              <w:top w:val="single" w:color="CCCCCC" w:sz="1"/>
              <w:left w:val="single" w:color="CCCCCC" w:sz="1"/>
              <w:bottom w:val="single" w:color="CCCCCC" w:sz="1"/>
              <w:right w:val="single" w:color="CCCCCC" w:sz="1"/>
            </w:tcBorders>
            <w:shd w:fill="F2F2F2" w:val="clear"/>
            <w:tcMar>
              <w:top w:type="dxa" w:w="30"/>
              <w:left w:type="dxa" w:w="80"/>
              <w:bottom w:type="dxa" w:w="30"/>
              <w:right w:type="dxa" w:w="80"/>
            </w:tcMar>
          </w:tcPr>
          <w:p>
            <w:pPr>
              <w:jc w:val="left"/>
            </w:pPr>
            <w:r>
              <w:rPr>
                <w:rFonts w:ascii="Arial" w:cs="Arial" w:eastAsia="Arial" w:hAnsi="Arial"/>
                <w:b w:val="false"/>
                <w:bCs w:val="false"/>
                <w:color w:val="404040"/>
                <w:sz w:val="16"/>
                <w:szCs w:val="16"/>
              </w:rPr>
              <w:t xml:space="preserve">Phoenix</w:t>
            </w:r>
          </w:p>
        </w:tc>
        <w:tc>
          <w:tcPr>
            <w:tcW w:type="dxa" w:w="1377"/>
            <w:tcBorders>
              <w:top w:val="single" w:color="CCCCCC" w:sz="1"/>
              <w:left w:val="single" w:color="CCCCCC" w:sz="1"/>
              <w:bottom w:val="single" w:color="CCCCCC" w:sz="1"/>
              <w:right w:val="single" w:color="CCCCCC" w:sz="1"/>
            </w:tcBorders>
            <w:shd w:fill="F2F2F2" w:val="clear"/>
            <w:tcMar>
              <w:top w:type="dxa" w:w="30"/>
              <w:left w:type="dxa" w:w="80"/>
              <w:bottom w:type="dxa" w:w="30"/>
              <w:right w:type="dxa" w:w="80"/>
            </w:tcMar>
          </w:tcPr>
          <w:p>
            <w:pPr>
              <w:jc w:val="right"/>
            </w:pPr>
            <w:r>
              <w:rPr>
                <w:rFonts w:ascii="Arial" w:cs="Arial" w:eastAsia="Arial" w:hAnsi="Arial"/>
                <w:b w:val="false"/>
                <w:bCs w:val="false"/>
                <w:color w:val="404040"/>
                <w:sz w:val="16"/>
                <w:szCs w:val="16"/>
              </w:rPr>
              <w:t xml:space="preserve">1,049</w:t>
            </w:r>
          </w:p>
        </w:tc>
        <w:tc>
          <w:tcPr>
            <w:tcW w:type="dxa" w:w="1377"/>
            <w:tcBorders>
              <w:top w:val="single" w:color="CCCCCC" w:sz="1"/>
              <w:left w:val="single" w:color="CCCCCC" w:sz="1"/>
              <w:bottom w:val="single" w:color="CCCCCC" w:sz="1"/>
              <w:right w:val="single" w:color="CCCCCC" w:sz="1"/>
            </w:tcBorders>
            <w:shd w:fill="F2F2F2" w:val="clear"/>
            <w:tcMar>
              <w:top w:type="dxa" w:w="30"/>
              <w:left w:type="dxa" w:w="80"/>
              <w:bottom w:type="dxa" w:w="30"/>
              <w:right w:type="dxa" w:w="80"/>
            </w:tcMar>
          </w:tcPr>
          <w:p>
            <w:pPr>
              <w:jc w:val="right"/>
            </w:pPr>
            <w:r>
              <w:rPr>
                <w:rFonts w:ascii="Arial" w:cs="Arial" w:eastAsia="Arial" w:hAnsi="Arial"/>
                <w:b w:val="false"/>
                <w:bCs w:val="false"/>
                <w:color w:val="404040"/>
                <w:sz w:val="16"/>
                <w:szCs w:val="16"/>
              </w:rPr>
              <w:t xml:space="preserve">0.20M</w:t>
            </w:r>
          </w:p>
        </w:tc>
        <w:tc>
          <w:tcPr>
            <w:tcW w:type="dxa" w:w="1377"/>
            <w:tcBorders>
              <w:top w:val="single" w:color="CCCCCC" w:sz="1"/>
              <w:left w:val="single" w:color="CCCCCC" w:sz="1"/>
              <w:bottom w:val="single" w:color="CCCCCC" w:sz="1"/>
              <w:right w:val="single" w:color="CCCCCC" w:sz="1"/>
            </w:tcBorders>
            <w:shd w:fill="F2F2F2" w:val="clear"/>
            <w:tcMar>
              <w:top w:type="dxa" w:w="30"/>
              <w:left w:type="dxa" w:w="80"/>
              <w:bottom w:type="dxa" w:w="30"/>
              <w:right w:type="dxa" w:w="80"/>
            </w:tcMar>
          </w:tcPr>
          <w:p>
            <w:pPr>
              <w:jc w:val="right"/>
            </w:pPr>
            <w:r>
              <w:rPr>
                <w:rFonts w:ascii="Arial" w:cs="Arial" w:eastAsia="Arial" w:hAnsi="Arial"/>
                <w:b w:val="false"/>
                <w:bCs w:val="false"/>
                <w:color w:val="404040"/>
                <w:sz w:val="16"/>
                <w:szCs w:val="16"/>
              </w:rPr>
              <w:t xml:space="preserve">5%</w:t>
            </w:r>
          </w:p>
        </w:tc>
        <w:tc>
          <w:tcPr>
            <w:tcW w:type="dxa" w:w="1377"/>
            <w:tcBorders>
              <w:top w:val="single" w:color="CCCCCC" w:sz="1"/>
              <w:left w:val="single" w:color="CCCCCC" w:sz="1"/>
              <w:bottom w:val="single" w:color="CCCCCC" w:sz="1"/>
              <w:right w:val="single" w:color="CCCCCC" w:sz="1"/>
            </w:tcBorders>
            <w:shd w:fill="F2F2F2" w:val="clear"/>
            <w:tcMar>
              <w:top w:type="dxa" w:w="30"/>
              <w:left w:type="dxa" w:w="80"/>
              <w:bottom w:type="dxa" w:w="30"/>
              <w:right w:type="dxa" w:w="80"/>
            </w:tcMar>
          </w:tcPr>
          <w:p>
            <w:pPr>
              <w:jc w:val="right"/>
            </w:pPr>
            <w:r>
              <w:rPr>
                <w:rFonts w:ascii="Arial" w:cs="Arial" w:eastAsia="Arial" w:hAnsi="Arial"/>
                <w:b w:val="false"/>
                <w:bCs w:val="false"/>
                <w:color w:val="404040"/>
                <w:sz w:val="16"/>
                <w:szCs w:val="16"/>
              </w:rPr>
              <w:t xml:space="preserve">13%</w:t>
            </w:r>
          </w:p>
        </w:tc>
        <w:tc>
          <w:tcPr>
            <w:tcW w:type="dxa" w:w="1377"/>
            <w:tcBorders>
              <w:top w:val="single" w:color="CCCCCC" w:sz="1"/>
              <w:left w:val="single" w:color="CCCCCC" w:sz="1"/>
              <w:bottom w:val="single" w:color="CCCCCC" w:sz="1"/>
              <w:right w:val="single" w:color="CCCCCC" w:sz="1"/>
            </w:tcBorders>
            <w:shd w:fill="F2F2F2" w:val="clear"/>
            <w:tcMar>
              <w:top w:type="dxa" w:w="30"/>
              <w:left w:type="dxa" w:w="80"/>
              <w:bottom w:type="dxa" w:w="30"/>
              <w:right w:type="dxa" w:w="80"/>
            </w:tcMar>
          </w:tcPr>
          <w:p>
            <w:pPr>
              <w:jc w:val="right"/>
            </w:pPr>
            <w:r>
              <w:rPr>
                <w:rFonts w:ascii="Arial" w:cs="Arial" w:eastAsia="Arial" w:hAnsi="Arial"/>
                <w:b w:val="false"/>
                <w:bCs w:val="false"/>
                <w:color w:val="404040"/>
                <w:sz w:val="16"/>
                <w:szCs w:val="16"/>
              </w:rPr>
              <w:t xml:space="preserve">42%</w:t>
            </w:r>
          </w:p>
        </w:tc>
        <w:tc>
          <w:tcPr>
            <w:tcW w:type="dxa" w:w="1374"/>
            <w:tcBorders>
              <w:top w:val="single" w:color="CCCCCC" w:sz="1"/>
              <w:left w:val="single" w:color="CCCCCC" w:sz="1"/>
              <w:bottom w:val="single" w:color="CCCCCC" w:sz="1"/>
              <w:right w:val="single" w:color="CCCCCC" w:sz="1"/>
            </w:tcBorders>
            <w:shd w:fill="F2F2F2" w:val="clear"/>
            <w:tcMar>
              <w:top w:type="dxa" w:w="30"/>
              <w:left w:type="dxa" w:w="80"/>
              <w:bottom w:type="dxa" w:w="30"/>
              <w:right w:type="dxa" w:w="80"/>
            </w:tcMar>
          </w:tcPr>
          <w:p>
            <w:pPr>
              <w:jc w:val="right"/>
            </w:pPr>
            <w:r>
              <w:rPr>
                <w:rFonts w:ascii="Arial" w:cs="Arial" w:eastAsia="Arial" w:hAnsi="Arial"/>
                <w:b w:val="false"/>
                <w:bCs w:val="false"/>
                <w:color w:val="404040"/>
                <w:sz w:val="16"/>
                <w:szCs w:val="16"/>
              </w:rPr>
              <w:t xml:space="preserve">45%</w:t>
            </w:r>
          </w:p>
        </w:tc>
      </w:tr>
      <w:tr>
        <w:tc>
          <w:tcPr>
            <w:tcW w:type="dxa" w:w="2253"/>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jc w:val="left"/>
            </w:pPr>
            <w:r>
              <w:rPr>
                <w:rFonts w:ascii="Arial" w:cs="Arial" w:eastAsia="Arial" w:hAnsi="Arial"/>
                <w:b w:val="false"/>
                <w:bCs w:val="false"/>
                <w:color w:val="404040"/>
                <w:sz w:val="16"/>
                <w:szCs w:val="16"/>
              </w:rPr>
              <w:t xml:space="preserve">Las Vegas</w:t>
            </w:r>
          </w:p>
        </w:tc>
        <w:tc>
          <w:tcPr>
            <w:tcW w:type="dxa" w:w="1377"/>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jc w:val="right"/>
            </w:pPr>
            <w:r>
              <w:rPr>
                <w:rFonts w:ascii="Arial" w:cs="Arial" w:eastAsia="Arial" w:hAnsi="Arial"/>
                <w:b w:val="false"/>
                <w:bCs w:val="false"/>
                <w:color w:val="404040"/>
                <w:sz w:val="16"/>
                <w:szCs w:val="16"/>
              </w:rPr>
              <w:t xml:space="preserve">791</w:t>
            </w:r>
          </w:p>
        </w:tc>
        <w:tc>
          <w:tcPr>
            <w:tcW w:type="dxa" w:w="1377"/>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jc w:val="right"/>
            </w:pPr>
            <w:r>
              <w:rPr>
                <w:rFonts w:ascii="Arial" w:cs="Arial" w:eastAsia="Arial" w:hAnsi="Arial"/>
                <w:b w:val="false"/>
                <w:bCs w:val="false"/>
                <w:color w:val="404040"/>
                <w:sz w:val="16"/>
                <w:szCs w:val="16"/>
              </w:rPr>
              <w:t xml:space="preserve">0.13M</w:t>
            </w:r>
          </w:p>
        </w:tc>
        <w:tc>
          <w:tcPr>
            <w:tcW w:type="dxa" w:w="1377"/>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jc w:val="right"/>
            </w:pPr>
            <w:r>
              <w:rPr>
                <w:rFonts w:ascii="Arial" w:cs="Arial" w:eastAsia="Arial" w:hAnsi="Arial"/>
                <w:b w:val="false"/>
                <w:bCs w:val="false"/>
                <w:color w:val="404040"/>
                <w:sz w:val="16"/>
                <w:szCs w:val="16"/>
              </w:rPr>
              <w:t xml:space="preserve">3%</w:t>
            </w:r>
          </w:p>
        </w:tc>
        <w:tc>
          <w:tcPr>
            <w:tcW w:type="dxa" w:w="1377"/>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jc w:val="right"/>
            </w:pPr>
            <w:r>
              <w:rPr>
                <w:rFonts w:ascii="Arial" w:cs="Arial" w:eastAsia="Arial" w:hAnsi="Arial"/>
                <w:b w:val="false"/>
                <w:bCs w:val="false"/>
                <w:color w:val="404040"/>
                <w:sz w:val="16"/>
                <w:szCs w:val="16"/>
              </w:rPr>
              <w:t xml:space="preserve">49%</w:t>
            </w:r>
          </w:p>
        </w:tc>
        <w:tc>
          <w:tcPr>
            <w:tcW w:type="dxa" w:w="1377"/>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jc w:val="right"/>
            </w:pPr>
            <w:r>
              <w:rPr>
                <w:rFonts w:ascii="Arial" w:cs="Arial" w:eastAsia="Arial" w:hAnsi="Arial"/>
                <w:b w:val="false"/>
                <w:bCs w:val="false"/>
                <w:color w:val="404040"/>
                <w:sz w:val="16"/>
                <w:szCs w:val="16"/>
              </w:rPr>
              <w:t xml:space="preserve">6%</w:t>
            </w:r>
          </w:p>
        </w:tc>
        <w:tc>
          <w:tcPr>
            <w:tcW w:type="dxa" w:w="1374"/>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jc w:val="right"/>
            </w:pPr>
            <w:r>
              <w:rPr>
                <w:rFonts w:ascii="Arial" w:cs="Arial" w:eastAsia="Arial" w:hAnsi="Arial"/>
                <w:b w:val="false"/>
                <w:bCs w:val="false"/>
                <w:color w:val="404040"/>
                <w:sz w:val="16"/>
                <w:szCs w:val="16"/>
              </w:rPr>
              <w:t xml:space="preserve">46%</w:t>
            </w:r>
          </w:p>
        </w:tc>
      </w:tr>
      <w:tr>
        <w:tc>
          <w:tcPr>
            <w:tcW w:type="dxa" w:w="2253"/>
            <w:tcBorders>
              <w:top w:val="single" w:color="CCCCCC" w:sz="1"/>
              <w:left w:val="single" w:color="CCCCCC" w:sz="1"/>
              <w:bottom w:val="single" w:color="CCCCCC" w:sz="1"/>
              <w:right w:val="single" w:color="CCCCCC" w:sz="1"/>
            </w:tcBorders>
            <w:shd w:fill="F2F2F2" w:val="clear"/>
            <w:tcMar>
              <w:top w:type="dxa" w:w="30"/>
              <w:left w:type="dxa" w:w="80"/>
              <w:bottom w:type="dxa" w:w="30"/>
              <w:right w:type="dxa" w:w="80"/>
            </w:tcMar>
          </w:tcPr>
          <w:p>
            <w:pPr>
              <w:jc w:val="left"/>
            </w:pPr>
            <w:r>
              <w:rPr>
                <w:rFonts w:ascii="Arial" w:cs="Arial" w:eastAsia="Arial" w:hAnsi="Arial"/>
                <w:b w:val="false"/>
                <w:bCs w:val="false"/>
                <w:color w:val="404040"/>
                <w:sz w:val="16"/>
                <w:szCs w:val="16"/>
              </w:rPr>
              <w:t xml:space="preserve">GCP and AWS</w:t>
            </w:r>
          </w:p>
        </w:tc>
        <w:tc>
          <w:tcPr>
            <w:tcW w:type="dxa" w:w="1377"/>
            <w:tcBorders>
              <w:top w:val="single" w:color="CCCCCC" w:sz="1"/>
              <w:left w:val="single" w:color="CCCCCC" w:sz="1"/>
              <w:bottom w:val="single" w:color="CCCCCC" w:sz="1"/>
              <w:right w:val="single" w:color="CCCCCC" w:sz="1"/>
            </w:tcBorders>
            <w:shd w:fill="F2F2F2" w:val="clear"/>
            <w:tcMar>
              <w:top w:type="dxa" w:w="30"/>
              <w:left w:type="dxa" w:w="80"/>
              <w:bottom w:type="dxa" w:w="30"/>
              <w:right w:type="dxa" w:w="80"/>
            </w:tcMar>
          </w:tcPr>
          <w:p>
            <w:pPr>
              <w:jc w:val="right"/>
            </w:pPr>
            <w:r>
              <w:rPr>
                <w:rFonts w:ascii="Arial" w:cs="Arial" w:eastAsia="Arial" w:hAnsi="Arial"/>
                <w:b w:val="false"/>
                <w:bCs w:val="false"/>
                <w:color w:val="404040"/>
                <w:sz w:val="16"/>
                <w:szCs w:val="16"/>
              </w:rPr>
              <w:t xml:space="preserve">492</w:t>
            </w:r>
          </w:p>
        </w:tc>
        <w:tc>
          <w:tcPr>
            <w:tcW w:type="dxa" w:w="1377"/>
            <w:tcBorders>
              <w:top w:val="single" w:color="CCCCCC" w:sz="1"/>
              <w:left w:val="single" w:color="CCCCCC" w:sz="1"/>
              <w:bottom w:val="single" w:color="CCCCCC" w:sz="1"/>
              <w:right w:val="single" w:color="CCCCCC" w:sz="1"/>
            </w:tcBorders>
            <w:shd w:fill="F2F2F2" w:val="clear"/>
            <w:tcMar>
              <w:top w:type="dxa" w:w="30"/>
              <w:left w:type="dxa" w:w="80"/>
              <w:bottom w:type="dxa" w:w="30"/>
              <w:right w:type="dxa" w:w="80"/>
            </w:tcMar>
          </w:tcPr>
          <w:p>
            <w:pPr>
              <w:jc w:val="right"/>
            </w:pPr>
            <w:r>
              <w:rPr>
                <w:rFonts w:ascii="Arial" w:cs="Arial" w:eastAsia="Arial" w:hAnsi="Arial"/>
                <w:b w:val="false"/>
                <w:bCs w:val="false"/>
                <w:color w:val="404040"/>
                <w:sz w:val="16"/>
                <w:szCs w:val="16"/>
              </w:rPr>
              <w:t xml:space="preserve">0.10M</w:t>
            </w:r>
          </w:p>
        </w:tc>
        <w:tc>
          <w:tcPr>
            <w:tcW w:type="dxa" w:w="1377"/>
            <w:tcBorders>
              <w:top w:val="single" w:color="CCCCCC" w:sz="1"/>
              <w:left w:val="single" w:color="CCCCCC" w:sz="1"/>
              <w:bottom w:val="single" w:color="CCCCCC" w:sz="1"/>
              <w:right w:val="single" w:color="CCCCCC" w:sz="1"/>
            </w:tcBorders>
            <w:shd w:fill="F2F2F2" w:val="clear"/>
            <w:tcMar>
              <w:top w:type="dxa" w:w="30"/>
              <w:left w:type="dxa" w:w="80"/>
              <w:bottom w:type="dxa" w:w="30"/>
              <w:right w:type="dxa" w:w="80"/>
            </w:tcMar>
          </w:tcPr>
          <w:p>
            <w:pPr>
              <w:jc w:val="right"/>
            </w:pPr>
            <w:r>
              <w:rPr>
                <w:rFonts w:ascii="Arial" w:cs="Arial" w:eastAsia="Arial" w:hAnsi="Arial"/>
                <w:b w:val="false"/>
                <w:bCs w:val="false"/>
                <w:color w:val="404040"/>
                <w:sz w:val="16"/>
                <w:szCs w:val="16"/>
              </w:rPr>
              <w:t xml:space="preserve">2%</w:t>
            </w:r>
          </w:p>
        </w:tc>
        <w:tc>
          <w:tcPr>
            <w:tcW w:type="dxa" w:w="1377"/>
            <w:tcBorders>
              <w:top w:val="single" w:color="CCCCCC" w:sz="1"/>
              <w:left w:val="single" w:color="CCCCCC" w:sz="1"/>
              <w:bottom w:val="single" w:color="CCCCCC" w:sz="1"/>
              <w:right w:val="single" w:color="CCCCCC" w:sz="1"/>
            </w:tcBorders>
            <w:shd w:fill="F2F2F2" w:val="clear"/>
            <w:tcMar>
              <w:top w:type="dxa" w:w="30"/>
              <w:left w:type="dxa" w:w="80"/>
              <w:bottom w:type="dxa" w:w="30"/>
              <w:right w:type="dxa" w:w="80"/>
            </w:tcMar>
          </w:tcPr>
          <w:p>
            <w:pPr>
              <w:jc w:val="right"/>
            </w:pPr>
            <w:r>
              <w:rPr>
                <w:rFonts w:ascii="Arial" w:cs="Arial" w:eastAsia="Arial" w:hAnsi="Arial"/>
                <w:b w:val="false"/>
                <w:bCs w:val="false"/>
                <w:color w:val="404040"/>
                <w:sz w:val="16"/>
                <w:szCs w:val="16"/>
              </w:rPr>
              <w:t xml:space="preserve">19%</w:t>
            </w:r>
          </w:p>
        </w:tc>
        <w:tc>
          <w:tcPr>
            <w:tcW w:type="dxa" w:w="1377"/>
            <w:tcBorders>
              <w:top w:val="single" w:color="CCCCCC" w:sz="1"/>
              <w:left w:val="single" w:color="CCCCCC" w:sz="1"/>
              <w:bottom w:val="single" w:color="CCCCCC" w:sz="1"/>
              <w:right w:val="single" w:color="CCCCCC" w:sz="1"/>
            </w:tcBorders>
            <w:shd w:fill="F2F2F2" w:val="clear"/>
            <w:tcMar>
              <w:top w:type="dxa" w:w="30"/>
              <w:left w:type="dxa" w:w="80"/>
              <w:bottom w:type="dxa" w:w="30"/>
              <w:right w:type="dxa" w:w="80"/>
            </w:tcMar>
          </w:tcPr>
          <w:p>
            <w:pPr>
              <w:jc w:val="right"/>
            </w:pPr>
            <w:r>
              <w:rPr>
                <w:rFonts w:ascii="Arial" w:cs="Arial" w:eastAsia="Arial" w:hAnsi="Arial"/>
                <w:b w:val="false"/>
                <w:bCs w:val="false"/>
                <w:color w:val="404040"/>
                <w:sz w:val="16"/>
                <w:szCs w:val="16"/>
              </w:rPr>
              <w:t xml:space="preserve">14%</w:t>
            </w:r>
          </w:p>
        </w:tc>
        <w:tc>
          <w:tcPr>
            <w:tcW w:type="dxa" w:w="1374"/>
            <w:tcBorders>
              <w:top w:val="single" w:color="CCCCCC" w:sz="1"/>
              <w:left w:val="single" w:color="CCCCCC" w:sz="1"/>
              <w:bottom w:val="single" w:color="CCCCCC" w:sz="1"/>
              <w:right w:val="single" w:color="CCCCCC" w:sz="1"/>
            </w:tcBorders>
            <w:shd w:fill="F2F2F2" w:val="clear"/>
            <w:tcMar>
              <w:top w:type="dxa" w:w="30"/>
              <w:left w:type="dxa" w:w="80"/>
              <w:bottom w:type="dxa" w:w="30"/>
              <w:right w:type="dxa" w:w="80"/>
            </w:tcMar>
          </w:tcPr>
          <w:p>
            <w:pPr>
              <w:jc w:val="right"/>
            </w:pPr>
            <w:r>
              <w:rPr>
                <w:rFonts w:ascii="Arial" w:cs="Arial" w:eastAsia="Arial" w:hAnsi="Arial"/>
                <w:b w:val="false"/>
                <w:bCs w:val="false"/>
                <w:color w:val="404040"/>
                <w:sz w:val="16"/>
                <w:szCs w:val="16"/>
              </w:rPr>
              <w:t xml:space="preserve">67%</w:t>
            </w:r>
          </w:p>
        </w:tc>
      </w:tr>
      <w:tr>
        <w:tc>
          <w:tcPr>
            <w:tcW w:type="dxa" w:w="2253"/>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jc w:val="left"/>
            </w:pPr>
            <w:r>
              <w:rPr>
                <w:rFonts w:ascii="Arial" w:cs="Arial" w:eastAsia="Arial" w:hAnsi="Arial"/>
                <w:b w:val="false"/>
                <w:bCs w:val="false"/>
                <w:color w:val="404040"/>
                <w:sz w:val="16"/>
                <w:szCs w:val="16"/>
              </w:rPr>
              <w:t xml:space="preserve">Other sites</w:t>
            </w:r>
          </w:p>
        </w:tc>
        <w:tc>
          <w:tcPr>
            <w:tcW w:type="dxa" w:w="1377"/>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jc w:val="right"/>
            </w:pPr>
            <w:r>
              <w:rPr>
                <w:rFonts w:ascii="Arial" w:cs="Arial" w:eastAsia="Arial" w:hAnsi="Arial"/>
                <w:b w:val="false"/>
                <w:bCs w:val="false"/>
                <w:color w:val="404040"/>
                <w:sz w:val="16"/>
                <w:szCs w:val="16"/>
              </w:rPr>
              <w:t xml:space="preserve">723</w:t>
            </w:r>
          </w:p>
        </w:tc>
        <w:tc>
          <w:tcPr>
            <w:tcW w:type="dxa" w:w="1377"/>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jc w:val="right"/>
            </w:pPr>
            <w:r>
              <w:rPr>
                <w:rFonts w:ascii="Arial" w:cs="Arial" w:eastAsia="Arial" w:hAnsi="Arial"/>
                <w:b w:val="false"/>
                <w:bCs w:val="false"/>
                <w:color w:val="404040"/>
                <w:sz w:val="16"/>
                <w:szCs w:val="16"/>
              </w:rPr>
              <w:t xml:space="preserve">0.15M</w:t>
            </w:r>
          </w:p>
        </w:tc>
        <w:tc>
          <w:tcPr>
            <w:tcW w:type="dxa" w:w="1377"/>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jc w:val="right"/>
            </w:pPr>
            <w:r>
              <w:rPr>
                <w:rFonts w:ascii="Arial" w:cs="Arial" w:eastAsia="Arial" w:hAnsi="Arial"/>
                <w:b w:val="false"/>
                <w:bCs w:val="false"/>
                <w:color w:val="404040"/>
                <w:sz w:val="16"/>
                <w:szCs w:val="16"/>
              </w:rPr>
              <w:t xml:space="preserve">4%</w:t>
            </w:r>
          </w:p>
        </w:tc>
        <w:tc>
          <w:tcPr>
            <w:tcW w:type="dxa" w:w="1377"/>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jc w:val="right"/>
            </w:pPr>
            <w:r>
              <w:rPr>
                <w:rFonts w:ascii="Arial" w:cs="Arial" w:eastAsia="Arial" w:hAnsi="Arial"/>
                <w:b w:val="false"/>
                <w:bCs w:val="false"/>
                <w:color w:val="404040"/>
                <w:sz w:val="16"/>
                <w:szCs w:val="16"/>
              </w:rPr>
              <w:t xml:space="preserve">47%</w:t>
            </w:r>
          </w:p>
        </w:tc>
        <w:tc>
          <w:tcPr>
            <w:tcW w:type="dxa" w:w="1377"/>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jc w:val="right"/>
            </w:pPr>
            <w:r>
              <w:rPr>
                <w:rFonts w:ascii="Arial" w:cs="Arial" w:eastAsia="Arial" w:hAnsi="Arial"/>
                <w:b w:val="false"/>
                <w:bCs w:val="false"/>
                <w:color w:val="404040"/>
                <w:sz w:val="16"/>
                <w:szCs w:val="16"/>
              </w:rPr>
              <w:t xml:space="preserve">3%</w:t>
            </w:r>
          </w:p>
        </w:tc>
        <w:tc>
          <w:tcPr>
            <w:tcW w:type="dxa" w:w="1374"/>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jc w:val="right"/>
            </w:pPr>
            <w:r>
              <w:rPr>
                <w:rFonts w:ascii="Arial" w:cs="Arial" w:eastAsia="Arial" w:hAnsi="Arial"/>
                <w:b w:val="false"/>
                <w:bCs w:val="false"/>
                <w:color w:val="404040"/>
                <w:sz w:val="16"/>
                <w:szCs w:val="16"/>
              </w:rPr>
              <w:t xml:space="preserve">50%</w:t>
            </w:r>
          </w:p>
        </w:tc>
      </w:tr>
      <w:tr>
        <w:tc>
          <w:tcPr>
            <w:tcW w:type="dxa" w:w="2253"/>
            <w:tcBorders>
              <w:top w:val="single" w:color="CCCCCC" w:sz="1"/>
              <w:left w:val="single" w:color="CCCCCC" w:sz="1"/>
              <w:bottom w:val="single" w:color="CCCCCC" w:sz="1"/>
              <w:right w:val="single" w:color="CCCCCC" w:sz="1"/>
            </w:tcBorders>
            <w:shd w:fill="F2F2F2" w:val="clear"/>
            <w:tcMar>
              <w:top w:type="dxa" w:w="30"/>
              <w:left w:type="dxa" w:w="80"/>
              <w:bottom w:type="dxa" w:w="30"/>
              <w:right w:type="dxa" w:w="80"/>
            </w:tcMar>
          </w:tcPr>
          <w:p>
            <w:pPr>
              <w:jc w:val="left"/>
            </w:pPr>
            <w:r>
              <w:rPr>
                <w:rFonts w:ascii="Arial" w:cs="Arial" w:eastAsia="Arial" w:hAnsi="Arial"/>
                <w:b/>
                <w:bCs/>
                <w:color w:val="404040"/>
                <w:sz w:val="16"/>
                <w:szCs w:val="16"/>
              </w:rPr>
              <w:t xml:space="preserve">Total</w:t>
            </w:r>
          </w:p>
        </w:tc>
        <w:tc>
          <w:tcPr>
            <w:tcW w:type="dxa" w:w="1377"/>
            <w:tcBorders>
              <w:top w:val="single" w:color="CCCCCC" w:sz="1"/>
              <w:left w:val="single" w:color="CCCCCC" w:sz="1"/>
              <w:bottom w:val="single" w:color="CCCCCC" w:sz="1"/>
              <w:right w:val="single" w:color="CCCCCC" w:sz="1"/>
            </w:tcBorders>
            <w:shd w:fill="F2F2F2" w:val="clear"/>
            <w:tcMar>
              <w:top w:type="dxa" w:w="30"/>
              <w:left w:type="dxa" w:w="80"/>
              <w:bottom w:type="dxa" w:w="30"/>
              <w:right w:type="dxa" w:w="80"/>
            </w:tcMar>
          </w:tcPr>
          <w:p>
            <w:pPr>
              <w:jc w:val="right"/>
            </w:pPr>
            <w:r>
              <w:rPr>
                <w:rFonts w:ascii="Arial" w:cs="Arial" w:eastAsia="Arial" w:hAnsi="Arial"/>
                <w:b/>
                <w:bCs/>
                <w:color w:val="404040"/>
                <w:sz w:val="16"/>
                <w:szCs w:val="16"/>
              </w:rPr>
              <w:t xml:space="preserve">19,276</w:t>
            </w:r>
          </w:p>
        </w:tc>
        <w:tc>
          <w:tcPr>
            <w:tcW w:type="dxa" w:w="1377"/>
            <w:tcBorders>
              <w:top w:val="single" w:color="CCCCCC" w:sz="1"/>
              <w:left w:val="single" w:color="CCCCCC" w:sz="1"/>
              <w:bottom w:val="single" w:color="CCCCCC" w:sz="1"/>
              <w:right w:val="single" w:color="CCCCCC" w:sz="1"/>
            </w:tcBorders>
            <w:shd w:fill="F2F2F2" w:val="clear"/>
            <w:tcMar>
              <w:top w:type="dxa" w:w="30"/>
              <w:left w:type="dxa" w:w="80"/>
              <w:bottom w:type="dxa" w:w="30"/>
              <w:right w:type="dxa" w:w="80"/>
            </w:tcMar>
          </w:tcPr>
          <w:p>
            <w:pPr>
              <w:jc w:val="right"/>
            </w:pPr>
            <w:r>
              <w:rPr>
                <w:rFonts w:ascii="Arial" w:cs="Arial" w:eastAsia="Arial" w:hAnsi="Arial"/>
                <w:b/>
                <w:bCs/>
                <w:color w:val="404040"/>
                <w:sz w:val="16"/>
                <w:szCs w:val="16"/>
              </w:rPr>
              <w:t xml:space="preserve">4.19M</w:t>
            </w:r>
          </w:p>
        </w:tc>
        <w:tc>
          <w:tcPr>
            <w:tcW w:type="dxa" w:w="1377"/>
            <w:tcBorders>
              <w:top w:val="single" w:color="CCCCCC" w:sz="1"/>
              <w:left w:val="single" w:color="CCCCCC" w:sz="1"/>
              <w:bottom w:val="single" w:color="CCCCCC" w:sz="1"/>
              <w:right w:val="single" w:color="CCCCCC" w:sz="1"/>
            </w:tcBorders>
            <w:shd w:fill="F2F2F2" w:val="clear"/>
            <w:tcMar>
              <w:top w:type="dxa" w:w="30"/>
              <w:left w:type="dxa" w:w="80"/>
              <w:bottom w:type="dxa" w:w="30"/>
              <w:right w:type="dxa" w:w="80"/>
            </w:tcMar>
          </w:tcPr>
          <w:p>
            <w:pPr>
              <w:jc w:val="right"/>
            </w:pPr>
            <w:r>
              <w:rPr>
                <w:rFonts w:ascii="Arial" w:cs="Arial" w:eastAsia="Arial" w:hAnsi="Arial"/>
                <w:b/>
                <w:bCs/>
                <w:color w:val="404040"/>
                <w:sz w:val="16"/>
                <w:szCs w:val="16"/>
              </w:rPr>
              <w:t xml:space="preserve">100%</w:t>
            </w:r>
          </w:p>
        </w:tc>
        <w:tc>
          <w:tcPr>
            <w:tcW w:type="dxa" w:w="1377"/>
            <w:tcBorders>
              <w:top w:val="single" w:color="CCCCCC" w:sz="1"/>
              <w:left w:val="single" w:color="CCCCCC" w:sz="1"/>
              <w:bottom w:val="single" w:color="CCCCCC" w:sz="1"/>
              <w:right w:val="single" w:color="CCCCCC" w:sz="1"/>
            </w:tcBorders>
            <w:shd w:fill="F2F2F2" w:val="clear"/>
            <w:tcMar>
              <w:top w:type="dxa" w:w="30"/>
              <w:left w:type="dxa" w:w="80"/>
              <w:bottom w:type="dxa" w:w="30"/>
              <w:right w:type="dxa" w:w="80"/>
            </w:tcMar>
          </w:tcPr>
          <w:p>
            <w:pPr>
              <w:jc w:val="right"/>
            </w:pPr>
            <w:r>
              <w:rPr>
                <w:rFonts w:ascii="Arial" w:cs="Arial" w:eastAsia="Arial" w:hAnsi="Arial"/>
                <w:b/>
                <w:bCs/>
                <w:color w:val="404040"/>
                <w:sz w:val="16"/>
                <w:szCs w:val="16"/>
              </w:rPr>
              <w:t xml:space="preserve">56%</w:t>
            </w:r>
          </w:p>
        </w:tc>
        <w:tc>
          <w:tcPr>
            <w:tcW w:type="dxa" w:w="1377"/>
            <w:tcBorders>
              <w:top w:val="single" w:color="CCCCCC" w:sz="1"/>
              <w:left w:val="single" w:color="CCCCCC" w:sz="1"/>
              <w:bottom w:val="single" w:color="CCCCCC" w:sz="1"/>
              <w:right w:val="single" w:color="CCCCCC" w:sz="1"/>
            </w:tcBorders>
            <w:shd w:fill="F2F2F2" w:val="clear"/>
            <w:tcMar>
              <w:top w:type="dxa" w:w="30"/>
              <w:left w:type="dxa" w:w="80"/>
              <w:bottom w:type="dxa" w:w="30"/>
              <w:right w:type="dxa" w:w="80"/>
            </w:tcMar>
          </w:tcPr>
          <w:p>
            <w:pPr>
              <w:jc w:val="right"/>
            </w:pPr>
            <w:r>
              <w:rPr>
                <w:rFonts w:ascii="Arial" w:cs="Arial" w:eastAsia="Arial" w:hAnsi="Arial"/>
                <w:b/>
                <w:bCs/>
                <w:color w:val="404040"/>
                <w:sz w:val="16"/>
                <w:szCs w:val="16"/>
              </w:rPr>
              <w:t xml:space="preserve">14%</w:t>
            </w:r>
          </w:p>
        </w:tc>
        <w:tc>
          <w:tcPr>
            <w:tcW w:type="dxa" w:w="1374"/>
            <w:tcBorders>
              <w:top w:val="single" w:color="CCCCCC" w:sz="1"/>
              <w:left w:val="single" w:color="CCCCCC" w:sz="1"/>
              <w:bottom w:val="single" w:color="CCCCCC" w:sz="1"/>
              <w:right w:val="single" w:color="CCCCCC" w:sz="1"/>
            </w:tcBorders>
            <w:shd w:fill="F2F2F2" w:val="clear"/>
            <w:tcMar>
              <w:top w:type="dxa" w:w="30"/>
              <w:left w:type="dxa" w:w="80"/>
              <w:bottom w:type="dxa" w:w="30"/>
              <w:right w:type="dxa" w:w="80"/>
            </w:tcMar>
          </w:tcPr>
          <w:p>
            <w:pPr>
              <w:jc w:val="right"/>
            </w:pPr>
            <w:r>
              <w:rPr>
                <w:rFonts w:ascii="Arial" w:cs="Arial" w:eastAsia="Arial" w:hAnsi="Arial"/>
                <w:b/>
                <w:bCs/>
                <w:color w:val="404040"/>
                <w:sz w:val="16"/>
                <w:szCs w:val="16"/>
              </w:rPr>
              <w:t xml:space="preserve">30%</w:t>
            </w:r>
          </w:p>
        </w:tc>
      </w:tr>
    </w:tbl>
    <w:p>
      <w:pPr>
        <w:spacing w:after="0"/>
      </w:pPr>
      <w:r>
        <w:rPr>
          <w:sz w:val="8"/>
          <w:szCs w:val="8"/>
        </w:rPr>
        <w:t xml:space="preserve"/>
      </w:r>
    </w:p>
    <w:p>
      <w:pPr>
        <w:spacing w:after="70"/>
      </w:pPr>
      <w:r>
        <w:rPr>
          <w:rFonts w:ascii="Arial" w:cs="Arial" w:eastAsia="Arial" w:hAnsi="Arial"/>
          <w:color w:val="595959"/>
          <w:sz w:val="18"/>
          <w:szCs w:val="18"/>
        </w:rPr>
        <w:t xml:space="preserve">About a fifth of Azure and Las Vegas proxy traffic is Citrix, elsewhere it is almost all application servers. WCCP at Shea redirects additional traffic to the Shea proxies on top of these figures. User traffic through the proxies is not included.</w:t>
      </w:r>
    </w:p>
    <w:p>
      <w:pPr>
        <w:pStyle w:val="Heading1"/>
        <w:pBdr>
          <w:bottom w:val="single" w:color="17447C" w:sz="4" w:space="4"/>
        </w:pBdr>
      </w:pPr>
      <w:r>
        <w:rPr>
          <w:rFonts w:ascii="Arial" w:cs="Arial" w:eastAsia="Arial" w:hAnsi="Arial"/>
          <w:b w:val="false"/>
          <w:bCs w:val="false"/>
          <w:color w:val="404040"/>
          <w:sz w:val="26"/>
          <w:szCs w:val="26"/>
        </w:rPr>
        <w:t xml:space="preserve">3. The path to Palo Alto: three deliverables</w:t>
      </w:r>
    </w:p>
    <w:p>
      <w:pPr>
        <w:spacing w:after="70"/>
      </w:pPr>
      <w:r>
        <w:rPr>
          <w:rFonts w:ascii="Arial" w:cs="Arial" w:eastAsia="Arial" w:hAnsi="Arial"/>
          <w:color w:val="595959"/>
          <w:sz w:val="19"/>
          <w:szCs w:val="19"/>
        </w:rPr>
        <w:t xml:space="preserve">The proxies stay in place until Palo Alto matches each capability. The work is three deliverables, in this order.</w:t>
      </w:r>
    </w:p>
    <w:p>
      <w:pPr>
        <w:pStyle w:val="ListParagraph"/>
        <w:numPr>
          <w:ilvl w:val="0"/>
          <w:numId w:val="2"/>
        </w:numPr>
        <w:spacing w:after="50"/>
      </w:pPr>
      <w:r>
        <w:rPr>
          <w:rFonts w:ascii="Arial" w:cs="Arial" w:eastAsia="Arial" w:hAnsi="Arial"/>
          <w:b/>
          <w:bCs/>
          <w:color w:val="404040"/>
          <w:sz w:val="19"/>
          <w:szCs w:val="19"/>
        </w:rPr>
        <w:t xml:space="preserve">Tenant restriction for Microsoft (TRv2) and Claude. </w:t>
      </w:r>
      <w:r>
        <w:rPr>
          <w:rFonts w:ascii="Arial" w:cs="Arial" w:eastAsia="Arial" w:hAnsi="Arial"/>
          <w:color w:val="595959"/>
          <w:sz w:val="19"/>
          <w:szCs w:val="19"/>
        </w:rPr>
        <w:t xml:space="preserve">This limits Microsoft and AI tools to approved corporate accounts. Today the Skyhigh proxies enforce Microsoft tenant restriction version 1 only, a platform limit they cannot move past, and Zscaler enforces version 2 for its users. On Palo Alto the Claude restriction is built but its decryption rule is not enabled, and the Microsoft TRv2 policy has been tested but is not complete at any site; an earlier RI rollout was rolled back after a proxy interaction issue. Next step: finish both on one pilot segment, verify end to end, then roll out.</w:t>
      </w:r>
    </w:p>
    <w:p>
      <w:pPr>
        <w:pStyle w:val="ListParagraph"/>
        <w:numPr>
          <w:ilvl w:val="0"/>
          <w:numId w:val="2"/>
        </w:numPr>
        <w:spacing w:after="50"/>
      </w:pPr>
      <w:r>
        <w:rPr>
          <w:rFonts w:ascii="Arial" w:cs="Arial" w:eastAsia="Arial" w:hAnsi="Arial"/>
          <w:b/>
          <w:bCs/>
          <w:color w:val="404040"/>
          <w:sz w:val="19"/>
          <w:szCs w:val="19"/>
        </w:rPr>
        <w:t xml:space="preserve">Content policy rebuilt from the Zscaler model. </w:t>
      </w:r>
      <w:r>
        <w:rPr>
          <w:rFonts w:ascii="Arial" w:cs="Arial" w:eastAsia="Arial" w:hAnsi="Arial"/>
          <w:color w:val="595959"/>
          <w:sz w:val="19"/>
          <w:szCs w:val="19"/>
        </w:rPr>
        <w:t xml:space="preserve">Today's enforcement runs on static, hand-maintained domain lists. The target uses the Zscaler policy the business already manages as its foundation, in three tiers: permitted traffic that is decrypted and inspected; denied categories that are decrypted and blocked; and general category control that reads the destination without full decryption (SSL peek) and redirects to a block page. The third tier needs no decryption, so it can start now. The largest Zscaler block list is already matched on Palo Alto (99.9% of 3,223 entries).</w:t>
      </w:r>
    </w:p>
    <w:p>
      <w:pPr>
        <w:pStyle w:val="ListParagraph"/>
        <w:numPr>
          <w:ilvl w:val="0"/>
          <w:numId w:val="2"/>
        </w:numPr>
        <w:spacing w:after="50"/>
      </w:pPr>
      <w:r>
        <w:rPr>
          <w:rFonts w:ascii="Arial" w:cs="Arial" w:eastAsia="Arial" w:hAnsi="Arial"/>
          <w:b/>
          <w:bCs/>
          <w:color w:val="404040"/>
          <w:sz w:val="19"/>
          <w:szCs w:val="19"/>
        </w:rPr>
        <w:t xml:space="preserve">Targeted DLP use cases. </w:t>
      </w:r>
      <w:r>
        <w:rPr>
          <w:rFonts w:ascii="Arial" w:cs="Arial" w:eastAsia="Arial" w:hAnsi="Arial"/>
          <w:color w:val="595959"/>
          <w:sz w:val="19"/>
          <w:szCs w:val="19"/>
        </w:rPr>
        <w:t xml:space="preserve">The nine DLP classes (Social Security numbers, payment card numbers, driver's licenses, member and Medicare identifiers, and similar) are rebuilt as structured, targeted use cases, each with its own decryption scope. Full file and content inspection depends on the Advanced DLP license, which on Palo Alto is temporary today and was used to test the capability at Las Vegas; the business needs to procure it for all Palo Alto firewalls to move forward. Without it, only basic functions can be built, and Social Security and card-number matching loses the checksum validation the proxy uses today, which raises false positives.</w:t>
      </w:r>
    </w:p>
    <w:p>
      <w:pPr>
        <w:pStyle w:val="Heading1"/>
        <w:pBdr>
          <w:bottom w:val="single" w:color="17447C" w:sz="4" w:space="4"/>
        </w:pBdr>
      </w:pPr>
      <w:r>
        <w:rPr>
          <w:rFonts w:ascii="Arial" w:cs="Arial" w:eastAsia="Arial" w:hAnsi="Arial"/>
          <w:b w:val="false"/>
          <w:bCs w:val="false"/>
          <w:color w:val="404040"/>
          <w:sz w:val="26"/>
          <w:szCs w:val="26"/>
        </w:rPr>
        <w:t xml:space="preserve">4. What it takes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403"/>
        <w:gridCol w:w="5707"/>
        <w:gridCol w:w="2402"/>
      </w:tblGrid>
      <w:tr>
        <w:trPr>
          <w:tblHeader/>
        </w:trPr>
        <w:tc>
          <w:tcPr>
            <w:tcW w:type="dxa" w:w="2403"/>
            <w:tcBorders>
              <w:top w:val="single" w:color="CCCCCC" w:sz="1"/>
              <w:left w:val="single" w:color="CCCCCC" w:sz="1"/>
              <w:bottom w:val="single" w:color="CCCCCC" w:sz="1"/>
              <w:right w:val="single" w:color="CCCCCC" w:sz="1"/>
            </w:tcBorders>
            <w:shd w:fill="17447C" w:val="clear"/>
            <w:tcMar>
              <w:top w:type="dxa" w:w="30"/>
              <w:left w:type="dxa" w:w="80"/>
              <w:bottom w:type="dxa" w:w="30"/>
              <w:right w:type="dxa" w:w="80"/>
            </w:tcMar>
          </w:tcPr>
          <w:p>
            <w:r>
              <w:rPr>
                <w:rFonts w:ascii="Arial" w:cs="Arial" w:eastAsia="Arial" w:hAnsi="Arial"/>
                <w:b/>
                <w:bCs/>
                <w:color w:val="FFFFFF"/>
                <w:sz w:val="16"/>
                <w:szCs w:val="16"/>
              </w:rPr>
              <w:t xml:space="preserve">Need</w:t>
            </w:r>
          </w:p>
        </w:tc>
        <w:tc>
          <w:tcPr>
            <w:tcW w:type="dxa" w:w="5707"/>
            <w:tcBorders>
              <w:top w:val="single" w:color="CCCCCC" w:sz="1"/>
              <w:left w:val="single" w:color="CCCCCC" w:sz="1"/>
              <w:bottom w:val="single" w:color="CCCCCC" w:sz="1"/>
              <w:right w:val="single" w:color="CCCCCC" w:sz="1"/>
            </w:tcBorders>
            <w:shd w:fill="17447C" w:val="clear"/>
            <w:tcMar>
              <w:top w:type="dxa" w:w="30"/>
              <w:left w:type="dxa" w:w="80"/>
              <w:bottom w:type="dxa" w:w="30"/>
              <w:right w:type="dxa" w:w="80"/>
            </w:tcMar>
          </w:tcPr>
          <w:p>
            <w:r>
              <w:rPr>
                <w:rFonts w:ascii="Arial" w:cs="Arial" w:eastAsia="Arial" w:hAnsi="Arial"/>
                <w:b/>
                <w:bCs/>
                <w:color w:val="FFFFFF"/>
                <w:sz w:val="16"/>
                <w:szCs w:val="16"/>
              </w:rPr>
              <w:t xml:space="preserve">Why</w:t>
            </w:r>
          </w:p>
        </w:tc>
        <w:tc>
          <w:tcPr>
            <w:tcW w:type="dxa" w:w="2402"/>
            <w:tcBorders>
              <w:top w:val="single" w:color="CCCCCC" w:sz="1"/>
              <w:left w:val="single" w:color="CCCCCC" w:sz="1"/>
              <w:bottom w:val="single" w:color="CCCCCC" w:sz="1"/>
              <w:right w:val="single" w:color="CCCCCC" w:sz="1"/>
            </w:tcBorders>
            <w:shd w:fill="17447C" w:val="clear"/>
            <w:tcMar>
              <w:top w:type="dxa" w:w="30"/>
              <w:left w:type="dxa" w:w="80"/>
              <w:bottom w:type="dxa" w:w="30"/>
              <w:right w:type="dxa" w:w="80"/>
            </w:tcMar>
          </w:tcPr>
          <w:p>
            <w:r>
              <w:rPr>
                <w:rFonts w:ascii="Arial" w:cs="Arial" w:eastAsia="Arial" w:hAnsi="Arial"/>
                <w:b/>
                <w:bCs/>
                <w:color w:val="FFFFFF"/>
                <w:sz w:val="16"/>
                <w:szCs w:val="16"/>
              </w:rPr>
              <w:t xml:space="preserve">Decision or owner</w:t>
            </w:r>
          </w:p>
        </w:tc>
      </w:tr>
      <w:tr>
        <w:tc>
          <w:tcPr>
            <w:tcW w:type="dxa" w:w="2403"/>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jc w:val="left"/>
            </w:pPr>
            <w:r>
              <w:rPr>
                <w:rFonts w:ascii="Arial" w:cs="Arial" w:eastAsia="Arial" w:hAnsi="Arial"/>
                <w:b w:val="false"/>
                <w:bCs w:val="false"/>
                <w:color w:val="404040"/>
                <w:sz w:val="16"/>
                <w:szCs w:val="16"/>
              </w:rPr>
              <w:t xml:space="preserve">Advanced DLP license</w:t>
            </w:r>
          </w:p>
        </w:tc>
        <w:tc>
          <w:tcPr>
            <w:tcW w:type="dxa" w:w="5707"/>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jc w:val="left"/>
            </w:pPr>
            <w:r>
              <w:rPr>
                <w:rFonts w:ascii="Arial" w:cs="Arial" w:eastAsia="Arial" w:hAnsi="Arial"/>
                <w:b w:val="false"/>
                <w:bCs w:val="false"/>
                <w:color w:val="404040"/>
                <w:sz w:val="16"/>
                <w:szCs w:val="16"/>
              </w:rPr>
              <w:t xml:space="preserve">Full file and content inspection for the nine DLP classes depends on it; the current license is temporary</w:t>
            </w:r>
          </w:p>
        </w:tc>
        <w:tc>
          <w:tcPr>
            <w:tcW w:type="dxa" w:w="2402"/>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jc w:val="left"/>
            </w:pPr>
            <w:r>
              <w:rPr>
                <w:rFonts w:ascii="Arial" w:cs="Arial" w:eastAsia="Arial" w:hAnsi="Arial"/>
                <w:b w:val="false"/>
                <w:bCs w:val="false"/>
                <w:color w:val="404040"/>
                <w:sz w:val="16"/>
                <w:szCs w:val="16"/>
              </w:rPr>
              <w:t xml:space="preserve">Commit to procurement</w:t>
            </w:r>
          </w:p>
        </w:tc>
      </w:tr>
      <w:tr>
        <w:tc>
          <w:tcPr>
            <w:tcW w:type="dxa" w:w="2403"/>
            <w:tcBorders>
              <w:top w:val="single" w:color="CCCCCC" w:sz="1"/>
              <w:left w:val="single" w:color="CCCCCC" w:sz="1"/>
              <w:bottom w:val="single" w:color="CCCCCC" w:sz="1"/>
              <w:right w:val="single" w:color="CCCCCC" w:sz="1"/>
            </w:tcBorders>
            <w:shd w:fill="F2F2F2" w:val="clear"/>
            <w:tcMar>
              <w:top w:type="dxa" w:w="30"/>
              <w:left w:type="dxa" w:w="80"/>
              <w:bottom w:type="dxa" w:w="30"/>
              <w:right w:type="dxa" w:w="80"/>
            </w:tcMar>
          </w:tcPr>
          <w:p>
            <w:pPr>
              <w:jc w:val="left"/>
            </w:pPr>
            <w:r>
              <w:rPr>
                <w:rFonts w:ascii="Arial" w:cs="Arial" w:eastAsia="Arial" w:hAnsi="Arial"/>
                <w:b w:val="false"/>
                <w:bCs w:val="false"/>
                <w:color w:val="404040"/>
                <w:sz w:val="16"/>
                <w:szCs w:val="16"/>
              </w:rPr>
              <w:t xml:space="preserve">Lab environment</w:t>
            </w:r>
          </w:p>
        </w:tc>
        <w:tc>
          <w:tcPr>
            <w:tcW w:type="dxa" w:w="5707"/>
            <w:tcBorders>
              <w:top w:val="single" w:color="CCCCCC" w:sz="1"/>
              <w:left w:val="single" w:color="CCCCCC" w:sz="1"/>
              <w:bottom w:val="single" w:color="CCCCCC" w:sz="1"/>
              <w:right w:val="single" w:color="CCCCCC" w:sz="1"/>
            </w:tcBorders>
            <w:shd w:fill="F2F2F2" w:val="clear"/>
            <w:tcMar>
              <w:top w:type="dxa" w:w="30"/>
              <w:left w:type="dxa" w:w="80"/>
              <w:bottom w:type="dxa" w:w="30"/>
              <w:right w:type="dxa" w:w="80"/>
            </w:tcMar>
          </w:tcPr>
          <w:p>
            <w:pPr>
              <w:jc w:val="left"/>
            </w:pPr>
            <w:r>
              <w:rPr>
                <w:rFonts w:ascii="Arial" w:cs="Arial" w:eastAsia="Arial" w:hAnsi="Arial"/>
                <w:b w:val="false"/>
                <w:bCs w:val="false"/>
                <w:color w:val="404040"/>
                <w:sz w:val="16"/>
                <w:szCs w:val="16"/>
              </w:rPr>
              <w:t xml:space="preserve">Decryption, tenant headers and DLP rules must be proven before production; the RI tenant-restriction rollback shows the cost of testing in production</w:t>
            </w:r>
          </w:p>
        </w:tc>
        <w:tc>
          <w:tcPr>
            <w:tcW w:type="dxa" w:w="2402"/>
            <w:tcBorders>
              <w:top w:val="single" w:color="CCCCCC" w:sz="1"/>
              <w:left w:val="single" w:color="CCCCCC" w:sz="1"/>
              <w:bottom w:val="single" w:color="CCCCCC" w:sz="1"/>
              <w:right w:val="single" w:color="CCCCCC" w:sz="1"/>
            </w:tcBorders>
            <w:shd w:fill="F2F2F2" w:val="clear"/>
            <w:tcMar>
              <w:top w:type="dxa" w:w="30"/>
              <w:left w:type="dxa" w:w="80"/>
              <w:bottom w:type="dxa" w:w="30"/>
              <w:right w:type="dxa" w:w="80"/>
            </w:tcMar>
          </w:tcPr>
          <w:p>
            <w:pPr>
              <w:jc w:val="left"/>
            </w:pPr>
            <w:r>
              <w:rPr>
                <w:rFonts w:ascii="Arial" w:cs="Arial" w:eastAsia="Arial" w:hAnsi="Arial"/>
                <w:b w:val="false"/>
                <w:bCs w:val="false"/>
                <w:color w:val="404040"/>
                <w:sz w:val="16"/>
                <w:szCs w:val="16"/>
              </w:rPr>
              <w:t xml:space="preserve">Fund and stand up</w:t>
            </w:r>
          </w:p>
        </w:tc>
      </w:tr>
      <w:tr>
        <w:tc>
          <w:tcPr>
            <w:tcW w:type="dxa" w:w="2403"/>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jc w:val="left"/>
            </w:pPr>
            <w:r>
              <w:rPr>
                <w:rFonts w:ascii="Arial" w:cs="Arial" w:eastAsia="Arial" w:hAnsi="Arial"/>
                <w:b w:val="false"/>
                <w:bCs w:val="false"/>
                <w:color w:val="404040"/>
                <w:sz w:val="16"/>
                <w:szCs w:val="16"/>
              </w:rPr>
              <w:t xml:space="preserve">Traffic steering migration</w:t>
            </w:r>
          </w:p>
        </w:tc>
        <w:tc>
          <w:tcPr>
            <w:tcW w:type="dxa" w:w="5707"/>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jc w:val="left"/>
            </w:pPr>
            <w:r>
              <w:rPr>
                <w:rFonts w:ascii="Arial" w:cs="Arial" w:eastAsia="Arial" w:hAnsi="Arial"/>
                <w:b w:val="false"/>
                <w:bCs w:val="false"/>
                <w:color w:val="404040"/>
                <w:sz w:val="16"/>
                <w:szCs w:val="16"/>
              </w:rPr>
              <w:t xml:space="preserve">Applications still reach the proxies through the PAC file (Aetna) and WCCP (CVS); moving them is the largest effort and gates proxy retirement</w:t>
            </w:r>
          </w:p>
        </w:tc>
        <w:tc>
          <w:tcPr>
            <w:tcW w:type="dxa" w:w="2402"/>
            <w:tcBorders>
              <w:top w:val="single" w:color="CCCCCC" w:sz="1"/>
              <w:left w:val="single" w:color="CCCCCC" w:sz="1"/>
              <w:bottom w:val="single" w:color="CCCCCC" w:sz="1"/>
              <w:right w:val="single" w:color="CCCCCC" w:sz="1"/>
            </w:tcBorders>
            <w:shd w:fill="FFFFFF" w:val="clear"/>
            <w:tcMar>
              <w:top w:type="dxa" w:w="30"/>
              <w:left w:type="dxa" w:w="80"/>
              <w:bottom w:type="dxa" w:w="30"/>
              <w:right w:type="dxa" w:w="80"/>
            </w:tcMar>
          </w:tcPr>
          <w:p>
            <w:pPr>
              <w:jc w:val="left"/>
            </w:pPr>
            <w:r>
              <w:rPr>
                <w:rFonts w:ascii="Arial" w:cs="Arial" w:eastAsia="Arial" w:hAnsi="Arial"/>
                <w:b w:val="false"/>
                <w:bCs w:val="false"/>
                <w:color w:val="404040"/>
                <w:sz w:val="16"/>
                <w:szCs w:val="16"/>
              </w:rPr>
              <w:t xml:space="preserve">Firewall and application teams</w:t>
            </w:r>
          </w:p>
        </w:tc>
      </w:tr>
      <w:tr>
        <w:tc>
          <w:tcPr>
            <w:tcW w:type="dxa" w:w="2403"/>
            <w:tcBorders>
              <w:top w:val="single" w:color="CCCCCC" w:sz="1"/>
              <w:left w:val="single" w:color="CCCCCC" w:sz="1"/>
              <w:bottom w:val="single" w:color="CCCCCC" w:sz="1"/>
              <w:right w:val="single" w:color="CCCCCC" w:sz="1"/>
            </w:tcBorders>
            <w:shd w:fill="F2F2F2" w:val="clear"/>
            <w:tcMar>
              <w:top w:type="dxa" w:w="30"/>
              <w:left w:type="dxa" w:w="80"/>
              <w:bottom w:type="dxa" w:w="30"/>
              <w:right w:type="dxa" w:w="80"/>
            </w:tcMar>
          </w:tcPr>
          <w:p>
            <w:pPr>
              <w:jc w:val="left"/>
            </w:pPr>
            <w:r>
              <w:rPr>
                <w:rFonts w:ascii="Arial" w:cs="Arial" w:eastAsia="Arial" w:hAnsi="Arial"/>
                <w:b w:val="false"/>
                <w:bCs w:val="false"/>
                <w:color w:val="404040"/>
                <w:sz w:val="16"/>
                <w:szCs w:val="16"/>
              </w:rPr>
              <w:t xml:space="preserve">Parity sign-off per capability</w:t>
            </w:r>
          </w:p>
        </w:tc>
        <w:tc>
          <w:tcPr>
            <w:tcW w:type="dxa" w:w="5707"/>
            <w:tcBorders>
              <w:top w:val="single" w:color="CCCCCC" w:sz="1"/>
              <w:left w:val="single" w:color="CCCCCC" w:sz="1"/>
              <w:bottom w:val="single" w:color="CCCCCC" w:sz="1"/>
              <w:right w:val="single" w:color="CCCCCC" w:sz="1"/>
            </w:tcBorders>
            <w:shd w:fill="F2F2F2" w:val="clear"/>
            <w:tcMar>
              <w:top w:type="dxa" w:w="30"/>
              <w:left w:type="dxa" w:w="80"/>
              <w:bottom w:type="dxa" w:w="30"/>
              <w:right w:type="dxa" w:w="80"/>
            </w:tcMar>
          </w:tcPr>
          <w:p>
            <w:pPr>
              <w:jc w:val="left"/>
            </w:pPr>
            <w:r>
              <w:rPr>
                <w:rFonts w:ascii="Arial" w:cs="Arial" w:eastAsia="Arial" w:hAnsi="Arial"/>
                <w:b w:val="false"/>
                <w:bCs w:val="false"/>
                <w:color w:val="404040"/>
                <w:sz w:val="16"/>
                <w:szCs w:val="16"/>
              </w:rPr>
              <w:t xml:space="preserve">Each proxy function is retired only after Palo Alto is verified against live traffic at each site</w:t>
            </w:r>
          </w:p>
        </w:tc>
        <w:tc>
          <w:tcPr>
            <w:tcW w:type="dxa" w:w="2402"/>
            <w:tcBorders>
              <w:top w:val="single" w:color="CCCCCC" w:sz="1"/>
              <w:left w:val="single" w:color="CCCCCC" w:sz="1"/>
              <w:bottom w:val="single" w:color="CCCCCC" w:sz="1"/>
              <w:right w:val="single" w:color="CCCCCC" w:sz="1"/>
            </w:tcBorders>
            <w:shd w:fill="F2F2F2" w:val="clear"/>
            <w:tcMar>
              <w:top w:type="dxa" w:w="30"/>
              <w:left w:type="dxa" w:w="80"/>
              <w:bottom w:type="dxa" w:w="30"/>
              <w:right w:type="dxa" w:w="80"/>
            </w:tcMar>
          </w:tcPr>
          <w:p>
            <w:pPr>
              <w:jc w:val="left"/>
            </w:pPr>
            <w:r>
              <w:rPr>
                <w:rFonts w:ascii="Arial" w:cs="Arial" w:eastAsia="Arial" w:hAnsi="Arial"/>
                <w:b w:val="false"/>
                <w:bCs w:val="false"/>
                <w:color w:val="404040"/>
                <w:sz w:val="16"/>
                <w:szCs w:val="16"/>
              </w:rPr>
              <w:t xml:space="preserve">Network Security Engineering</w:t>
            </w:r>
          </w:p>
        </w:tc>
      </w:tr>
    </w:tbl>
    <w:p>
      <w:pPr>
        <w:spacing w:after="0"/>
      </w:pPr>
      <w:r>
        <w:rPr>
          <w:sz w:val="8"/>
          <w:szCs w:val="8"/>
        </w:rPr>
        <w:t xml:space="preserve"/>
      </w:r>
    </w:p>
    <w:p>
      <w:pPr>
        <w:spacing w:after="70"/>
      </w:pPr>
      <w:r>
        <w:rPr>
          <w:rFonts w:ascii="Arial" w:cs="Arial" w:eastAsia="Arial" w:hAnsi="Arial"/>
          <w:color w:val="595959"/>
          <w:sz w:val="19"/>
          <w:szCs w:val="19"/>
        </w:rPr>
        <w:t xml:space="preserve">In short: current capabilities are intact apart from HTTP content inspection at Rhode Island, and Palo Alto can take on all three deliverables. What is needed is the license, a lab, and a staged plan to move each capability off the proxies.</w:t>
      </w:r>
    </w:p>
    <w:p>
      <w:pPr>
        <w:spacing w:after="70"/>
      </w:pPr>
      <w:r>
        <w:rPr>
          <w:rFonts w:ascii="Arial" w:cs="Arial" w:eastAsia="Arial" w:hAnsi="Arial"/>
          <w:i/>
          <w:iCs/>
          <w:color w:val="AAAAAA"/>
          <w:sz w:val="16"/>
          <w:szCs w:val="16"/>
        </w:rPr>
        <w:t xml:space="preserve">Prepared by: Network Security Engineering  |  Data: Tanium 15-day outbound report (approx. Sept 1–16, 2026), Palo Alto egress logs, firewall and proxy configurations  |  October 2026</w:t>
      </w:r>
    </w:p>
    <w:sectPr>
      <w:pgSz w:w="12240" w:h="15840" w:orient="portrait"/>
      <w:pgMar w:top="792" w:right="864" w:bottom="792"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160"/>
      <w:outlineLvl w:val="0"/>
    </w:pPr>
    <w:rPr>
      <w:rFonts w:ascii="Arial" w:cs="Arial" w:eastAsia="Arial" w:hAnsi="Arial"/>
      <w:b w:val="false"/>
      <w:bCs w:val="false"/>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2026-10-02T21:54:37.282Z</dcterms:created>
  <dcterms:modified xsi:type="dcterms:W3CDTF">2026-10-02T21:54:37.282Z</dcterms:modified>
</cp:coreProperties>
</file>

<file path=docProps/custom.xml><?xml version="1.0" encoding="utf-8"?>
<Properties xmlns="http://schemas.openxmlformats.org/officeDocument/2006/custom-properties" xmlns:vt="http://schemas.openxmlformats.org/officeDocument/2006/docPropsVTypes"/>
</file>